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7F" w:rsidRDefault="00D97F7F" w:rsidP="00C60AD1">
      <w:pPr>
        <w:jc w:val="center"/>
        <w:rPr>
          <w:sz w:val="22"/>
          <w:szCs w:val="22"/>
          <w:lang w:val="en-US"/>
        </w:rPr>
      </w:pPr>
    </w:p>
    <w:p w:rsidR="00D97F7F" w:rsidRDefault="00D97F7F" w:rsidP="00C60AD1">
      <w:pPr>
        <w:jc w:val="center"/>
        <w:rPr>
          <w:sz w:val="22"/>
          <w:szCs w:val="22"/>
          <w:lang w:val="en-US"/>
        </w:rPr>
      </w:pPr>
    </w:p>
    <w:p w:rsidR="00770A3C" w:rsidRPr="00C60AD1" w:rsidRDefault="00770A3C" w:rsidP="00C60AD1">
      <w:pPr>
        <w:jc w:val="center"/>
        <w:rPr>
          <w:sz w:val="22"/>
          <w:szCs w:val="22"/>
          <w:lang w:val="en-US"/>
        </w:rPr>
      </w:pPr>
      <w:r w:rsidRPr="00C60AD1">
        <w:rPr>
          <w:noProof/>
          <w:sz w:val="22"/>
          <w:szCs w:val="22"/>
          <w:lang w:val="en-IN" w:eastAsia="en-IN"/>
        </w:rPr>
        <w:drawing>
          <wp:inline distT="0" distB="0" distL="0" distR="0">
            <wp:extent cx="1373816" cy="1339702"/>
            <wp:effectExtent l="19050" t="0" r="0" b="0"/>
            <wp:docPr id="1" name="Picture 41" descr="up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perclogo"/>
                    <pic:cNvPicPr>
                      <a:picLocks noChangeAspect="1" noChangeArrowheads="1"/>
                    </pic:cNvPicPr>
                  </pic:nvPicPr>
                  <pic:blipFill>
                    <a:blip r:embed="rId8" cstate="print"/>
                    <a:srcRect/>
                    <a:stretch>
                      <a:fillRect/>
                    </a:stretch>
                  </pic:blipFill>
                  <pic:spPr bwMode="auto">
                    <a:xfrm>
                      <a:off x="0" y="0"/>
                      <a:ext cx="1371600" cy="1337541"/>
                    </a:xfrm>
                    <a:prstGeom prst="rect">
                      <a:avLst/>
                    </a:prstGeom>
                    <a:noFill/>
                    <a:ln w="9525">
                      <a:noFill/>
                      <a:miter lim="800000"/>
                      <a:headEnd/>
                      <a:tailEnd/>
                    </a:ln>
                  </pic:spPr>
                </pic:pic>
              </a:graphicData>
            </a:graphic>
          </wp:inline>
        </w:drawing>
      </w:r>
    </w:p>
    <w:p w:rsidR="00770A3C" w:rsidRPr="00C60AD1" w:rsidRDefault="00770A3C" w:rsidP="00C60AD1">
      <w:pPr>
        <w:spacing w:before="0" w:after="200"/>
        <w:jc w:val="center"/>
        <w:rPr>
          <w:b/>
          <w:sz w:val="22"/>
          <w:szCs w:val="22"/>
          <w:lang w:val="en-US"/>
        </w:rPr>
      </w:pPr>
    </w:p>
    <w:p w:rsidR="00770A3C" w:rsidRPr="00C60AD1" w:rsidRDefault="00770A3C" w:rsidP="00C60AD1">
      <w:pPr>
        <w:spacing w:before="0" w:after="200"/>
        <w:jc w:val="center"/>
        <w:rPr>
          <w:b/>
          <w:sz w:val="22"/>
          <w:szCs w:val="22"/>
          <w:lang w:val="en-US"/>
        </w:rPr>
      </w:pPr>
      <w:r w:rsidRPr="00C60AD1">
        <w:rPr>
          <w:b/>
          <w:sz w:val="22"/>
          <w:szCs w:val="22"/>
          <w:lang w:val="en-US"/>
        </w:rPr>
        <w:t>UTTAR PRADESH ELECTRICITY REGULATORY COMMISSION</w:t>
      </w:r>
    </w:p>
    <w:p w:rsidR="00770A3C" w:rsidRPr="00C60AD1" w:rsidRDefault="00770A3C" w:rsidP="00C60AD1">
      <w:pPr>
        <w:spacing w:before="0" w:after="200"/>
        <w:jc w:val="center"/>
        <w:rPr>
          <w:b/>
          <w:caps/>
          <w:sz w:val="22"/>
          <w:szCs w:val="22"/>
          <w:lang w:val="en-US"/>
        </w:rPr>
      </w:pPr>
      <w:r w:rsidRPr="00C60AD1">
        <w:rPr>
          <w:b/>
          <w:caps/>
          <w:sz w:val="22"/>
          <w:szCs w:val="22"/>
          <w:lang w:val="en-US"/>
        </w:rPr>
        <w:t>Lucknow</w:t>
      </w:r>
    </w:p>
    <w:p w:rsidR="00770A3C" w:rsidRPr="00C60AD1" w:rsidRDefault="00770A3C" w:rsidP="00C60AD1">
      <w:pPr>
        <w:spacing w:before="0" w:after="200"/>
        <w:jc w:val="center"/>
        <w:rPr>
          <w:sz w:val="22"/>
          <w:szCs w:val="22"/>
          <w:lang w:val="en-US"/>
        </w:rPr>
      </w:pPr>
    </w:p>
    <w:p w:rsidR="00770A3C" w:rsidRPr="00C60AD1" w:rsidRDefault="00770A3C" w:rsidP="00C60AD1">
      <w:pPr>
        <w:spacing w:before="0" w:after="200"/>
        <w:jc w:val="center"/>
        <w:rPr>
          <w:sz w:val="22"/>
          <w:szCs w:val="22"/>
          <w:lang w:val="en-US"/>
        </w:rPr>
      </w:pPr>
    </w:p>
    <w:p w:rsidR="00770A3C" w:rsidRPr="00C60AD1" w:rsidRDefault="00770A3C" w:rsidP="00C60AD1">
      <w:pPr>
        <w:spacing w:before="0" w:after="200"/>
        <w:jc w:val="center"/>
        <w:rPr>
          <w:sz w:val="22"/>
          <w:szCs w:val="22"/>
          <w:lang w:val="en-US"/>
        </w:rPr>
      </w:pPr>
      <w:r w:rsidRPr="00C60AD1">
        <w:t xml:space="preserve">Petition No. </w:t>
      </w:r>
      <w:r w:rsidR="00910685">
        <w:t>1065</w:t>
      </w:r>
      <w:r w:rsidR="00D4588C" w:rsidRPr="00C60AD1">
        <w:t>/201</w:t>
      </w:r>
      <w:r w:rsidR="00910685">
        <w:t>5</w:t>
      </w:r>
    </w:p>
    <w:p w:rsidR="00770A3C" w:rsidRPr="00C60AD1" w:rsidRDefault="00770A3C" w:rsidP="00C60AD1">
      <w:pPr>
        <w:spacing w:before="0" w:after="200"/>
        <w:jc w:val="center"/>
        <w:rPr>
          <w:b/>
          <w:caps/>
          <w:sz w:val="22"/>
          <w:szCs w:val="22"/>
          <w:lang w:val="en-US"/>
        </w:rPr>
      </w:pPr>
    </w:p>
    <w:p w:rsidR="00770A3C" w:rsidRPr="00C60AD1" w:rsidRDefault="00770A3C" w:rsidP="00C60AD1">
      <w:pPr>
        <w:spacing w:before="0" w:after="200"/>
        <w:jc w:val="center"/>
        <w:rPr>
          <w:b/>
          <w:caps/>
          <w:sz w:val="22"/>
          <w:szCs w:val="22"/>
          <w:lang w:val="en-US"/>
        </w:rPr>
      </w:pPr>
      <w:r w:rsidRPr="00C60AD1">
        <w:rPr>
          <w:b/>
          <w:caps/>
          <w:sz w:val="22"/>
          <w:szCs w:val="22"/>
          <w:lang w:val="en-US"/>
        </w:rPr>
        <w:t xml:space="preserve">Determination of Aggregate Revenue Requirement (ARR) and Tariff for FY </w:t>
      </w:r>
      <w:r w:rsidR="00B30FF6" w:rsidRPr="00C60AD1">
        <w:rPr>
          <w:b/>
          <w:caps/>
          <w:sz w:val="22"/>
          <w:szCs w:val="22"/>
          <w:lang w:val="en-US"/>
        </w:rPr>
        <w:t>201</w:t>
      </w:r>
      <w:r w:rsidR="00910685">
        <w:rPr>
          <w:b/>
          <w:caps/>
          <w:sz w:val="22"/>
          <w:szCs w:val="22"/>
          <w:lang w:val="en-US"/>
        </w:rPr>
        <w:t>6</w:t>
      </w:r>
      <w:r w:rsidR="00B30FF6" w:rsidRPr="00C60AD1">
        <w:rPr>
          <w:b/>
          <w:caps/>
          <w:sz w:val="22"/>
          <w:szCs w:val="22"/>
          <w:lang w:val="en-US"/>
        </w:rPr>
        <w:t>-1</w:t>
      </w:r>
      <w:r w:rsidR="00910685">
        <w:rPr>
          <w:b/>
          <w:caps/>
          <w:sz w:val="22"/>
          <w:szCs w:val="22"/>
          <w:lang w:val="en-US"/>
        </w:rPr>
        <w:t>7</w:t>
      </w:r>
    </w:p>
    <w:p w:rsidR="00F70DA9" w:rsidRPr="00C60AD1" w:rsidRDefault="0022393E" w:rsidP="00C60AD1">
      <w:pPr>
        <w:spacing w:before="0" w:after="200"/>
        <w:jc w:val="center"/>
        <w:rPr>
          <w:rFonts w:cs="Calibri"/>
          <w:b/>
          <w:caps/>
          <w:color w:val="000000"/>
          <w:lang w:val="en-US"/>
        </w:rPr>
      </w:pPr>
      <w:r w:rsidRPr="00C60AD1">
        <w:rPr>
          <w:b/>
          <w:caps/>
          <w:sz w:val="22"/>
          <w:szCs w:val="22"/>
          <w:lang w:val="en-US"/>
        </w:rPr>
        <w:t>aND</w:t>
      </w:r>
    </w:p>
    <w:p w:rsidR="00770A3C" w:rsidRPr="00C60AD1" w:rsidRDefault="00770A3C" w:rsidP="00C60AD1">
      <w:pPr>
        <w:spacing w:before="0" w:after="200"/>
        <w:jc w:val="center"/>
        <w:rPr>
          <w:b/>
          <w:sz w:val="22"/>
          <w:szCs w:val="22"/>
          <w:lang w:val="en-US"/>
        </w:rPr>
      </w:pPr>
      <w:r w:rsidRPr="00C60AD1">
        <w:rPr>
          <w:b/>
          <w:sz w:val="22"/>
          <w:szCs w:val="22"/>
          <w:lang w:val="en-US"/>
        </w:rPr>
        <w:t xml:space="preserve">TRUE-UP OF ARR AND REVENUE FOR </w:t>
      </w:r>
      <w:r w:rsidR="00C979CC" w:rsidRPr="00C60AD1">
        <w:rPr>
          <w:b/>
          <w:sz w:val="22"/>
          <w:szCs w:val="22"/>
          <w:lang w:val="en-US"/>
        </w:rPr>
        <w:t xml:space="preserve">FY </w:t>
      </w:r>
      <w:r w:rsidR="00B30FF6" w:rsidRPr="00C60AD1">
        <w:rPr>
          <w:b/>
          <w:sz w:val="22"/>
          <w:szCs w:val="22"/>
          <w:lang w:val="en-US"/>
        </w:rPr>
        <w:t>201</w:t>
      </w:r>
      <w:r w:rsidR="00910685">
        <w:rPr>
          <w:b/>
          <w:sz w:val="22"/>
          <w:szCs w:val="22"/>
          <w:lang w:val="en-US"/>
        </w:rPr>
        <w:t>3</w:t>
      </w:r>
      <w:r w:rsidR="00B30FF6" w:rsidRPr="00C60AD1">
        <w:rPr>
          <w:b/>
          <w:sz w:val="22"/>
          <w:szCs w:val="22"/>
          <w:lang w:val="en-US"/>
        </w:rPr>
        <w:t>-1</w:t>
      </w:r>
      <w:r w:rsidR="00910685">
        <w:rPr>
          <w:b/>
          <w:sz w:val="22"/>
          <w:szCs w:val="22"/>
          <w:lang w:val="en-US"/>
        </w:rPr>
        <w:t>4</w:t>
      </w:r>
    </w:p>
    <w:p w:rsidR="00770A3C" w:rsidRPr="00C60AD1" w:rsidRDefault="00770A3C" w:rsidP="00C60AD1">
      <w:pPr>
        <w:spacing w:before="0" w:after="200"/>
        <w:jc w:val="center"/>
        <w:rPr>
          <w:b/>
          <w:sz w:val="22"/>
          <w:szCs w:val="22"/>
          <w:lang w:val="en-US"/>
        </w:rPr>
      </w:pPr>
      <w:r w:rsidRPr="00C60AD1">
        <w:rPr>
          <w:b/>
          <w:sz w:val="22"/>
          <w:szCs w:val="22"/>
          <w:lang w:val="en-US"/>
        </w:rPr>
        <w:t xml:space="preserve">FOR </w:t>
      </w:r>
    </w:p>
    <w:p w:rsidR="00770A3C" w:rsidRPr="00C60AD1" w:rsidRDefault="00EC69F7" w:rsidP="00C60AD1">
      <w:pPr>
        <w:spacing w:before="0" w:after="200"/>
        <w:jc w:val="center"/>
        <w:rPr>
          <w:sz w:val="22"/>
          <w:szCs w:val="22"/>
          <w:lang w:val="en-US"/>
        </w:rPr>
      </w:pPr>
      <w:r w:rsidRPr="00C60AD1">
        <w:rPr>
          <w:b/>
          <w:sz w:val="22"/>
          <w:szCs w:val="22"/>
          <w:lang w:val="en-US"/>
        </w:rPr>
        <w:t xml:space="preserve">DAKSHINANCHAL </w:t>
      </w:r>
      <w:r w:rsidR="00770A3C" w:rsidRPr="00C60AD1">
        <w:rPr>
          <w:b/>
          <w:sz w:val="22"/>
          <w:szCs w:val="22"/>
          <w:lang w:val="en-US"/>
        </w:rPr>
        <w:t>VIDYUT VITRAN NIGAM LIMITED</w:t>
      </w:r>
    </w:p>
    <w:p w:rsidR="00770A3C" w:rsidRPr="00C60AD1" w:rsidRDefault="00770A3C" w:rsidP="00C60AD1">
      <w:pPr>
        <w:spacing w:before="0" w:after="200"/>
        <w:jc w:val="center"/>
        <w:rPr>
          <w:sz w:val="22"/>
          <w:szCs w:val="22"/>
          <w:lang w:val="en-US"/>
        </w:rPr>
      </w:pPr>
    </w:p>
    <w:p w:rsidR="00770A3C" w:rsidRPr="00C60AD1" w:rsidRDefault="00770A3C" w:rsidP="00C60AD1">
      <w:pPr>
        <w:spacing w:before="0" w:after="200"/>
        <w:jc w:val="center"/>
        <w:rPr>
          <w:sz w:val="22"/>
          <w:szCs w:val="22"/>
          <w:lang w:val="en-US"/>
        </w:rPr>
      </w:pPr>
    </w:p>
    <w:p w:rsidR="00770A3C" w:rsidRPr="00C60AD1" w:rsidRDefault="00770A3C" w:rsidP="00C60AD1">
      <w:pPr>
        <w:spacing w:before="0" w:after="200"/>
        <w:jc w:val="center"/>
        <w:rPr>
          <w:sz w:val="22"/>
          <w:szCs w:val="22"/>
          <w:lang w:val="en-US"/>
        </w:rPr>
      </w:pPr>
    </w:p>
    <w:p w:rsidR="00770A3C" w:rsidRPr="00C60AD1" w:rsidRDefault="00770A3C" w:rsidP="00C60AD1">
      <w:pPr>
        <w:spacing w:before="0" w:after="200"/>
        <w:jc w:val="center"/>
        <w:rPr>
          <w:sz w:val="22"/>
          <w:szCs w:val="22"/>
          <w:lang w:val="en-US"/>
        </w:rPr>
      </w:pPr>
      <w:r w:rsidRPr="00C60AD1">
        <w:rPr>
          <w:sz w:val="22"/>
          <w:szCs w:val="22"/>
          <w:lang w:val="en-US"/>
        </w:rPr>
        <w:t>ORDER UNDER SECTION 62 &amp; 64 OF</w:t>
      </w:r>
    </w:p>
    <w:p w:rsidR="00770A3C" w:rsidRPr="00C60AD1" w:rsidRDefault="00770A3C" w:rsidP="00C60AD1">
      <w:pPr>
        <w:spacing w:before="0" w:after="200"/>
        <w:jc w:val="center"/>
        <w:rPr>
          <w:sz w:val="22"/>
          <w:szCs w:val="22"/>
          <w:lang w:val="en-US"/>
        </w:rPr>
      </w:pPr>
      <w:r w:rsidRPr="00C60AD1">
        <w:rPr>
          <w:sz w:val="22"/>
          <w:szCs w:val="22"/>
          <w:lang w:val="en-US"/>
        </w:rPr>
        <w:t>THE ELECTRICITY ACT, 2003</w:t>
      </w:r>
    </w:p>
    <w:p w:rsidR="00770A3C" w:rsidRPr="00C60AD1" w:rsidRDefault="00770A3C" w:rsidP="00C60AD1">
      <w:pPr>
        <w:spacing w:before="0" w:after="200"/>
        <w:jc w:val="center"/>
        <w:rPr>
          <w:sz w:val="22"/>
          <w:szCs w:val="22"/>
          <w:lang w:val="en-US"/>
        </w:rPr>
      </w:pPr>
    </w:p>
    <w:p w:rsidR="00770A3C" w:rsidRPr="00DF7698" w:rsidRDefault="00DF7698" w:rsidP="00C60AD1">
      <w:pPr>
        <w:spacing w:before="0" w:after="200"/>
        <w:jc w:val="center"/>
        <w:rPr>
          <w:szCs w:val="22"/>
          <w:lang w:val="en-US"/>
        </w:rPr>
      </w:pPr>
      <w:r w:rsidRPr="00DF7698">
        <w:rPr>
          <w:szCs w:val="22"/>
          <w:lang w:val="en-US"/>
        </w:rPr>
        <w:t>August 1</w:t>
      </w:r>
      <w:r w:rsidR="006C63AF" w:rsidRPr="00DF7698">
        <w:rPr>
          <w:szCs w:val="22"/>
          <w:lang w:val="en-US"/>
        </w:rPr>
        <w:t>, 2016</w:t>
      </w:r>
    </w:p>
    <w:p w:rsidR="007824BA" w:rsidRPr="00C60AD1" w:rsidRDefault="007824BA" w:rsidP="00C60AD1">
      <w:pPr>
        <w:spacing w:before="0" w:line="240" w:lineRule="auto"/>
        <w:jc w:val="left"/>
        <w:rPr>
          <w:b/>
          <w:sz w:val="28"/>
          <w:u w:val="single"/>
        </w:rPr>
      </w:pPr>
      <w:r w:rsidRPr="00C60AD1">
        <w:rPr>
          <w:b/>
          <w:sz w:val="28"/>
          <w:u w:val="single"/>
        </w:rPr>
        <w:br w:type="page"/>
      </w:r>
    </w:p>
    <w:p w:rsidR="00C25F67" w:rsidRPr="00C60AD1" w:rsidRDefault="00C25F67" w:rsidP="00C60AD1">
      <w:pPr>
        <w:jc w:val="center"/>
      </w:pPr>
      <w:r w:rsidRPr="00C60AD1">
        <w:rPr>
          <w:b/>
          <w:sz w:val="28"/>
          <w:u w:val="single"/>
        </w:rPr>
        <w:lastRenderedPageBreak/>
        <w:t>TABLE OF CONTENTS</w:t>
      </w:r>
    </w:p>
    <w:p w:rsidR="00423092" w:rsidRDefault="009741CA">
      <w:pPr>
        <w:pStyle w:val="TOC1"/>
        <w:rPr>
          <w:rFonts w:eastAsiaTheme="minorEastAsia" w:cstheme="minorBidi"/>
          <w:bCs w:val="0"/>
          <w:caps w:val="0"/>
          <w:noProof/>
          <w:sz w:val="22"/>
          <w:szCs w:val="22"/>
          <w:lang w:val="en-US"/>
        </w:rPr>
      </w:pPr>
      <w:r w:rsidRPr="009741CA">
        <w:rPr>
          <w:sz w:val="24"/>
          <w:szCs w:val="24"/>
        </w:rPr>
        <w:fldChar w:fldCharType="begin"/>
      </w:r>
      <w:r w:rsidR="00F43D9C" w:rsidRPr="004073C9">
        <w:rPr>
          <w:sz w:val="24"/>
          <w:szCs w:val="24"/>
        </w:rPr>
        <w:instrText xml:space="preserve"> TOC \o "1-2" \h \z \u </w:instrText>
      </w:r>
      <w:r w:rsidRPr="009741CA">
        <w:rPr>
          <w:sz w:val="24"/>
          <w:szCs w:val="24"/>
        </w:rPr>
        <w:fldChar w:fldCharType="separate"/>
      </w:r>
      <w:hyperlink w:anchor="_Toc457603874" w:history="1">
        <w:r w:rsidR="00423092" w:rsidRPr="0040197A">
          <w:rPr>
            <w:rStyle w:val="Hyperlink"/>
            <w:noProof/>
          </w:rPr>
          <w:t>1.</w:t>
        </w:r>
        <w:r w:rsidR="00423092">
          <w:rPr>
            <w:rFonts w:eastAsiaTheme="minorEastAsia" w:cstheme="minorBidi"/>
            <w:bCs w:val="0"/>
            <w:caps w:val="0"/>
            <w:noProof/>
            <w:sz w:val="22"/>
            <w:szCs w:val="22"/>
            <w:lang w:val="en-US"/>
          </w:rPr>
          <w:tab/>
        </w:r>
        <w:r w:rsidR="00423092" w:rsidRPr="0040197A">
          <w:rPr>
            <w:rStyle w:val="Hyperlink"/>
            <w:noProof/>
          </w:rPr>
          <w:t>BACKGROUND AND BRIEF HISTORY</w:t>
        </w:r>
        <w:r w:rsidR="00423092">
          <w:rPr>
            <w:noProof/>
            <w:webHidden/>
          </w:rPr>
          <w:tab/>
        </w:r>
        <w:r>
          <w:rPr>
            <w:noProof/>
            <w:webHidden/>
          </w:rPr>
          <w:fldChar w:fldCharType="begin"/>
        </w:r>
        <w:r w:rsidR="00423092">
          <w:rPr>
            <w:noProof/>
            <w:webHidden/>
          </w:rPr>
          <w:instrText xml:space="preserve"> PAGEREF _Toc457603874 \h </w:instrText>
        </w:r>
        <w:r>
          <w:rPr>
            <w:noProof/>
            <w:webHidden/>
          </w:rPr>
        </w:r>
        <w:r>
          <w:rPr>
            <w:noProof/>
            <w:webHidden/>
          </w:rPr>
          <w:fldChar w:fldCharType="separate"/>
        </w:r>
        <w:r w:rsidR="00BA08F0">
          <w:rPr>
            <w:noProof/>
            <w:webHidden/>
          </w:rPr>
          <w:t>12</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75" w:history="1">
        <w:r w:rsidR="00423092" w:rsidRPr="0040197A">
          <w:rPr>
            <w:rStyle w:val="Hyperlink"/>
            <w:rFonts w:cs="Calibri"/>
            <w:noProof/>
            <w:lang w:val="en-US"/>
          </w:rPr>
          <w:t>1.1</w:t>
        </w:r>
        <w:r w:rsidR="00423092">
          <w:rPr>
            <w:rFonts w:eastAsiaTheme="minorEastAsia" w:cstheme="minorBidi"/>
            <w:smallCaps w:val="0"/>
            <w:noProof/>
            <w:sz w:val="22"/>
            <w:szCs w:val="22"/>
            <w:lang w:val="en-US"/>
          </w:rPr>
          <w:tab/>
        </w:r>
        <w:r w:rsidR="00423092" w:rsidRPr="0040197A">
          <w:rPr>
            <w:rStyle w:val="Hyperlink"/>
            <w:rFonts w:cs="Calibri"/>
            <w:noProof/>
            <w:lang w:val="en-US"/>
          </w:rPr>
          <w:t>BACKGROUND:</w:t>
        </w:r>
        <w:r w:rsidR="00423092">
          <w:rPr>
            <w:noProof/>
            <w:webHidden/>
          </w:rPr>
          <w:tab/>
        </w:r>
        <w:r>
          <w:rPr>
            <w:noProof/>
            <w:webHidden/>
          </w:rPr>
          <w:fldChar w:fldCharType="begin"/>
        </w:r>
        <w:r w:rsidR="00423092">
          <w:rPr>
            <w:noProof/>
            <w:webHidden/>
          </w:rPr>
          <w:instrText xml:space="preserve"> PAGEREF _Toc457603875 \h </w:instrText>
        </w:r>
        <w:r>
          <w:rPr>
            <w:noProof/>
            <w:webHidden/>
          </w:rPr>
        </w:r>
        <w:r>
          <w:rPr>
            <w:noProof/>
            <w:webHidden/>
          </w:rPr>
          <w:fldChar w:fldCharType="separate"/>
        </w:r>
        <w:r w:rsidR="00BA08F0">
          <w:rPr>
            <w:noProof/>
            <w:webHidden/>
          </w:rPr>
          <w:t>12</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76" w:history="1">
        <w:r w:rsidR="00423092" w:rsidRPr="0040197A">
          <w:rPr>
            <w:rStyle w:val="Hyperlink"/>
            <w:rFonts w:cs="Calibri"/>
            <w:noProof/>
            <w:lang w:val="en-US"/>
          </w:rPr>
          <w:t>1.2</w:t>
        </w:r>
        <w:r w:rsidR="00423092">
          <w:rPr>
            <w:rFonts w:eastAsiaTheme="minorEastAsia" w:cstheme="minorBidi"/>
            <w:smallCaps w:val="0"/>
            <w:noProof/>
            <w:sz w:val="22"/>
            <w:szCs w:val="22"/>
            <w:lang w:val="en-US"/>
          </w:rPr>
          <w:tab/>
        </w:r>
        <w:r w:rsidR="00423092" w:rsidRPr="0040197A">
          <w:rPr>
            <w:rStyle w:val="Hyperlink"/>
            <w:rFonts w:cs="Calibri"/>
            <w:noProof/>
            <w:lang w:val="en-US"/>
          </w:rPr>
          <w:t>DISTRIBUTION TARIFF REGULATIONS:</w:t>
        </w:r>
        <w:r w:rsidR="00423092">
          <w:rPr>
            <w:noProof/>
            <w:webHidden/>
          </w:rPr>
          <w:tab/>
        </w:r>
        <w:r>
          <w:rPr>
            <w:noProof/>
            <w:webHidden/>
          </w:rPr>
          <w:fldChar w:fldCharType="begin"/>
        </w:r>
        <w:r w:rsidR="00423092">
          <w:rPr>
            <w:noProof/>
            <w:webHidden/>
          </w:rPr>
          <w:instrText xml:space="preserve"> PAGEREF _Toc457603876 \h </w:instrText>
        </w:r>
        <w:r>
          <w:rPr>
            <w:noProof/>
            <w:webHidden/>
          </w:rPr>
        </w:r>
        <w:r>
          <w:rPr>
            <w:noProof/>
            <w:webHidden/>
          </w:rPr>
          <w:fldChar w:fldCharType="separate"/>
        </w:r>
        <w:r w:rsidR="00BA08F0">
          <w:rPr>
            <w:noProof/>
            <w:webHidden/>
          </w:rPr>
          <w:t>13</w:t>
        </w:r>
        <w:r>
          <w:rPr>
            <w:noProof/>
            <w:webHidden/>
          </w:rPr>
          <w:fldChar w:fldCharType="end"/>
        </w:r>
      </w:hyperlink>
    </w:p>
    <w:p w:rsidR="00423092" w:rsidRDefault="009741CA">
      <w:pPr>
        <w:pStyle w:val="TOC1"/>
        <w:rPr>
          <w:rFonts w:eastAsiaTheme="minorEastAsia" w:cstheme="minorBidi"/>
          <w:bCs w:val="0"/>
          <w:caps w:val="0"/>
          <w:noProof/>
          <w:sz w:val="22"/>
          <w:szCs w:val="22"/>
          <w:lang w:val="en-US"/>
        </w:rPr>
      </w:pPr>
      <w:hyperlink w:anchor="_Toc457603877" w:history="1">
        <w:r w:rsidR="00423092" w:rsidRPr="0040197A">
          <w:rPr>
            <w:rStyle w:val="Hyperlink"/>
            <w:noProof/>
          </w:rPr>
          <w:t>2.</w:t>
        </w:r>
        <w:r w:rsidR="00423092">
          <w:rPr>
            <w:rFonts w:eastAsiaTheme="minorEastAsia" w:cstheme="minorBidi"/>
            <w:bCs w:val="0"/>
            <w:caps w:val="0"/>
            <w:noProof/>
            <w:sz w:val="22"/>
            <w:szCs w:val="22"/>
            <w:lang w:val="en-US"/>
          </w:rPr>
          <w:tab/>
        </w:r>
        <w:r w:rsidR="00423092" w:rsidRPr="0040197A">
          <w:rPr>
            <w:rStyle w:val="Hyperlink"/>
            <w:noProof/>
          </w:rPr>
          <w:t>PROCEDURAL HISTORY</w:t>
        </w:r>
        <w:r w:rsidR="00423092">
          <w:rPr>
            <w:noProof/>
            <w:webHidden/>
          </w:rPr>
          <w:tab/>
        </w:r>
        <w:r>
          <w:rPr>
            <w:noProof/>
            <w:webHidden/>
          </w:rPr>
          <w:fldChar w:fldCharType="begin"/>
        </w:r>
        <w:r w:rsidR="00423092">
          <w:rPr>
            <w:noProof/>
            <w:webHidden/>
          </w:rPr>
          <w:instrText xml:space="preserve"> PAGEREF _Toc457603877 \h </w:instrText>
        </w:r>
        <w:r>
          <w:rPr>
            <w:noProof/>
            <w:webHidden/>
          </w:rPr>
        </w:r>
        <w:r>
          <w:rPr>
            <w:noProof/>
            <w:webHidden/>
          </w:rPr>
          <w:fldChar w:fldCharType="separate"/>
        </w:r>
        <w:r w:rsidR="00BA08F0">
          <w:rPr>
            <w:noProof/>
            <w:webHidden/>
          </w:rPr>
          <w:t>15</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78" w:history="1">
        <w:r w:rsidR="00423092" w:rsidRPr="0040197A">
          <w:rPr>
            <w:rStyle w:val="Hyperlink"/>
            <w:rFonts w:cs="Calibri"/>
            <w:noProof/>
            <w:lang w:val="en-US"/>
          </w:rPr>
          <w:t>2.1</w:t>
        </w:r>
        <w:r w:rsidR="00423092">
          <w:rPr>
            <w:rFonts w:eastAsiaTheme="minorEastAsia" w:cstheme="minorBidi"/>
            <w:smallCaps w:val="0"/>
            <w:noProof/>
            <w:sz w:val="22"/>
            <w:szCs w:val="22"/>
            <w:lang w:val="en-US"/>
          </w:rPr>
          <w:tab/>
        </w:r>
        <w:r w:rsidR="00423092" w:rsidRPr="0040197A">
          <w:rPr>
            <w:rStyle w:val="Hyperlink"/>
            <w:rFonts w:cs="Calibri"/>
            <w:noProof/>
            <w:lang w:val="en-US"/>
          </w:rPr>
          <w:t>ARR / TARIFF AND TRUE UP PETITION BY THE LICENSEE</w:t>
        </w:r>
        <w:r w:rsidR="00423092">
          <w:rPr>
            <w:noProof/>
            <w:webHidden/>
          </w:rPr>
          <w:tab/>
        </w:r>
        <w:r>
          <w:rPr>
            <w:noProof/>
            <w:webHidden/>
          </w:rPr>
          <w:fldChar w:fldCharType="begin"/>
        </w:r>
        <w:r w:rsidR="00423092">
          <w:rPr>
            <w:noProof/>
            <w:webHidden/>
          </w:rPr>
          <w:instrText xml:space="preserve"> PAGEREF _Toc457603878 \h </w:instrText>
        </w:r>
        <w:r>
          <w:rPr>
            <w:noProof/>
            <w:webHidden/>
          </w:rPr>
        </w:r>
        <w:r>
          <w:rPr>
            <w:noProof/>
            <w:webHidden/>
          </w:rPr>
          <w:fldChar w:fldCharType="separate"/>
        </w:r>
        <w:r w:rsidR="00BA08F0">
          <w:rPr>
            <w:noProof/>
            <w:webHidden/>
          </w:rPr>
          <w:t>15</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79" w:history="1">
        <w:r w:rsidR="00423092" w:rsidRPr="0040197A">
          <w:rPr>
            <w:rStyle w:val="Hyperlink"/>
            <w:rFonts w:cs="Calibri"/>
            <w:noProof/>
          </w:rPr>
          <w:t>2.2</w:t>
        </w:r>
        <w:r w:rsidR="00423092">
          <w:rPr>
            <w:rFonts w:eastAsiaTheme="minorEastAsia" w:cstheme="minorBidi"/>
            <w:smallCaps w:val="0"/>
            <w:noProof/>
            <w:sz w:val="22"/>
            <w:szCs w:val="22"/>
            <w:lang w:val="en-US"/>
          </w:rPr>
          <w:tab/>
        </w:r>
        <w:r w:rsidR="00423092" w:rsidRPr="0040197A">
          <w:rPr>
            <w:rStyle w:val="Hyperlink"/>
            <w:rFonts w:cs="Calibri"/>
            <w:noProof/>
          </w:rPr>
          <w:t xml:space="preserve">PRELIMINARY </w:t>
        </w:r>
        <w:r w:rsidR="00423092" w:rsidRPr="0040197A">
          <w:rPr>
            <w:rStyle w:val="Hyperlink"/>
            <w:rFonts w:cs="Calibri"/>
            <w:noProof/>
            <w:lang w:val="en-US"/>
          </w:rPr>
          <w:t>SCRUTINY</w:t>
        </w:r>
        <w:r w:rsidR="00423092" w:rsidRPr="0040197A">
          <w:rPr>
            <w:rStyle w:val="Hyperlink"/>
            <w:rFonts w:cs="Calibri"/>
            <w:noProof/>
          </w:rPr>
          <w:t xml:space="preserve"> OF THE PETITION:</w:t>
        </w:r>
        <w:r w:rsidR="00423092">
          <w:rPr>
            <w:noProof/>
            <w:webHidden/>
          </w:rPr>
          <w:tab/>
        </w:r>
        <w:r>
          <w:rPr>
            <w:noProof/>
            <w:webHidden/>
          </w:rPr>
          <w:fldChar w:fldCharType="begin"/>
        </w:r>
        <w:r w:rsidR="00423092">
          <w:rPr>
            <w:noProof/>
            <w:webHidden/>
          </w:rPr>
          <w:instrText xml:space="preserve"> PAGEREF _Toc457603879 \h </w:instrText>
        </w:r>
        <w:r>
          <w:rPr>
            <w:noProof/>
            <w:webHidden/>
          </w:rPr>
        </w:r>
        <w:r>
          <w:rPr>
            <w:noProof/>
            <w:webHidden/>
          </w:rPr>
          <w:fldChar w:fldCharType="separate"/>
        </w:r>
        <w:r w:rsidR="00BA08F0">
          <w:rPr>
            <w:noProof/>
            <w:webHidden/>
          </w:rPr>
          <w:t>15</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80" w:history="1">
        <w:r w:rsidR="00423092" w:rsidRPr="0040197A">
          <w:rPr>
            <w:rStyle w:val="Hyperlink"/>
            <w:rFonts w:cs="Calibri"/>
            <w:noProof/>
          </w:rPr>
          <w:t>2.3</w:t>
        </w:r>
        <w:r w:rsidR="00423092">
          <w:rPr>
            <w:rFonts w:eastAsiaTheme="minorEastAsia" w:cstheme="minorBidi"/>
            <w:smallCaps w:val="0"/>
            <w:noProof/>
            <w:sz w:val="22"/>
            <w:szCs w:val="22"/>
            <w:lang w:val="en-US"/>
          </w:rPr>
          <w:tab/>
        </w:r>
        <w:r w:rsidR="00423092" w:rsidRPr="0040197A">
          <w:rPr>
            <w:rStyle w:val="Hyperlink"/>
            <w:rFonts w:cs="Calibri"/>
            <w:noProof/>
          </w:rPr>
          <w:t>ADMITTANCE OF THE TRUE-UP AND ARR / TARIFF PETITION</w:t>
        </w:r>
        <w:r w:rsidR="00423092">
          <w:rPr>
            <w:noProof/>
            <w:webHidden/>
          </w:rPr>
          <w:tab/>
        </w:r>
        <w:r>
          <w:rPr>
            <w:noProof/>
            <w:webHidden/>
          </w:rPr>
          <w:fldChar w:fldCharType="begin"/>
        </w:r>
        <w:r w:rsidR="00423092">
          <w:rPr>
            <w:noProof/>
            <w:webHidden/>
          </w:rPr>
          <w:instrText xml:space="preserve"> PAGEREF _Toc457603880 \h </w:instrText>
        </w:r>
        <w:r>
          <w:rPr>
            <w:noProof/>
            <w:webHidden/>
          </w:rPr>
        </w:r>
        <w:r>
          <w:rPr>
            <w:noProof/>
            <w:webHidden/>
          </w:rPr>
          <w:fldChar w:fldCharType="separate"/>
        </w:r>
        <w:r w:rsidR="00BA08F0">
          <w:rPr>
            <w:noProof/>
            <w:webHidden/>
          </w:rPr>
          <w:t>16</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81" w:history="1">
        <w:r w:rsidR="00423092" w:rsidRPr="0040197A">
          <w:rPr>
            <w:rStyle w:val="Hyperlink"/>
            <w:rFonts w:cs="Calibri"/>
            <w:noProof/>
            <w:lang w:val="en-US"/>
          </w:rPr>
          <w:t>2.4</w:t>
        </w:r>
        <w:r w:rsidR="00423092">
          <w:rPr>
            <w:rFonts w:eastAsiaTheme="minorEastAsia" w:cstheme="minorBidi"/>
            <w:smallCaps w:val="0"/>
            <w:noProof/>
            <w:sz w:val="22"/>
            <w:szCs w:val="22"/>
            <w:lang w:val="en-US"/>
          </w:rPr>
          <w:tab/>
        </w:r>
        <w:r w:rsidR="00423092" w:rsidRPr="0040197A">
          <w:rPr>
            <w:rStyle w:val="Hyperlink"/>
            <w:rFonts w:cs="Calibri"/>
            <w:noProof/>
            <w:lang w:val="en-US"/>
          </w:rPr>
          <w:t xml:space="preserve">PUBLICITY OF </w:t>
        </w:r>
        <w:r w:rsidR="00423092" w:rsidRPr="0040197A">
          <w:rPr>
            <w:rStyle w:val="Hyperlink"/>
            <w:rFonts w:cs="Calibri"/>
            <w:noProof/>
          </w:rPr>
          <w:t>THE</w:t>
        </w:r>
        <w:r w:rsidR="00423092" w:rsidRPr="0040197A">
          <w:rPr>
            <w:rStyle w:val="Hyperlink"/>
            <w:rFonts w:cs="Calibri"/>
            <w:noProof/>
            <w:lang w:val="en-US"/>
          </w:rPr>
          <w:t xml:space="preserve"> PETITION</w:t>
        </w:r>
        <w:r w:rsidR="00423092">
          <w:rPr>
            <w:noProof/>
            <w:webHidden/>
          </w:rPr>
          <w:tab/>
        </w:r>
        <w:r>
          <w:rPr>
            <w:noProof/>
            <w:webHidden/>
          </w:rPr>
          <w:fldChar w:fldCharType="begin"/>
        </w:r>
        <w:r w:rsidR="00423092">
          <w:rPr>
            <w:noProof/>
            <w:webHidden/>
          </w:rPr>
          <w:instrText xml:space="preserve"> PAGEREF _Toc457603881 \h </w:instrText>
        </w:r>
        <w:r>
          <w:rPr>
            <w:noProof/>
            <w:webHidden/>
          </w:rPr>
        </w:r>
        <w:r>
          <w:rPr>
            <w:noProof/>
            <w:webHidden/>
          </w:rPr>
          <w:fldChar w:fldCharType="separate"/>
        </w:r>
        <w:r w:rsidR="00BA08F0">
          <w:rPr>
            <w:noProof/>
            <w:webHidden/>
          </w:rPr>
          <w:t>17</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82" w:history="1">
        <w:r w:rsidR="00423092" w:rsidRPr="0040197A">
          <w:rPr>
            <w:rStyle w:val="Hyperlink"/>
            <w:rFonts w:cs="Calibri"/>
            <w:noProof/>
            <w:lang w:val="en-US"/>
          </w:rPr>
          <w:t>2.5</w:t>
        </w:r>
        <w:r w:rsidR="00423092">
          <w:rPr>
            <w:rFonts w:eastAsiaTheme="minorEastAsia" w:cstheme="minorBidi"/>
            <w:smallCaps w:val="0"/>
            <w:noProof/>
            <w:sz w:val="22"/>
            <w:szCs w:val="22"/>
            <w:lang w:val="en-US"/>
          </w:rPr>
          <w:tab/>
        </w:r>
        <w:r w:rsidR="00423092" w:rsidRPr="0040197A">
          <w:rPr>
            <w:rStyle w:val="Hyperlink"/>
            <w:rFonts w:cs="Calibri"/>
            <w:noProof/>
            <w:lang w:val="en-US"/>
          </w:rPr>
          <w:t>PUBLIC HEARING PROCESS</w:t>
        </w:r>
        <w:r w:rsidR="00423092">
          <w:rPr>
            <w:noProof/>
            <w:webHidden/>
          </w:rPr>
          <w:tab/>
        </w:r>
        <w:r>
          <w:rPr>
            <w:noProof/>
            <w:webHidden/>
          </w:rPr>
          <w:fldChar w:fldCharType="begin"/>
        </w:r>
        <w:r w:rsidR="00423092">
          <w:rPr>
            <w:noProof/>
            <w:webHidden/>
          </w:rPr>
          <w:instrText xml:space="preserve"> PAGEREF _Toc457603882 \h </w:instrText>
        </w:r>
        <w:r>
          <w:rPr>
            <w:noProof/>
            <w:webHidden/>
          </w:rPr>
        </w:r>
        <w:r>
          <w:rPr>
            <w:noProof/>
            <w:webHidden/>
          </w:rPr>
          <w:fldChar w:fldCharType="separate"/>
        </w:r>
        <w:r w:rsidR="00BA08F0">
          <w:rPr>
            <w:noProof/>
            <w:webHidden/>
          </w:rPr>
          <w:t>17</w:t>
        </w:r>
        <w:r>
          <w:rPr>
            <w:noProof/>
            <w:webHidden/>
          </w:rPr>
          <w:fldChar w:fldCharType="end"/>
        </w:r>
      </w:hyperlink>
    </w:p>
    <w:p w:rsidR="00423092" w:rsidRDefault="009741CA">
      <w:pPr>
        <w:pStyle w:val="TOC1"/>
        <w:rPr>
          <w:rFonts w:eastAsiaTheme="minorEastAsia" w:cstheme="minorBidi"/>
          <w:bCs w:val="0"/>
          <w:caps w:val="0"/>
          <w:noProof/>
          <w:sz w:val="22"/>
          <w:szCs w:val="22"/>
          <w:lang w:val="en-US"/>
        </w:rPr>
      </w:pPr>
      <w:hyperlink w:anchor="_Toc457603883" w:history="1">
        <w:r w:rsidR="00423092" w:rsidRPr="0040197A">
          <w:rPr>
            <w:rStyle w:val="Hyperlink"/>
            <w:rFonts w:eastAsiaTheme="majorEastAsia"/>
            <w:noProof/>
            <w:lang w:val="en-US"/>
          </w:rPr>
          <w:t>3.</w:t>
        </w:r>
        <w:r w:rsidR="00423092">
          <w:rPr>
            <w:rFonts w:eastAsiaTheme="minorEastAsia" w:cstheme="minorBidi"/>
            <w:bCs w:val="0"/>
            <w:caps w:val="0"/>
            <w:noProof/>
            <w:sz w:val="22"/>
            <w:szCs w:val="22"/>
            <w:lang w:val="en-US"/>
          </w:rPr>
          <w:tab/>
        </w:r>
        <w:r w:rsidR="00423092" w:rsidRPr="0040197A">
          <w:rPr>
            <w:rStyle w:val="Hyperlink"/>
            <w:noProof/>
          </w:rPr>
          <w:t>PUBLIC HEARING PROCESS</w:t>
        </w:r>
        <w:r w:rsidR="00423092">
          <w:rPr>
            <w:noProof/>
            <w:webHidden/>
          </w:rPr>
          <w:tab/>
        </w:r>
        <w:r>
          <w:rPr>
            <w:noProof/>
            <w:webHidden/>
          </w:rPr>
          <w:fldChar w:fldCharType="begin"/>
        </w:r>
        <w:r w:rsidR="00423092">
          <w:rPr>
            <w:noProof/>
            <w:webHidden/>
          </w:rPr>
          <w:instrText xml:space="preserve"> PAGEREF _Toc457603883 \h </w:instrText>
        </w:r>
        <w:r>
          <w:rPr>
            <w:noProof/>
            <w:webHidden/>
          </w:rPr>
        </w:r>
        <w:r>
          <w:rPr>
            <w:noProof/>
            <w:webHidden/>
          </w:rPr>
          <w:fldChar w:fldCharType="separate"/>
        </w:r>
        <w:r w:rsidR="00BA08F0">
          <w:rPr>
            <w:noProof/>
            <w:webHidden/>
          </w:rPr>
          <w:t>18</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84" w:history="1">
        <w:r w:rsidR="00423092" w:rsidRPr="0040197A">
          <w:rPr>
            <w:rStyle w:val="Hyperlink"/>
            <w:noProof/>
          </w:rPr>
          <w:t>3.1</w:t>
        </w:r>
        <w:r w:rsidR="00423092">
          <w:rPr>
            <w:rFonts w:eastAsiaTheme="minorEastAsia" w:cstheme="minorBidi"/>
            <w:smallCaps w:val="0"/>
            <w:noProof/>
            <w:sz w:val="22"/>
            <w:szCs w:val="22"/>
            <w:lang w:val="en-US"/>
          </w:rPr>
          <w:tab/>
        </w:r>
        <w:r w:rsidR="00423092" w:rsidRPr="0040197A">
          <w:rPr>
            <w:rStyle w:val="Hyperlink"/>
            <w:noProof/>
          </w:rPr>
          <w:t>OBJECTIVE:</w:t>
        </w:r>
        <w:r w:rsidR="00423092">
          <w:rPr>
            <w:noProof/>
            <w:webHidden/>
          </w:rPr>
          <w:tab/>
        </w:r>
        <w:r>
          <w:rPr>
            <w:noProof/>
            <w:webHidden/>
          </w:rPr>
          <w:fldChar w:fldCharType="begin"/>
        </w:r>
        <w:r w:rsidR="00423092">
          <w:rPr>
            <w:noProof/>
            <w:webHidden/>
          </w:rPr>
          <w:instrText xml:space="preserve"> PAGEREF _Toc457603884 \h </w:instrText>
        </w:r>
        <w:r>
          <w:rPr>
            <w:noProof/>
            <w:webHidden/>
          </w:rPr>
        </w:r>
        <w:r>
          <w:rPr>
            <w:noProof/>
            <w:webHidden/>
          </w:rPr>
          <w:fldChar w:fldCharType="separate"/>
        </w:r>
        <w:r w:rsidR="00BA08F0">
          <w:rPr>
            <w:noProof/>
            <w:webHidden/>
          </w:rPr>
          <w:t>18</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85" w:history="1">
        <w:r w:rsidR="00423092" w:rsidRPr="0040197A">
          <w:rPr>
            <w:rStyle w:val="Hyperlink"/>
            <w:noProof/>
          </w:rPr>
          <w:t>3.2</w:t>
        </w:r>
        <w:r w:rsidR="00423092">
          <w:rPr>
            <w:rFonts w:eastAsiaTheme="minorEastAsia" w:cstheme="minorBidi"/>
            <w:smallCaps w:val="0"/>
            <w:noProof/>
            <w:sz w:val="22"/>
            <w:szCs w:val="22"/>
            <w:lang w:val="en-US"/>
          </w:rPr>
          <w:tab/>
        </w:r>
        <w:r w:rsidR="00423092" w:rsidRPr="0040197A">
          <w:rPr>
            <w:rStyle w:val="Hyperlink"/>
            <w:noProof/>
          </w:rPr>
          <w:t>PUBLIC HEARING:</w:t>
        </w:r>
        <w:r w:rsidR="00423092">
          <w:rPr>
            <w:noProof/>
            <w:webHidden/>
          </w:rPr>
          <w:tab/>
        </w:r>
        <w:r>
          <w:rPr>
            <w:noProof/>
            <w:webHidden/>
          </w:rPr>
          <w:fldChar w:fldCharType="begin"/>
        </w:r>
        <w:r w:rsidR="00423092">
          <w:rPr>
            <w:noProof/>
            <w:webHidden/>
          </w:rPr>
          <w:instrText xml:space="preserve"> PAGEREF _Toc457603885 \h </w:instrText>
        </w:r>
        <w:r>
          <w:rPr>
            <w:noProof/>
            <w:webHidden/>
          </w:rPr>
        </w:r>
        <w:r>
          <w:rPr>
            <w:noProof/>
            <w:webHidden/>
          </w:rPr>
          <w:fldChar w:fldCharType="separate"/>
        </w:r>
        <w:r w:rsidR="00BA08F0">
          <w:rPr>
            <w:noProof/>
            <w:webHidden/>
          </w:rPr>
          <w:t>18</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86" w:history="1">
        <w:r w:rsidR="00423092" w:rsidRPr="0040197A">
          <w:rPr>
            <w:rStyle w:val="Hyperlink"/>
            <w:noProof/>
          </w:rPr>
          <w:t>3.3</w:t>
        </w:r>
        <w:r w:rsidR="00423092">
          <w:rPr>
            <w:rFonts w:eastAsiaTheme="minorEastAsia" w:cstheme="minorBidi"/>
            <w:smallCaps w:val="0"/>
            <w:noProof/>
            <w:sz w:val="22"/>
            <w:szCs w:val="22"/>
            <w:lang w:val="en-US"/>
          </w:rPr>
          <w:tab/>
        </w:r>
        <w:r w:rsidR="00423092" w:rsidRPr="0040197A">
          <w:rPr>
            <w:rStyle w:val="Hyperlink"/>
            <w:noProof/>
          </w:rPr>
          <w:t>VIEWS / COMMENTS / SUGGESTIONS / OBJECTIONS / REPRESENTATIONS ON TRUE-UP / ARR / TARIFF PETITION</w:t>
        </w:r>
        <w:r w:rsidR="00423092">
          <w:rPr>
            <w:noProof/>
            <w:webHidden/>
          </w:rPr>
          <w:tab/>
        </w:r>
        <w:r>
          <w:rPr>
            <w:noProof/>
            <w:webHidden/>
          </w:rPr>
          <w:fldChar w:fldCharType="begin"/>
        </w:r>
        <w:r w:rsidR="00423092">
          <w:rPr>
            <w:noProof/>
            <w:webHidden/>
          </w:rPr>
          <w:instrText xml:space="preserve"> PAGEREF _Toc457603886 \h </w:instrText>
        </w:r>
        <w:r>
          <w:rPr>
            <w:noProof/>
            <w:webHidden/>
          </w:rPr>
        </w:r>
        <w:r>
          <w:rPr>
            <w:noProof/>
            <w:webHidden/>
          </w:rPr>
          <w:fldChar w:fldCharType="separate"/>
        </w:r>
        <w:r w:rsidR="00BA08F0">
          <w:rPr>
            <w:noProof/>
            <w:webHidden/>
          </w:rPr>
          <w:t>19</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87" w:history="1">
        <w:r w:rsidR="00423092" w:rsidRPr="0040197A">
          <w:rPr>
            <w:rStyle w:val="Hyperlink"/>
            <w:rFonts w:ascii="Calibri" w:hAnsi="Calibri"/>
            <w:noProof/>
          </w:rPr>
          <w:t>3.4</w:t>
        </w:r>
        <w:r w:rsidR="00423092">
          <w:rPr>
            <w:rFonts w:eastAsiaTheme="minorEastAsia" w:cstheme="minorBidi"/>
            <w:smallCaps w:val="0"/>
            <w:noProof/>
            <w:sz w:val="22"/>
            <w:szCs w:val="22"/>
            <w:lang w:val="en-US"/>
          </w:rPr>
          <w:tab/>
        </w:r>
        <w:r w:rsidR="00423092" w:rsidRPr="0040197A">
          <w:rPr>
            <w:rStyle w:val="Hyperlink"/>
            <w:rFonts w:ascii="Calibri" w:hAnsi="Calibri"/>
            <w:noProof/>
          </w:rPr>
          <w:t>SINGLE POINT SUPPLY</w:t>
        </w:r>
        <w:r w:rsidR="00423092">
          <w:rPr>
            <w:noProof/>
            <w:webHidden/>
          </w:rPr>
          <w:tab/>
        </w:r>
        <w:r>
          <w:rPr>
            <w:noProof/>
            <w:webHidden/>
          </w:rPr>
          <w:fldChar w:fldCharType="begin"/>
        </w:r>
        <w:r w:rsidR="00423092">
          <w:rPr>
            <w:noProof/>
            <w:webHidden/>
          </w:rPr>
          <w:instrText xml:space="preserve"> PAGEREF _Toc457603887 \h </w:instrText>
        </w:r>
        <w:r>
          <w:rPr>
            <w:noProof/>
            <w:webHidden/>
          </w:rPr>
        </w:r>
        <w:r>
          <w:rPr>
            <w:noProof/>
            <w:webHidden/>
          </w:rPr>
          <w:fldChar w:fldCharType="separate"/>
        </w:r>
        <w:r w:rsidR="00BA08F0">
          <w:rPr>
            <w:noProof/>
            <w:webHidden/>
          </w:rPr>
          <w:t>20</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88" w:history="1">
        <w:r w:rsidR="00423092" w:rsidRPr="0040197A">
          <w:rPr>
            <w:rStyle w:val="Hyperlink"/>
            <w:rFonts w:ascii="Calibri" w:hAnsi="Calibri"/>
            <w:noProof/>
          </w:rPr>
          <w:t>3.5</w:t>
        </w:r>
        <w:r w:rsidR="00423092">
          <w:rPr>
            <w:rFonts w:eastAsiaTheme="minorEastAsia" w:cstheme="minorBidi"/>
            <w:smallCaps w:val="0"/>
            <w:noProof/>
            <w:sz w:val="22"/>
            <w:szCs w:val="22"/>
            <w:lang w:val="en-US"/>
          </w:rPr>
          <w:tab/>
        </w:r>
        <w:r w:rsidR="00423092" w:rsidRPr="0040197A">
          <w:rPr>
            <w:rStyle w:val="Hyperlink"/>
            <w:rFonts w:ascii="Calibri" w:hAnsi="Calibri"/>
            <w:noProof/>
          </w:rPr>
          <w:t>ARR &amp; TRUE UP</w:t>
        </w:r>
        <w:r w:rsidR="00423092">
          <w:rPr>
            <w:noProof/>
            <w:webHidden/>
          </w:rPr>
          <w:tab/>
        </w:r>
        <w:r>
          <w:rPr>
            <w:noProof/>
            <w:webHidden/>
          </w:rPr>
          <w:fldChar w:fldCharType="begin"/>
        </w:r>
        <w:r w:rsidR="00423092">
          <w:rPr>
            <w:noProof/>
            <w:webHidden/>
          </w:rPr>
          <w:instrText xml:space="preserve"> PAGEREF _Toc457603888 \h </w:instrText>
        </w:r>
        <w:r>
          <w:rPr>
            <w:noProof/>
            <w:webHidden/>
          </w:rPr>
        </w:r>
        <w:r>
          <w:rPr>
            <w:noProof/>
            <w:webHidden/>
          </w:rPr>
          <w:fldChar w:fldCharType="separate"/>
        </w:r>
        <w:r w:rsidR="00BA08F0">
          <w:rPr>
            <w:noProof/>
            <w:webHidden/>
          </w:rPr>
          <w:t>23</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89" w:history="1">
        <w:r w:rsidR="00423092" w:rsidRPr="0040197A">
          <w:rPr>
            <w:rStyle w:val="Hyperlink"/>
            <w:rFonts w:ascii="Calibri" w:hAnsi="Calibri" w:cs="Arial"/>
            <w:noProof/>
          </w:rPr>
          <w:t>3.6</w:t>
        </w:r>
        <w:r w:rsidR="00423092">
          <w:rPr>
            <w:rFonts w:eastAsiaTheme="minorEastAsia" w:cstheme="minorBidi"/>
            <w:smallCaps w:val="0"/>
            <w:noProof/>
            <w:sz w:val="22"/>
            <w:szCs w:val="22"/>
            <w:lang w:val="en-US"/>
          </w:rPr>
          <w:tab/>
        </w:r>
        <w:r w:rsidR="00423092" w:rsidRPr="0040197A">
          <w:rPr>
            <w:rStyle w:val="Hyperlink"/>
            <w:rFonts w:ascii="Calibri" w:hAnsi="Calibri" w:cs="Arial"/>
            <w:noProof/>
          </w:rPr>
          <w:t>TIME OF DAY TARIFF</w:t>
        </w:r>
        <w:r w:rsidR="00423092">
          <w:rPr>
            <w:noProof/>
            <w:webHidden/>
          </w:rPr>
          <w:tab/>
        </w:r>
        <w:r>
          <w:rPr>
            <w:noProof/>
            <w:webHidden/>
          </w:rPr>
          <w:fldChar w:fldCharType="begin"/>
        </w:r>
        <w:r w:rsidR="00423092">
          <w:rPr>
            <w:noProof/>
            <w:webHidden/>
          </w:rPr>
          <w:instrText xml:space="preserve"> PAGEREF _Toc457603889 \h </w:instrText>
        </w:r>
        <w:r>
          <w:rPr>
            <w:noProof/>
            <w:webHidden/>
          </w:rPr>
        </w:r>
        <w:r>
          <w:rPr>
            <w:noProof/>
            <w:webHidden/>
          </w:rPr>
          <w:fldChar w:fldCharType="separate"/>
        </w:r>
        <w:r w:rsidR="00BA08F0">
          <w:rPr>
            <w:noProof/>
            <w:webHidden/>
          </w:rPr>
          <w:t>27</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90" w:history="1">
        <w:r w:rsidR="00423092" w:rsidRPr="0040197A">
          <w:rPr>
            <w:rStyle w:val="Hyperlink"/>
            <w:rFonts w:ascii="Calibri" w:hAnsi="Calibri"/>
            <w:noProof/>
          </w:rPr>
          <w:t>3.7</w:t>
        </w:r>
        <w:r w:rsidR="00423092">
          <w:rPr>
            <w:rFonts w:eastAsiaTheme="minorEastAsia" w:cstheme="minorBidi"/>
            <w:smallCaps w:val="0"/>
            <w:noProof/>
            <w:sz w:val="22"/>
            <w:szCs w:val="22"/>
            <w:lang w:val="en-US"/>
          </w:rPr>
          <w:tab/>
        </w:r>
        <w:r w:rsidR="00423092" w:rsidRPr="0040197A">
          <w:rPr>
            <w:rStyle w:val="Hyperlink"/>
            <w:rFonts w:ascii="Calibri" w:hAnsi="Calibri"/>
            <w:noProof/>
          </w:rPr>
          <w:t>REGULATORY SURCHARGE</w:t>
        </w:r>
        <w:r w:rsidR="00423092">
          <w:rPr>
            <w:noProof/>
            <w:webHidden/>
          </w:rPr>
          <w:tab/>
        </w:r>
        <w:r>
          <w:rPr>
            <w:noProof/>
            <w:webHidden/>
          </w:rPr>
          <w:fldChar w:fldCharType="begin"/>
        </w:r>
        <w:r w:rsidR="00423092">
          <w:rPr>
            <w:noProof/>
            <w:webHidden/>
          </w:rPr>
          <w:instrText xml:space="preserve"> PAGEREF _Toc457603890 \h </w:instrText>
        </w:r>
        <w:r>
          <w:rPr>
            <w:noProof/>
            <w:webHidden/>
          </w:rPr>
        </w:r>
        <w:r>
          <w:rPr>
            <w:noProof/>
            <w:webHidden/>
          </w:rPr>
          <w:fldChar w:fldCharType="separate"/>
        </w:r>
        <w:r w:rsidR="00BA08F0">
          <w:rPr>
            <w:noProof/>
            <w:webHidden/>
          </w:rPr>
          <w:t>28</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91" w:history="1">
        <w:r w:rsidR="00423092" w:rsidRPr="0040197A">
          <w:rPr>
            <w:rStyle w:val="Hyperlink"/>
            <w:rFonts w:ascii="Calibri" w:hAnsi="Calibri"/>
            <w:noProof/>
          </w:rPr>
          <w:t>3.8</w:t>
        </w:r>
        <w:r w:rsidR="00423092">
          <w:rPr>
            <w:rFonts w:eastAsiaTheme="minorEastAsia" w:cstheme="minorBidi"/>
            <w:smallCaps w:val="0"/>
            <w:noProof/>
            <w:sz w:val="22"/>
            <w:szCs w:val="22"/>
            <w:lang w:val="en-US"/>
          </w:rPr>
          <w:tab/>
        </w:r>
        <w:r w:rsidR="00423092" w:rsidRPr="0040197A">
          <w:rPr>
            <w:rStyle w:val="Hyperlink"/>
            <w:rFonts w:ascii="Calibri" w:hAnsi="Calibri"/>
            <w:noProof/>
          </w:rPr>
          <w:t>HIGH COST OF ELECTRICITY</w:t>
        </w:r>
        <w:r w:rsidR="00423092">
          <w:rPr>
            <w:noProof/>
            <w:webHidden/>
          </w:rPr>
          <w:tab/>
        </w:r>
        <w:r>
          <w:rPr>
            <w:noProof/>
            <w:webHidden/>
          </w:rPr>
          <w:fldChar w:fldCharType="begin"/>
        </w:r>
        <w:r w:rsidR="00423092">
          <w:rPr>
            <w:noProof/>
            <w:webHidden/>
          </w:rPr>
          <w:instrText xml:space="preserve"> PAGEREF _Toc457603891 \h </w:instrText>
        </w:r>
        <w:r>
          <w:rPr>
            <w:noProof/>
            <w:webHidden/>
          </w:rPr>
        </w:r>
        <w:r>
          <w:rPr>
            <w:noProof/>
            <w:webHidden/>
          </w:rPr>
          <w:fldChar w:fldCharType="separate"/>
        </w:r>
        <w:r w:rsidR="00BA08F0">
          <w:rPr>
            <w:noProof/>
            <w:webHidden/>
          </w:rPr>
          <w:t>31</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892" w:history="1">
        <w:r w:rsidR="00423092" w:rsidRPr="0040197A">
          <w:rPr>
            <w:rStyle w:val="Hyperlink"/>
            <w:rFonts w:ascii="Calibri" w:hAnsi="Calibri"/>
            <w:noProof/>
          </w:rPr>
          <w:t>3.9</w:t>
        </w:r>
        <w:r w:rsidR="00423092">
          <w:rPr>
            <w:rFonts w:eastAsiaTheme="minorEastAsia" w:cstheme="minorBidi"/>
            <w:smallCaps w:val="0"/>
            <w:noProof/>
            <w:sz w:val="22"/>
            <w:szCs w:val="22"/>
            <w:lang w:val="en-US"/>
          </w:rPr>
          <w:tab/>
        </w:r>
        <w:r w:rsidR="00423092" w:rsidRPr="0040197A">
          <w:rPr>
            <w:rStyle w:val="Hyperlink"/>
            <w:rFonts w:ascii="Calibri" w:hAnsi="Calibri"/>
            <w:noProof/>
          </w:rPr>
          <w:t>LOAD FACTOR REBATE</w:t>
        </w:r>
        <w:r w:rsidR="00423092">
          <w:rPr>
            <w:noProof/>
            <w:webHidden/>
          </w:rPr>
          <w:tab/>
        </w:r>
        <w:r>
          <w:rPr>
            <w:noProof/>
            <w:webHidden/>
          </w:rPr>
          <w:fldChar w:fldCharType="begin"/>
        </w:r>
        <w:r w:rsidR="00423092">
          <w:rPr>
            <w:noProof/>
            <w:webHidden/>
          </w:rPr>
          <w:instrText xml:space="preserve"> PAGEREF _Toc457603892 \h </w:instrText>
        </w:r>
        <w:r>
          <w:rPr>
            <w:noProof/>
            <w:webHidden/>
          </w:rPr>
        </w:r>
        <w:r>
          <w:rPr>
            <w:noProof/>
            <w:webHidden/>
          </w:rPr>
          <w:fldChar w:fldCharType="separate"/>
        </w:r>
        <w:r w:rsidR="00BA08F0">
          <w:rPr>
            <w:noProof/>
            <w:webHidden/>
          </w:rPr>
          <w:t>33</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893" w:history="1">
        <w:r w:rsidR="00423092" w:rsidRPr="0040197A">
          <w:rPr>
            <w:rStyle w:val="Hyperlink"/>
            <w:rFonts w:ascii="Calibri" w:hAnsi="Calibri"/>
            <w:noProof/>
          </w:rPr>
          <w:t>3.10</w:t>
        </w:r>
        <w:r w:rsidR="00423092">
          <w:rPr>
            <w:rFonts w:eastAsiaTheme="minorEastAsia" w:cstheme="minorBidi"/>
            <w:smallCaps w:val="0"/>
            <w:noProof/>
            <w:sz w:val="22"/>
            <w:szCs w:val="22"/>
            <w:lang w:val="en-US"/>
          </w:rPr>
          <w:tab/>
        </w:r>
        <w:r w:rsidR="00423092" w:rsidRPr="0040197A">
          <w:rPr>
            <w:rStyle w:val="Hyperlink"/>
            <w:rFonts w:ascii="Calibri" w:hAnsi="Calibri"/>
            <w:noProof/>
          </w:rPr>
          <w:t>OVER LOAD PENALTY</w:t>
        </w:r>
        <w:r w:rsidR="00423092">
          <w:rPr>
            <w:noProof/>
            <w:webHidden/>
          </w:rPr>
          <w:tab/>
        </w:r>
        <w:r>
          <w:rPr>
            <w:noProof/>
            <w:webHidden/>
          </w:rPr>
          <w:fldChar w:fldCharType="begin"/>
        </w:r>
        <w:r w:rsidR="00423092">
          <w:rPr>
            <w:noProof/>
            <w:webHidden/>
          </w:rPr>
          <w:instrText xml:space="preserve"> PAGEREF _Toc457603893 \h </w:instrText>
        </w:r>
        <w:r>
          <w:rPr>
            <w:noProof/>
            <w:webHidden/>
          </w:rPr>
        </w:r>
        <w:r>
          <w:rPr>
            <w:noProof/>
            <w:webHidden/>
          </w:rPr>
          <w:fldChar w:fldCharType="separate"/>
        </w:r>
        <w:r w:rsidR="00BA08F0">
          <w:rPr>
            <w:noProof/>
            <w:webHidden/>
          </w:rPr>
          <w:t>33</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894" w:history="1">
        <w:r w:rsidR="00423092" w:rsidRPr="0040197A">
          <w:rPr>
            <w:rStyle w:val="Hyperlink"/>
            <w:rFonts w:ascii="Calibri" w:hAnsi="Calibri"/>
            <w:noProof/>
          </w:rPr>
          <w:t>3.11</w:t>
        </w:r>
        <w:r w:rsidR="00423092">
          <w:rPr>
            <w:rFonts w:eastAsiaTheme="minorEastAsia" w:cstheme="minorBidi"/>
            <w:smallCaps w:val="0"/>
            <w:noProof/>
            <w:sz w:val="22"/>
            <w:szCs w:val="22"/>
            <w:lang w:val="en-US"/>
          </w:rPr>
          <w:tab/>
        </w:r>
        <w:r w:rsidR="00423092" w:rsidRPr="0040197A">
          <w:rPr>
            <w:rStyle w:val="Hyperlink"/>
            <w:rFonts w:ascii="Calibri" w:hAnsi="Calibri"/>
            <w:noProof/>
          </w:rPr>
          <w:t>KVAH BILLING</w:t>
        </w:r>
        <w:r w:rsidR="00423092">
          <w:rPr>
            <w:noProof/>
            <w:webHidden/>
          </w:rPr>
          <w:tab/>
        </w:r>
        <w:r>
          <w:rPr>
            <w:noProof/>
            <w:webHidden/>
          </w:rPr>
          <w:fldChar w:fldCharType="begin"/>
        </w:r>
        <w:r w:rsidR="00423092">
          <w:rPr>
            <w:noProof/>
            <w:webHidden/>
          </w:rPr>
          <w:instrText xml:space="preserve"> PAGEREF _Toc457603894 \h </w:instrText>
        </w:r>
        <w:r>
          <w:rPr>
            <w:noProof/>
            <w:webHidden/>
          </w:rPr>
        </w:r>
        <w:r>
          <w:rPr>
            <w:noProof/>
            <w:webHidden/>
          </w:rPr>
          <w:fldChar w:fldCharType="separate"/>
        </w:r>
        <w:r w:rsidR="00BA08F0">
          <w:rPr>
            <w:noProof/>
            <w:webHidden/>
          </w:rPr>
          <w:t>34</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895" w:history="1">
        <w:r w:rsidR="00423092" w:rsidRPr="0040197A">
          <w:rPr>
            <w:rStyle w:val="Hyperlink"/>
            <w:rFonts w:ascii="Calibri" w:hAnsi="Calibri"/>
            <w:noProof/>
          </w:rPr>
          <w:t>3.12</w:t>
        </w:r>
        <w:r w:rsidR="00423092">
          <w:rPr>
            <w:rFonts w:eastAsiaTheme="minorEastAsia" w:cstheme="minorBidi"/>
            <w:smallCaps w:val="0"/>
            <w:noProof/>
            <w:sz w:val="22"/>
            <w:szCs w:val="22"/>
            <w:lang w:val="en-US"/>
          </w:rPr>
          <w:tab/>
        </w:r>
        <w:r w:rsidR="00423092" w:rsidRPr="0040197A">
          <w:rPr>
            <w:rStyle w:val="Hyperlink"/>
            <w:rFonts w:ascii="Calibri" w:hAnsi="Calibri"/>
            <w:noProof/>
          </w:rPr>
          <w:t>TARIFF HIKE</w:t>
        </w:r>
        <w:r w:rsidR="00423092">
          <w:rPr>
            <w:noProof/>
            <w:webHidden/>
          </w:rPr>
          <w:tab/>
        </w:r>
        <w:r>
          <w:rPr>
            <w:noProof/>
            <w:webHidden/>
          </w:rPr>
          <w:fldChar w:fldCharType="begin"/>
        </w:r>
        <w:r w:rsidR="00423092">
          <w:rPr>
            <w:noProof/>
            <w:webHidden/>
          </w:rPr>
          <w:instrText xml:space="preserve"> PAGEREF _Toc457603895 \h </w:instrText>
        </w:r>
        <w:r>
          <w:rPr>
            <w:noProof/>
            <w:webHidden/>
          </w:rPr>
        </w:r>
        <w:r>
          <w:rPr>
            <w:noProof/>
            <w:webHidden/>
          </w:rPr>
          <w:fldChar w:fldCharType="separate"/>
        </w:r>
        <w:r w:rsidR="00BA08F0">
          <w:rPr>
            <w:noProof/>
            <w:webHidden/>
          </w:rPr>
          <w:t>35</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896" w:history="1">
        <w:r w:rsidR="00423092" w:rsidRPr="0040197A">
          <w:rPr>
            <w:rStyle w:val="Hyperlink"/>
            <w:rFonts w:ascii="Calibri" w:hAnsi="Calibri"/>
            <w:noProof/>
          </w:rPr>
          <w:t>3.13</w:t>
        </w:r>
        <w:r w:rsidR="00423092">
          <w:rPr>
            <w:rFonts w:eastAsiaTheme="minorEastAsia" w:cstheme="minorBidi"/>
            <w:smallCaps w:val="0"/>
            <w:noProof/>
            <w:sz w:val="22"/>
            <w:szCs w:val="22"/>
            <w:lang w:val="en-US"/>
          </w:rPr>
          <w:tab/>
        </w:r>
        <w:r w:rsidR="00423092" w:rsidRPr="0040197A">
          <w:rPr>
            <w:rStyle w:val="Hyperlink"/>
            <w:rFonts w:ascii="Calibri" w:hAnsi="Calibri"/>
            <w:noProof/>
          </w:rPr>
          <w:t>REDUCED HOURS OF SUPPLY</w:t>
        </w:r>
        <w:r w:rsidR="00423092">
          <w:rPr>
            <w:noProof/>
            <w:webHidden/>
          </w:rPr>
          <w:tab/>
        </w:r>
        <w:r>
          <w:rPr>
            <w:noProof/>
            <w:webHidden/>
          </w:rPr>
          <w:fldChar w:fldCharType="begin"/>
        </w:r>
        <w:r w:rsidR="00423092">
          <w:rPr>
            <w:noProof/>
            <w:webHidden/>
          </w:rPr>
          <w:instrText xml:space="preserve"> PAGEREF _Toc457603896 \h </w:instrText>
        </w:r>
        <w:r>
          <w:rPr>
            <w:noProof/>
            <w:webHidden/>
          </w:rPr>
        </w:r>
        <w:r>
          <w:rPr>
            <w:noProof/>
            <w:webHidden/>
          </w:rPr>
          <w:fldChar w:fldCharType="separate"/>
        </w:r>
        <w:r w:rsidR="00BA08F0">
          <w:rPr>
            <w:noProof/>
            <w:webHidden/>
          </w:rPr>
          <w:t>37</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897" w:history="1">
        <w:r w:rsidR="00423092" w:rsidRPr="0040197A">
          <w:rPr>
            <w:rStyle w:val="Hyperlink"/>
            <w:rFonts w:ascii="Calibri" w:hAnsi="Calibri"/>
            <w:noProof/>
          </w:rPr>
          <w:t>3.14</w:t>
        </w:r>
        <w:r w:rsidR="00423092">
          <w:rPr>
            <w:rFonts w:eastAsiaTheme="minorEastAsia" w:cstheme="minorBidi"/>
            <w:smallCaps w:val="0"/>
            <w:noProof/>
            <w:sz w:val="22"/>
            <w:szCs w:val="22"/>
            <w:lang w:val="en-US"/>
          </w:rPr>
          <w:tab/>
        </w:r>
        <w:r w:rsidR="00423092" w:rsidRPr="0040197A">
          <w:rPr>
            <w:rStyle w:val="Hyperlink"/>
            <w:rFonts w:ascii="Calibri" w:hAnsi="Calibri"/>
            <w:noProof/>
          </w:rPr>
          <w:t>T&amp;D LOSSES AND AT&amp;C LOSSES</w:t>
        </w:r>
        <w:r w:rsidR="00423092">
          <w:rPr>
            <w:noProof/>
            <w:webHidden/>
          </w:rPr>
          <w:tab/>
        </w:r>
        <w:r>
          <w:rPr>
            <w:noProof/>
            <w:webHidden/>
          </w:rPr>
          <w:fldChar w:fldCharType="begin"/>
        </w:r>
        <w:r w:rsidR="00423092">
          <w:rPr>
            <w:noProof/>
            <w:webHidden/>
          </w:rPr>
          <w:instrText xml:space="preserve"> PAGEREF _Toc457603897 \h </w:instrText>
        </w:r>
        <w:r>
          <w:rPr>
            <w:noProof/>
            <w:webHidden/>
          </w:rPr>
        </w:r>
        <w:r>
          <w:rPr>
            <w:noProof/>
            <w:webHidden/>
          </w:rPr>
          <w:fldChar w:fldCharType="separate"/>
        </w:r>
        <w:r w:rsidR="00BA08F0">
          <w:rPr>
            <w:noProof/>
            <w:webHidden/>
          </w:rPr>
          <w:t>38</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898" w:history="1">
        <w:r w:rsidR="00423092" w:rsidRPr="0040197A">
          <w:rPr>
            <w:rStyle w:val="Hyperlink"/>
            <w:rFonts w:ascii="Calibri" w:hAnsi="Calibri"/>
            <w:noProof/>
          </w:rPr>
          <w:t>3.15</w:t>
        </w:r>
        <w:r w:rsidR="00423092">
          <w:rPr>
            <w:rFonts w:eastAsiaTheme="minorEastAsia" w:cstheme="minorBidi"/>
            <w:smallCaps w:val="0"/>
            <w:noProof/>
            <w:sz w:val="22"/>
            <w:szCs w:val="22"/>
            <w:lang w:val="en-US"/>
          </w:rPr>
          <w:tab/>
        </w:r>
        <w:r w:rsidR="00423092" w:rsidRPr="0040197A">
          <w:rPr>
            <w:rStyle w:val="Hyperlink"/>
            <w:rFonts w:ascii="Calibri" w:hAnsi="Calibri"/>
            <w:noProof/>
          </w:rPr>
          <w:t>PRE-PAID METERING</w:t>
        </w:r>
        <w:r w:rsidR="00423092">
          <w:rPr>
            <w:noProof/>
            <w:webHidden/>
          </w:rPr>
          <w:tab/>
        </w:r>
        <w:r>
          <w:rPr>
            <w:noProof/>
            <w:webHidden/>
          </w:rPr>
          <w:fldChar w:fldCharType="begin"/>
        </w:r>
        <w:r w:rsidR="00423092">
          <w:rPr>
            <w:noProof/>
            <w:webHidden/>
          </w:rPr>
          <w:instrText xml:space="preserve"> PAGEREF _Toc457603898 \h </w:instrText>
        </w:r>
        <w:r>
          <w:rPr>
            <w:noProof/>
            <w:webHidden/>
          </w:rPr>
        </w:r>
        <w:r>
          <w:rPr>
            <w:noProof/>
            <w:webHidden/>
          </w:rPr>
          <w:fldChar w:fldCharType="separate"/>
        </w:r>
        <w:r w:rsidR="00BA08F0">
          <w:rPr>
            <w:noProof/>
            <w:webHidden/>
          </w:rPr>
          <w:t>41</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899" w:history="1">
        <w:r w:rsidR="00423092" w:rsidRPr="0040197A">
          <w:rPr>
            <w:rStyle w:val="Hyperlink"/>
            <w:rFonts w:ascii="Calibri" w:hAnsi="Calibri"/>
            <w:noProof/>
          </w:rPr>
          <w:t>3.16</w:t>
        </w:r>
        <w:r w:rsidR="00423092">
          <w:rPr>
            <w:rFonts w:eastAsiaTheme="minorEastAsia" w:cstheme="minorBidi"/>
            <w:smallCaps w:val="0"/>
            <w:noProof/>
            <w:sz w:val="22"/>
            <w:szCs w:val="22"/>
            <w:lang w:val="en-US"/>
          </w:rPr>
          <w:tab/>
        </w:r>
        <w:r w:rsidR="00423092" w:rsidRPr="0040197A">
          <w:rPr>
            <w:rStyle w:val="Hyperlink"/>
            <w:rFonts w:ascii="Calibri" w:hAnsi="Calibri"/>
            <w:noProof/>
          </w:rPr>
          <w:t>TARIFF LMV-1 &amp; LMV-5 CATEGORY</w:t>
        </w:r>
        <w:r w:rsidR="00423092">
          <w:rPr>
            <w:noProof/>
            <w:webHidden/>
          </w:rPr>
          <w:tab/>
        </w:r>
        <w:r>
          <w:rPr>
            <w:noProof/>
            <w:webHidden/>
          </w:rPr>
          <w:fldChar w:fldCharType="begin"/>
        </w:r>
        <w:r w:rsidR="00423092">
          <w:rPr>
            <w:noProof/>
            <w:webHidden/>
          </w:rPr>
          <w:instrText xml:space="preserve"> PAGEREF _Toc457603899 \h </w:instrText>
        </w:r>
        <w:r>
          <w:rPr>
            <w:noProof/>
            <w:webHidden/>
          </w:rPr>
        </w:r>
        <w:r>
          <w:rPr>
            <w:noProof/>
            <w:webHidden/>
          </w:rPr>
          <w:fldChar w:fldCharType="separate"/>
        </w:r>
        <w:r w:rsidR="00BA08F0">
          <w:rPr>
            <w:noProof/>
            <w:webHidden/>
          </w:rPr>
          <w:t>42</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00" w:history="1">
        <w:r w:rsidR="00423092" w:rsidRPr="0040197A">
          <w:rPr>
            <w:rStyle w:val="Hyperlink"/>
            <w:rFonts w:ascii="Calibri" w:hAnsi="Calibri"/>
            <w:noProof/>
          </w:rPr>
          <w:t>3.17</w:t>
        </w:r>
        <w:r w:rsidR="00423092">
          <w:rPr>
            <w:rFonts w:eastAsiaTheme="minorEastAsia" w:cstheme="minorBidi"/>
            <w:smallCaps w:val="0"/>
            <w:noProof/>
            <w:sz w:val="22"/>
            <w:szCs w:val="22"/>
            <w:lang w:val="en-US"/>
          </w:rPr>
          <w:tab/>
        </w:r>
        <w:r w:rsidR="00423092" w:rsidRPr="0040197A">
          <w:rPr>
            <w:rStyle w:val="Hyperlink"/>
            <w:rFonts w:ascii="Calibri" w:hAnsi="Calibri"/>
            <w:noProof/>
          </w:rPr>
          <w:t>METERING AND BILLING FOR LMV-10 CATEGORY</w:t>
        </w:r>
        <w:r w:rsidR="00423092">
          <w:rPr>
            <w:noProof/>
            <w:webHidden/>
          </w:rPr>
          <w:tab/>
        </w:r>
        <w:r>
          <w:rPr>
            <w:noProof/>
            <w:webHidden/>
          </w:rPr>
          <w:fldChar w:fldCharType="begin"/>
        </w:r>
        <w:r w:rsidR="00423092">
          <w:rPr>
            <w:noProof/>
            <w:webHidden/>
          </w:rPr>
          <w:instrText xml:space="preserve"> PAGEREF _Toc457603900 \h </w:instrText>
        </w:r>
        <w:r>
          <w:rPr>
            <w:noProof/>
            <w:webHidden/>
          </w:rPr>
        </w:r>
        <w:r>
          <w:rPr>
            <w:noProof/>
            <w:webHidden/>
          </w:rPr>
          <w:fldChar w:fldCharType="separate"/>
        </w:r>
        <w:r w:rsidR="00BA08F0">
          <w:rPr>
            <w:noProof/>
            <w:webHidden/>
          </w:rPr>
          <w:t>44</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01" w:history="1">
        <w:r w:rsidR="00423092" w:rsidRPr="0040197A">
          <w:rPr>
            <w:rStyle w:val="Hyperlink"/>
            <w:rFonts w:ascii="Calibri" w:hAnsi="Calibri"/>
            <w:noProof/>
          </w:rPr>
          <w:t>3.18</w:t>
        </w:r>
        <w:r w:rsidR="00423092">
          <w:rPr>
            <w:rFonts w:eastAsiaTheme="minorEastAsia" w:cstheme="minorBidi"/>
            <w:smallCaps w:val="0"/>
            <w:noProof/>
            <w:sz w:val="22"/>
            <w:szCs w:val="22"/>
            <w:lang w:val="en-US"/>
          </w:rPr>
          <w:tab/>
        </w:r>
        <w:r w:rsidR="00423092" w:rsidRPr="0040197A">
          <w:rPr>
            <w:rStyle w:val="Hyperlink"/>
            <w:rFonts w:ascii="Calibri" w:hAnsi="Calibri"/>
            <w:noProof/>
          </w:rPr>
          <w:t>COMPLAINCE OF DIRECTIVES</w:t>
        </w:r>
        <w:r w:rsidR="00423092">
          <w:rPr>
            <w:noProof/>
            <w:webHidden/>
          </w:rPr>
          <w:tab/>
        </w:r>
        <w:r>
          <w:rPr>
            <w:noProof/>
            <w:webHidden/>
          </w:rPr>
          <w:fldChar w:fldCharType="begin"/>
        </w:r>
        <w:r w:rsidR="00423092">
          <w:rPr>
            <w:noProof/>
            <w:webHidden/>
          </w:rPr>
          <w:instrText xml:space="preserve"> PAGEREF _Toc457603901 \h </w:instrText>
        </w:r>
        <w:r>
          <w:rPr>
            <w:noProof/>
            <w:webHidden/>
          </w:rPr>
        </w:r>
        <w:r>
          <w:rPr>
            <w:noProof/>
            <w:webHidden/>
          </w:rPr>
          <w:fldChar w:fldCharType="separate"/>
        </w:r>
        <w:r w:rsidR="00BA08F0">
          <w:rPr>
            <w:noProof/>
            <w:webHidden/>
          </w:rPr>
          <w:t>45</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02" w:history="1">
        <w:r w:rsidR="00423092" w:rsidRPr="0040197A">
          <w:rPr>
            <w:rStyle w:val="Hyperlink"/>
            <w:rFonts w:ascii="Calibri" w:hAnsi="Calibri"/>
            <w:noProof/>
          </w:rPr>
          <w:t>3.19</w:t>
        </w:r>
        <w:r w:rsidR="00423092">
          <w:rPr>
            <w:rFonts w:eastAsiaTheme="minorEastAsia" w:cstheme="minorBidi"/>
            <w:smallCaps w:val="0"/>
            <w:noProof/>
            <w:sz w:val="22"/>
            <w:szCs w:val="22"/>
            <w:lang w:val="en-US"/>
          </w:rPr>
          <w:tab/>
        </w:r>
        <w:r w:rsidR="00423092" w:rsidRPr="0040197A">
          <w:rPr>
            <w:rStyle w:val="Hyperlink"/>
            <w:rFonts w:ascii="Calibri" w:hAnsi="Calibri"/>
            <w:noProof/>
          </w:rPr>
          <w:t>MINIMUM CONSUMPTION CHARGES AND FIXED CHARGES</w:t>
        </w:r>
        <w:r w:rsidR="00423092">
          <w:rPr>
            <w:noProof/>
            <w:webHidden/>
          </w:rPr>
          <w:tab/>
        </w:r>
        <w:r>
          <w:rPr>
            <w:noProof/>
            <w:webHidden/>
          </w:rPr>
          <w:fldChar w:fldCharType="begin"/>
        </w:r>
        <w:r w:rsidR="00423092">
          <w:rPr>
            <w:noProof/>
            <w:webHidden/>
          </w:rPr>
          <w:instrText xml:space="preserve"> PAGEREF _Toc457603902 \h </w:instrText>
        </w:r>
        <w:r>
          <w:rPr>
            <w:noProof/>
            <w:webHidden/>
          </w:rPr>
        </w:r>
        <w:r>
          <w:rPr>
            <w:noProof/>
            <w:webHidden/>
          </w:rPr>
          <w:fldChar w:fldCharType="separate"/>
        </w:r>
        <w:r w:rsidR="00BA08F0">
          <w:rPr>
            <w:noProof/>
            <w:webHidden/>
          </w:rPr>
          <w:t>47</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03" w:history="1">
        <w:r w:rsidR="00423092" w:rsidRPr="0040197A">
          <w:rPr>
            <w:rStyle w:val="Hyperlink"/>
            <w:rFonts w:ascii="Calibri" w:hAnsi="Calibri"/>
            <w:noProof/>
          </w:rPr>
          <w:t>3.20</w:t>
        </w:r>
        <w:r w:rsidR="00423092">
          <w:rPr>
            <w:rFonts w:eastAsiaTheme="minorEastAsia" w:cstheme="minorBidi"/>
            <w:smallCaps w:val="0"/>
            <w:noProof/>
            <w:sz w:val="22"/>
            <w:szCs w:val="22"/>
            <w:lang w:val="en-US"/>
          </w:rPr>
          <w:tab/>
        </w:r>
        <w:r w:rsidR="00423092" w:rsidRPr="0040197A">
          <w:rPr>
            <w:rStyle w:val="Hyperlink"/>
            <w:rFonts w:ascii="Calibri" w:hAnsi="Calibri"/>
            <w:noProof/>
          </w:rPr>
          <w:t>RECOVERY OF OUTSTANDING DUES</w:t>
        </w:r>
        <w:r w:rsidR="00423092">
          <w:rPr>
            <w:noProof/>
            <w:webHidden/>
          </w:rPr>
          <w:tab/>
        </w:r>
        <w:r>
          <w:rPr>
            <w:noProof/>
            <w:webHidden/>
          </w:rPr>
          <w:fldChar w:fldCharType="begin"/>
        </w:r>
        <w:r w:rsidR="00423092">
          <w:rPr>
            <w:noProof/>
            <w:webHidden/>
          </w:rPr>
          <w:instrText xml:space="preserve"> PAGEREF _Toc457603903 \h </w:instrText>
        </w:r>
        <w:r>
          <w:rPr>
            <w:noProof/>
            <w:webHidden/>
          </w:rPr>
        </w:r>
        <w:r>
          <w:rPr>
            <w:noProof/>
            <w:webHidden/>
          </w:rPr>
          <w:fldChar w:fldCharType="separate"/>
        </w:r>
        <w:r w:rsidR="00BA08F0">
          <w:rPr>
            <w:noProof/>
            <w:webHidden/>
          </w:rPr>
          <w:t>50</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04" w:history="1">
        <w:r w:rsidR="00423092" w:rsidRPr="0040197A">
          <w:rPr>
            <w:rStyle w:val="Hyperlink"/>
            <w:rFonts w:ascii="Calibri" w:hAnsi="Calibri"/>
            <w:noProof/>
          </w:rPr>
          <w:t>3.21</w:t>
        </w:r>
        <w:r w:rsidR="00423092">
          <w:rPr>
            <w:rFonts w:eastAsiaTheme="minorEastAsia" w:cstheme="minorBidi"/>
            <w:smallCaps w:val="0"/>
            <w:noProof/>
            <w:sz w:val="22"/>
            <w:szCs w:val="22"/>
            <w:lang w:val="en-US"/>
          </w:rPr>
          <w:tab/>
        </w:r>
        <w:r w:rsidR="00423092" w:rsidRPr="0040197A">
          <w:rPr>
            <w:rStyle w:val="Hyperlink"/>
            <w:rFonts w:ascii="Calibri" w:hAnsi="Calibri"/>
            <w:noProof/>
          </w:rPr>
          <w:t>REBATE ON PAYMENT/ OTHER REBATES</w:t>
        </w:r>
        <w:r w:rsidR="00423092">
          <w:rPr>
            <w:noProof/>
            <w:webHidden/>
          </w:rPr>
          <w:tab/>
        </w:r>
        <w:r>
          <w:rPr>
            <w:noProof/>
            <w:webHidden/>
          </w:rPr>
          <w:fldChar w:fldCharType="begin"/>
        </w:r>
        <w:r w:rsidR="00423092">
          <w:rPr>
            <w:noProof/>
            <w:webHidden/>
          </w:rPr>
          <w:instrText xml:space="preserve"> PAGEREF _Toc457603904 \h </w:instrText>
        </w:r>
        <w:r>
          <w:rPr>
            <w:noProof/>
            <w:webHidden/>
          </w:rPr>
        </w:r>
        <w:r>
          <w:rPr>
            <w:noProof/>
            <w:webHidden/>
          </w:rPr>
          <w:fldChar w:fldCharType="separate"/>
        </w:r>
        <w:r w:rsidR="00BA08F0">
          <w:rPr>
            <w:noProof/>
            <w:webHidden/>
          </w:rPr>
          <w:t>51</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05" w:history="1">
        <w:r w:rsidR="00423092" w:rsidRPr="0040197A">
          <w:rPr>
            <w:rStyle w:val="Hyperlink"/>
            <w:rFonts w:ascii="Calibri" w:hAnsi="Calibri"/>
            <w:noProof/>
          </w:rPr>
          <w:t>3.22</w:t>
        </w:r>
        <w:r w:rsidR="00423092">
          <w:rPr>
            <w:rFonts w:eastAsiaTheme="minorEastAsia" w:cstheme="minorBidi"/>
            <w:smallCaps w:val="0"/>
            <w:noProof/>
            <w:sz w:val="22"/>
            <w:szCs w:val="22"/>
            <w:lang w:val="en-US"/>
          </w:rPr>
          <w:tab/>
        </w:r>
        <w:r w:rsidR="00423092" w:rsidRPr="0040197A">
          <w:rPr>
            <w:rStyle w:val="Hyperlink"/>
            <w:rFonts w:ascii="Calibri" w:hAnsi="Calibri"/>
            <w:noProof/>
          </w:rPr>
          <w:t>ELECTRICITY DUTY AND SECURITY DEPOSIT</w:t>
        </w:r>
        <w:r w:rsidR="00423092">
          <w:rPr>
            <w:noProof/>
            <w:webHidden/>
          </w:rPr>
          <w:tab/>
        </w:r>
        <w:r>
          <w:rPr>
            <w:noProof/>
            <w:webHidden/>
          </w:rPr>
          <w:fldChar w:fldCharType="begin"/>
        </w:r>
        <w:r w:rsidR="00423092">
          <w:rPr>
            <w:noProof/>
            <w:webHidden/>
          </w:rPr>
          <w:instrText xml:space="preserve"> PAGEREF _Toc457603905 \h </w:instrText>
        </w:r>
        <w:r>
          <w:rPr>
            <w:noProof/>
            <w:webHidden/>
          </w:rPr>
        </w:r>
        <w:r>
          <w:rPr>
            <w:noProof/>
            <w:webHidden/>
          </w:rPr>
          <w:fldChar w:fldCharType="separate"/>
        </w:r>
        <w:r w:rsidR="00BA08F0">
          <w:rPr>
            <w:noProof/>
            <w:webHidden/>
          </w:rPr>
          <w:t>52</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06" w:history="1">
        <w:r w:rsidR="00423092" w:rsidRPr="0040197A">
          <w:rPr>
            <w:rStyle w:val="Hyperlink"/>
            <w:rFonts w:ascii="Calibri" w:hAnsi="Calibri"/>
            <w:noProof/>
          </w:rPr>
          <w:t>3.23</w:t>
        </w:r>
        <w:r w:rsidR="00423092">
          <w:rPr>
            <w:rFonts w:eastAsiaTheme="minorEastAsia" w:cstheme="minorBidi"/>
            <w:smallCaps w:val="0"/>
            <w:noProof/>
            <w:sz w:val="22"/>
            <w:szCs w:val="22"/>
            <w:lang w:val="en-US"/>
          </w:rPr>
          <w:tab/>
        </w:r>
        <w:r w:rsidR="00423092" w:rsidRPr="0040197A">
          <w:rPr>
            <w:rStyle w:val="Hyperlink"/>
            <w:rFonts w:ascii="Calibri" w:hAnsi="Calibri"/>
            <w:noProof/>
          </w:rPr>
          <w:t>SUBSIDY FROM GoUP</w:t>
        </w:r>
        <w:r w:rsidR="00423092">
          <w:rPr>
            <w:noProof/>
            <w:webHidden/>
          </w:rPr>
          <w:tab/>
        </w:r>
        <w:r>
          <w:rPr>
            <w:noProof/>
            <w:webHidden/>
          </w:rPr>
          <w:fldChar w:fldCharType="begin"/>
        </w:r>
        <w:r w:rsidR="00423092">
          <w:rPr>
            <w:noProof/>
            <w:webHidden/>
          </w:rPr>
          <w:instrText xml:space="preserve"> PAGEREF _Toc457603906 \h </w:instrText>
        </w:r>
        <w:r>
          <w:rPr>
            <w:noProof/>
            <w:webHidden/>
          </w:rPr>
        </w:r>
        <w:r>
          <w:rPr>
            <w:noProof/>
            <w:webHidden/>
          </w:rPr>
          <w:fldChar w:fldCharType="separate"/>
        </w:r>
        <w:r w:rsidR="00BA08F0">
          <w:rPr>
            <w:noProof/>
            <w:webHidden/>
          </w:rPr>
          <w:t>54</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07" w:history="1">
        <w:r w:rsidR="00423092" w:rsidRPr="0040197A">
          <w:rPr>
            <w:rStyle w:val="Hyperlink"/>
            <w:rFonts w:ascii="Calibri" w:hAnsi="Calibri"/>
            <w:noProof/>
          </w:rPr>
          <w:t>3.24</w:t>
        </w:r>
        <w:r w:rsidR="00423092">
          <w:rPr>
            <w:rFonts w:eastAsiaTheme="minorEastAsia" w:cstheme="minorBidi"/>
            <w:smallCaps w:val="0"/>
            <w:noProof/>
            <w:sz w:val="22"/>
            <w:szCs w:val="22"/>
            <w:lang w:val="en-US"/>
          </w:rPr>
          <w:tab/>
        </w:r>
        <w:r w:rsidR="00423092" w:rsidRPr="0040197A">
          <w:rPr>
            <w:rStyle w:val="Hyperlink"/>
            <w:rFonts w:ascii="Calibri" w:hAnsi="Calibri"/>
            <w:noProof/>
          </w:rPr>
          <w:t>PRICE AND QUANTUM OF POWER PURCHASE</w:t>
        </w:r>
        <w:r w:rsidR="00423092">
          <w:rPr>
            <w:noProof/>
            <w:webHidden/>
          </w:rPr>
          <w:tab/>
        </w:r>
        <w:r>
          <w:rPr>
            <w:noProof/>
            <w:webHidden/>
          </w:rPr>
          <w:fldChar w:fldCharType="begin"/>
        </w:r>
        <w:r w:rsidR="00423092">
          <w:rPr>
            <w:noProof/>
            <w:webHidden/>
          </w:rPr>
          <w:instrText xml:space="preserve"> PAGEREF _Toc457603907 \h </w:instrText>
        </w:r>
        <w:r>
          <w:rPr>
            <w:noProof/>
            <w:webHidden/>
          </w:rPr>
        </w:r>
        <w:r>
          <w:rPr>
            <w:noProof/>
            <w:webHidden/>
          </w:rPr>
          <w:fldChar w:fldCharType="separate"/>
        </w:r>
        <w:r w:rsidR="00BA08F0">
          <w:rPr>
            <w:noProof/>
            <w:webHidden/>
          </w:rPr>
          <w:t>55</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08" w:history="1">
        <w:r w:rsidR="00423092" w:rsidRPr="0040197A">
          <w:rPr>
            <w:rStyle w:val="Hyperlink"/>
            <w:rFonts w:ascii="Calibri" w:hAnsi="Calibri"/>
            <w:noProof/>
          </w:rPr>
          <w:t>3.25</w:t>
        </w:r>
        <w:r w:rsidR="00423092">
          <w:rPr>
            <w:rFonts w:eastAsiaTheme="minorEastAsia" w:cstheme="minorBidi"/>
            <w:smallCaps w:val="0"/>
            <w:noProof/>
            <w:sz w:val="22"/>
            <w:szCs w:val="22"/>
            <w:lang w:val="en-US"/>
          </w:rPr>
          <w:tab/>
        </w:r>
        <w:r w:rsidR="00423092" w:rsidRPr="0040197A">
          <w:rPr>
            <w:rStyle w:val="Hyperlink"/>
            <w:rFonts w:ascii="Calibri" w:hAnsi="Calibri"/>
            <w:noProof/>
          </w:rPr>
          <w:t>TAJ TRAPEZIUM ZONE</w:t>
        </w:r>
        <w:r w:rsidR="00423092">
          <w:rPr>
            <w:noProof/>
            <w:webHidden/>
          </w:rPr>
          <w:tab/>
        </w:r>
        <w:r>
          <w:rPr>
            <w:noProof/>
            <w:webHidden/>
          </w:rPr>
          <w:fldChar w:fldCharType="begin"/>
        </w:r>
        <w:r w:rsidR="00423092">
          <w:rPr>
            <w:noProof/>
            <w:webHidden/>
          </w:rPr>
          <w:instrText xml:space="preserve"> PAGEREF _Toc457603908 \h </w:instrText>
        </w:r>
        <w:r>
          <w:rPr>
            <w:noProof/>
            <w:webHidden/>
          </w:rPr>
        </w:r>
        <w:r>
          <w:rPr>
            <w:noProof/>
            <w:webHidden/>
          </w:rPr>
          <w:fldChar w:fldCharType="separate"/>
        </w:r>
        <w:r w:rsidR="00BA08F0">
          <w:rPr>
            <w:noProof/>
            <w:webHidden/>
          </w:rPr>
          <w:t>59</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09" w:history="1">
        <w:r w:rsidR="00423092" w:rsidRPr="0040197A">
          <w:rPr>
            <w:rStyle w:val="Hyperlink"/>
            <w:rFonts w:ascii="Calibri" w:hAnsi="Calibri"/>
            <w:noProof/>
          </w:rPr>
          <w:t>3.26</w:t>
        </w:r>
        <w:r w:rsidR="00423092">
          <w:rPr>
            <w:rFonts w:eastAsiaTheme="minorEastAsia" w:cstheme="minorBidi"/>
            <w:smallCaps w:val="0"/>
            <w:noProof/>
            <w:sz w:val="22"/>
            <w:szCs w:val="22"/>
            <w:lang w:val="en-US"/>
          </w:rPr>
          <w:tab/>
        </w:r>
        <w:r w:rsidR="00423092" w:rsidRPr="0040197A">
          <w:rPr>
            <w:rStyle w:val="Hyperlink"/>
            <w:rFonts w:ascii="Calibri" w:hAnsi="Calibri"/>
            <w:noProof/>
          </w:rPr>
          <w:t>METERING AND BILLING</w:t>
        </w:r>
        <w:r w:rsidR="00423092">
          <w:rPr>
            <w:noProof/>
            <w:webHidden/>
          </w:rPr>
          <w:tab/>
        </w:r>
        <w:r>
          <w:rPr>
            <w:noProof/>
            <w:webHidden/>
          </w:rPr>
          <w:fldChar w:fldCharType="begin"/>
        </w:r>
        <w:r w:rsidR="00423092">
          <w:rPr>
            <w:noProof/>
            <w:webHidden/>
          </w:rPr>
          <w:instrText xml:space="preserve"> PAGEREF _Toc457603909 \h </w:instrText>
        </w:r>
        <w:r>
          <w:rPr>
            <w:noProof/>
            <w:webHidden/>
          </w:rPr>
        </w:r>
        <w:r>
          <w:rPr>
            <w:noProof/>
            <w:webHidden/>
          </w:rPr>
          <w:fldChar w:fldCharType="separate"/>
        </w:r>
        <w:r w:rsidR="00BA08F0">
          <w:rPr>
            <w:noProof/>
            <w:webHidden/>
          </w:rPr>
          <w:t>60</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10" w:history="1">
        <w:r w:rsidR="00423092" w:rsidRPr="0040197A">
          <w:rPr>
            <w:rStyle w:val="Hyperlink"/>
            <w:rFonts w:ascii="Calibri" w:hAnsi="Calibri"/>
            <w:noProof/>
          </w:rPr>
          <w:t>3.27</w:t>
        </w:r>
        <w:r w:rsidR="00423092">
          <w:rPr>
            <w:rFonts w:eastAsiaTheme="minorEastAsia" w:cstheme="minorBidi"/>
            <w:smallCaps w:val="0"/>
            <w:noProof/>
            <w:sz w:val="22"/>
            <w:szCs w:val="22"/>
            <w:lang w:val="en-US"/>
          </w:rPr>
          <w:tab/>
        </w:r>
        <w:r w:rsidR="00423092" w:rsidRPr="0040197A">
          <w:rPr>
            <w:rStyle w:val="Hyperlink"/>
            <w:rFonts w:ascii="Calibri" w:hAnsi="Calibri"/>
            <w:noProof/>
          </w:rPr>
          <w:t>OPEN ACCESS</w:t>
        </w:r>
        <w:r w:rsidR="00423092">
          <w:rPr>
            <w:noProof/>
            <w:webHidden/>
          </w:rPr>
          <w:tab/>
        </w:r>
        <w:r>
          <w:rPr>
            <w:noProof/>
            <w:webHidden/>
          </w:rPr>
          <w:fldChar w:fldCharType="begin"/>
        </w:r>
        <w:r w:rsidR="00423092">
          <w:rPr>
            <w:noProof/>
            <w:webHidden/>
          </w:rPr>
          <w:instrText xml:space="preserve"> PAGEREF _Toc457603910 \h </w:instrText>
        </w:r>
        <w:r>
          <w:rPr>
            <w:noProof/>
            <w:webHidden/>
          </w:rPr>
        </w:r>
        <w:r>
          <w:rPr>
            <w:noProof/>
            <w:webHidden/>
          </w:rPr>
          <w:fldChar w:fldCharType="separate"/>
        </w:r>
        <w:r w:rsidR="00BA08F0">
          <w:rPr>
            <w:noProof/>
            <w:webHidden/>
          </w:rPr>
          <w:t>64</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11" w:history="1">
        <w:r w:rsidR="00423092" w:rsidRPr="0040197A">
          <w:rPr>
            <w:rStyle w:val="Hyperlink"/>
            <w:rFonts w:ascii="Calibri" w:hAnsi="Calibri"/>
            <w:noProof/>
          </w:rPr>
          <w:t>3.28</w:t>
        </w:r>
        <w:r w:rsidR="00423092">
          <w:rPr>
            <w:rFonts w:eastAsiaTheme="minorEastAsia" w:cstheme="minorBidi"/>
            <w:smallCaps w:val="0"/>
            <w:noProof/>
            <w:sz w:val="22"/>
            <w:szCs w:val="22"/>
            <w:lang w:val="en-US"/>
          </w:rPr>
          <w:tab/>
        </w:r>
        <w:r w:rsidR="00423092" w:rsidRPr="0040197A">
          <w:rPr>
            <w:rStyle w:val="Hyperlink"/>
            <w:rFonts w:ascii="Calibri" w:hAnsi="Calibri"/>
            <w:noProof/>
          </w:rPr>
          <w:t>AUDIT OF ACCOUNTS</w:t>
        </w:r>
        <w:r w:rsidR="00423092">
          <w:rPr>
            <w:noProof/>
            <w:webHidden/>
          </w:rPr>
          <w:tab/>
        </w:r>
        <w:r>
          <w:rPr>
            <w:noProof/>
            <w:webHidden/>
          </w:rPr>
          <w:fldChar w:fldCharType="begin"/>
        </w:r>
        <w:r w:rsidR="00423092">
          <w:rPr>
            <w:noProof/>
            <w:webHidden/>
          </w:rPr>
          <w:instrText xml:space="preserve"> PAGEREF _Toc457603911 \h </w:instrText>
        </w:r>
        <w:r>
          <w:rPr>
            <w:noProof/>
            <w:webHidden/>
          </w:rPr>
        </w:r>
        <w:r>
          <w:rPr>
            <w:noProof/>
            <w:webHidden/>
          </w:rPr>
          <w:fldChar w:fldCharType="separate"/>
        </w:r>
        <w:r w:rsidR="00BA08F0">
          <w:rPr>
            <w:noProof/>
            <w:webHidden/>
          </w:rPr>
          <w:t>65</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12" w:history="1">
        <w:r w:rsidR="00423092" w:rsidRPr="0040197A">
          <w:rPr>
            <w:rStyle w:val="Hyperlink"/>
            <w:rFonts w:ascii="Calibri" w:hAnsi="Calibri"/>
            <w:noProof/>
          </w:rPr>
          <w:t>3.29</w:t>
        </w:r>
        <w:r w:rsidR="00423092">
          <w:rPr>
            <w:rFonts w:eastAsiaTheme="minorEastAsia" w:cstheme="minorBidi"/>
            <w:smallCaps w:val="0"/>
            <w:noProof/>
            <w:sz w:val="22"/>
            <w:szCs w:val="22"/>
            <w:lang w:val="en-US"/>
          </w:rPr>
          <w:tab/>
        </w:r>
        <w:r w:rsidR="00423092" w:rsidRPr="0040197A">
          <w:rPr>
            <w:rStyle w:val="Hyperlink"/>
            <w:rFonts w:ascii="Calibri" w:hAnsi="Calibri"/>
            <w:noProof/>
          </w:rPr>
          <w:t>CROSS SUBSIDY SURCHARGE</w:t>
        </w:r>
        <w:r w:rsidR="00423092">
          <w:rPr>
            <w:noProof/>
            <w:webHidden/>
          </w:rPr>
          <w:tab/>
        </w:r>
        <w:r>
          <w:rPr>
            <w:noProof/>
            <w:webHidden/>
          </w:rPr>
          <w:fldChar w:fldCharType="begin"/>
        </w:r>
        <w:r w:rsidR="00423092">
          <w:rPr>
            <w:noProof/>
            <w:webHidden/>
          </w:rPr>
          <w:instrText xml:space="preserve"> PAGEREF _Toc457603912 \h </w:instrText>
        </w:r>
        <w:r>
          <w:rPr>
            <w:noProof/>
            <w:webHidden/>
          </w:rPr>
        </w:r>
        <w:r>
          <w:rPr>
            <w:noProof/>
            <w:webHidden/>
          </w:rPr>
          <w:fldChar w:fldCharType="separate"/>
        </w:r>
        <w:r w:rsidR="00BA08F0">
          <w:rPr>
            <w:noProof/>
            <w:webHidden/>
          </w:rPr>
          <w:t>66</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13" w:history="1">
        <w:r w:rsidR="00423092" w:rsidRPr="0040197A">
          <w:rPr>
            <w:rStyle w:val="Hyperlink"/>
            <w:rFonts w:ascii="Calibri" w:hAnsi="Calibri"/>
            <w:noProof/>
          </w:rPr>
          <w:t>3.30</w:t>
        </w:r>
        <w:r w:rsidR="00423092">
          <w:rPr>
            <w:rFonts w:eastAsiaTheme="minorEastAsia" w:cstheme="minorBidi"/>
            <w:smallCaps w:val="0"/>
            <w:noProof/>
            <w:sz w:val="22"/>
            <w:szCs w:val="22"/>
            <w:lang w:val="en-US"/>
          </w:rPr>
          <w:tab/>
        </w:r>
        <w:r w:rsidR="00423092" w:rsidRPr="0040197A">
          <w:rPr>
            <w:rStyle w:val="Hyperlink"/>
            <w:rFonts w:ascii="Calibri" w:hAnsi="Calibri"/>
            <w:noProof/>
          </w:rPr>
          <w:t>TARIFF FOR TELECOM TOWERS</w:t>
        </w:r>
        <w:r w:rsidR="00423092">
          <w:rPr>
            <w:noProof/>
            <w:webHidden/>
          </w:rPr>
          <w:tab/>
        </w:r>
        <w:r>
          <w:rPr>
            <w:noProof/>
            <w:webHidden/>
          </w:rPr>
          <w:fldChar w:fldCharType="begin"/>
        </w:r>
        <w:r w:rsidR="00423092">
          <w:rPr>
            <w:noProof/>
            <w:webHidden/>
          </w:rPr>
          <w:instrText xml:space="preserve"> PAGEREF _Toc457603913 \h </w:instrText>
        </w:r>
        <w:r>
          <w:rPr>
            <w:noProof/>
            <w:webHidden/>
          </w:rPr>
        </w:r>
        <w:r>
          <w:rPr>
            <w:noProof/>
            <w:webHidden/>
          </w:rPr>
          <w:fldChar w:fldCharType="separate"/>
        </w:r>
        <w:r w:rsidR="00BA08F0">
          <w:rPr>
            <w:noProof/>
            <w:webHidden/>
          </w:rPr>
          <w:t>67</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14" w:history="1">
        <w:r w:rsidR="00423092" w:rsidRPr="0040197A">
          <w:rPr>
            <w:rStyle w:val="Hyperlink"/>
            <w:rFonts w:ascii="Calibri" w:hAnsi="Calibri"/>
            <w:noProof/>
          </w:rPr>
          <w:t>3.31</w:t>
        </w:r>
        <w:r w:rsidR="00423092">
          <w:rPr>
            <w:rFonts w:eastAsiaTheme="minorEastAsia" w:cstheme="minorBidi"/>
            <w:smallCaps w:val="0"/>
            <w:noProof/>
            <w:sz w:val="22"/>
            <w:szCs w:val="22"/>
            <w:lang w:val="en-US"/>
          </w:rPr>
          <w:tab/>
        </w:r>
        <w:r w:rsidR="00423092" w:rsidRPr="0040197A">
          <w:rPr>
            <w:rStyle w:val="Hyperlink"/>
            <w:rFonts w:ascii="Calibri" w:hAnsi="Calibri"/>
            <w:noProof/>
          </w:rPr>
          <w:t>TARIFF STRUCTURE</w:t>
        </w:r>
        <w:r w:rsidR="00423092">
          <w:rPr>
            <w:noProof/>
            <w:webHidden/>
          </w:rPr>
          <w:tab/>
        </w:r>
        <w:r>
          <w:rPr>
            <w:noProof/>
            <w:webHidden/>
          </w:rPr>
          <w:fldChar w:fldCharType="begin"/>
        </w:r>
        <w:r w:rsidR="00423092">
          <w:rPr>
            <w:noProof/>
            <w:webHidden/>
          </w:rPr>
          <w:instrText xml:space="preserve"> PAGEREF _Toc457603914 \h </w:instrText>
        </w:r>
        <w:r>
          <w:rPr>
            <w:noProof/>
            <w:webHidden/>
          </w:rPr>
        </w:r>
        <w:r>
          <w:rPr>
            <w:noProof/>
            <w:webHidden/>
          </w:rPr>
          <w:fldChar w:fldCharType="separate"/>
        </w:r>
        <w:r w:rsidR="00BA08F0">
          <w:rPr>
            <w:noProof/>
            <w:webHidden/>
          </w:rPr>
          <w:t>68</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15" w:history="1">
        <w:r w:rsidR="00423092" w:rsidRPr="0040197A">
          <w:rPr>
            <w:rStyle w:val="Hyperlink"/>
            <w:rFonts w:ascii="Calibri" w:hAnsi="Calibri"/>
            <w:noProof/>
          </w:rPr>
          <w:t>3.32</w:t>
        </w:r>
        <w:r w:rsidR="00423092">
          <w:rPr>
            <w:rFonts w:eastAsiaTheme="minorEastAsia" w:cstheme="minorBidi"/>
            <w:smallCaps w:val="0"/>
            <w:noProof/>
            <w:sz w:val="22"/>
            <w:szCs w:val="22"/>
            <w:lang w:val="en-US"/>
          </w:rPr>
          <w:tab/>
        </w:r>
        <w:r w:rsidR="00423092" w:rsidRPr="0040197A">
          <w:rPr>
            <w:rStyle w:val="Hyperlink"/>
            <w:rFonts w:ascii="Calibri" w:hAnsi="Calibri"/>
            <w:noProof/>
          </w:rPr>
          <w:t>LATE PAYMENT SURCHARGE</w:t>
        </w:r>
        <w:r w:rsidR="00423092">
          <w:rPr>
            <w:noProof/>
            <w:webHidden/>
          </w:rPr>
          <w:tab/>
        </w:r>
        <w:r>
          <w:rPr>
            <w:noProof/>
            <w:webHidden/>
          </w:rPr>
          <w:fldChar w:fldCharType="begin"/>
        </w:r>
        <w:r w:rsidR="00423092">
          <w:rPr>
            <w:noProof/>
            <w:webHidden/>
          </w:rPr>
          <w:instrText xml:space="preserve"> PAGEREF _Toc457603915 \h </w:instrText>
        </w:r>
        <w:r>
          <w:rPr>
            <w:noProof/>
            <w:webHidden/>
          </w:rPr>
        </w:r>
        <w:r>
          <w:rPr>
            <w:noProof/>
            <w:webHidden/>
          </w:rPr>
          <w:fldChar w:fldCharType="separate"/>
        </w:r>
        <w:r w:rsidR="00BA08F0">
          <w:rPr>
            <w:noProof/>
            <w:webHidden/>
          </w:rPr>
          <w:t>73</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16" w:history="1">
        <w:r w:rsidR="00423092" w:rsidRPr="0040197A">
          <w:rPr>
            <w:rStyle w:val="Hyperlink"/>
            <w:rFonts w:ascii="Calibri" w:hAnsi="Calibri"/>
            <w:noProof/>
          </w:rPr>
          <w:t>3.33</w:t>
        </w:r>
        <w:r w:rsidR="00423092">
          <w:rPr>
            <w:rFonts w:eastAsiaTheme="minorEastAsia" w:cstheme="minorBidi"/>
            <w:smallCaps w:val="0"/>
            <w:noProof/>
            <w:sz w:val="22"/>
            <w:szCs w:val="22"/>
            <w:lang w:val="en-US"/>
          </w:rPr>
          <w:tab/>
        </w:r>
        <w:r w:rsidR="00423092" w:rsidRPr="0040197A">
          <w:rPr>
            <w:rStyle w:val="Hyperlink"/>
            <w:rFonts w:ascii="Calibri" w:hAnsi="Calibri"/>
            <w:noProof/>
          </w:rPr>
          <w:t>PUBLIC HEARING PROCESS</w:t>
        </w:r>
        <w:r w:rsidR="00423092">
          <w:rPr>
            <w:noProof/>
            <w:webHidden/>
          </w:rPr>
          <w:tab/>
        </w:r>
        <w:r>
          <w:rPr>
            <w:noProof/>
            <w:webHidden/>
          </w:rPr>
          <w:fldChar w:fldCharType="begin"/>
        </w:r>
        <w:r w:rsidR="00423092">
          <w:rPr>
            <w:noProof/>
            <w:webHidden/>
          </w:rPr>
          <w:instrText xml:space="preserve"> PAGEREF _Toc457603916 \h </w:instrText>
        </w:r>
        <w:r>
          <w:rPr>
            <w:noProof/>
            <w:webHidden/>
          </w:rPr>
        </w:r>
        <w:r>
          <w:rPr>
            <w:noProof/>
            <w:webHidden/>
          </w:rPr>
          <w:fldChar w:fldCharType="separate"/>
        </w:r>
        <w:r w:rsidR="00BA08F0">
          <w:rPr>
            <w:noProof/>
            <w:webHidden/>
          </w:rPr>
          <w:t>73</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17" w:history="1">
        <w:r w:rsidR="00423092" w:rsidRPr="0040197A">
          <w:rPr>
            <w:rStyle w:val="Hyperlink"/>
            <w:rFonts w:ascii="Calibri" w:hAnsi="Calibri"/>
            <w:noProof/>
          </w:rPr>
          <w:t>3.34</w:t>
        </w:r>
        <w:r w:rsidR="00423092">
          <w:rPr>
            <w:rFonts w:eastAsiaTheme="minorEastAsia" w:cstheme="minorBidi"/>
            <w:smallCaps w:val="0"/>
            <w:noProof/>
            <w:sz w:val="22"/>
            <w:szCs w:val="22"/>
            <w:lang w:val="en-US"/>
          </w:rPr>
          <w:tab/>
        </w:r>
        <w:r w:rsidR="00423092" w:rsidRPr="0040197A">
          <w:rPr>
            <w:rStyle w:val="Hyperlink"/>
            <w:rFonts w:ascii="Calibri" w:hAnsi="Calibri"/>
            <w:noProof/>
          </w:rPr>
          <w:t>SUB STATION CAPACITY / INFRASTRUCTURE ENHANCEMENT</w:t>
        </w:r>
        <w:r w:rsidR="00423092">
          <w:rPr>
            <w:noProof/>
            <w:webHidden/>
          </w:rPr>
          <w:tab/>
        </w:r>
        <w:r>
          <w:rPr>
            <w:noProof/>
            <w:webHidden/>
          </w:rPr>
          <w:fldChar w:fldCharType="begin"/>
        </w:r>
        <w:r w:rsidR="00423092">
          <w:rPr>
            <w:noProof/>
            <w:webHidden/>
          </w:rPr>
          <w:instrText xml:space="preserve"> PAGEREF _Toc457603917 \h </w:instrText>
        </w:r>
        <w:r>
          <w:rPr>
            <w:noProof/>
            <w:webHidden/>
          </w:rPr>
        </w:r>
        <w:r>
          <w:rPr>
            <w:noProof/>
            <w:webHidden/>
          </w:rPr>
          <w:fldChar w:fldCharType="separate"/>
        </w:r>
        <w:r w:rsidR="00BA08F0">
          <w:rPr>
            <w:noProof/>
            <w:webHidden/>
          </w:rPr>
          <w:t>74</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18" w:history="1">
        <w:r w:rsidR="00423092" w:rsidRPr="0040197A">
          <w:rPr>
            <w:rStyle w:val="Hyperlink"/>
            <w:rFonts w:ascii="Calibri" w:hAnsi="Calibri"/>
            <w:noProof/>
          </w:rPr>
          <w:t>3.35</w:t>
        </w:r>
        <w:r w:rsidR="00423092">
          <w:rPr>
            <w:rFonts w:eastAsiaTheme="minorEastAsia" w:cstheme="minorBidi"/>
            <w:smallCaps w:val="0"/>
            <w:noProof/>
            <w:sz w:val="22"/>
            <w:szCs w:val="22"/>
            <w:lang w:val="en-US"/>
          </w:rPr>
          <w:tab/>
        </w:r>
        <w:r w:rsidR="00423092" w:rsidRPr="0040197A">
          <w:rPr>
            <w:rStyle w:val="Hyperlink"/>
            <w:rFonts w:ascii="Calibri" w:hAnsi="Calibri"/>
            <w:noProof/>
          </w:rPr>
          <w:t>ENCOURAGING RENEWABLE ENERGY</w:t>
        </w:r>
        <w:r w:rsidR="00423092">
          <w:rPr>
            <w:noProof/>
            <w:webHidden/>
          </w:rPr>
          <w:tab/>
        </w:r>
        <w:r>
          <w:rPr>
            <w:noProof/>
            <w:webHidden/>
          </w:rPr>
          <w:fldChar w:fldCharType="begin"/>
        </w:r>
        <w:r w:rsidR="00423092">
          <w:rPr>
            <w:noProof/>
            <w:webHidden/>
          </w:rPr>
          <w:instrText xml:space="preserve"> PAGEREF _Toc457603918 \h </w:instrText>
        </w:r>
        <w:r>
          <w:rPr>
            <w:noProof/>
            <w:webHidden/>
          </w:rPr>
        </w:r>
        <w:r>
          <w:rPr>
            <w:noProof/>
            <w:webHidden/>
          </w:rPr>
          <w:fldChar w:fldCharType="separate"/>
        </w:r>
        <w:r w:rsidR="00BA08F0">
          <w:rPr>
            <w:noProof/>
            <w:webHidden/>
          </w:rPr>
          <w:t>76</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19" w:history="1">
        <w:r w:rsidR="00423092" w:rsidRPr="0040197A">
          <w:rPr>
            <w:rStyle w:val="Hyperlink"/>
            <w:rFonts w:ascii="Calibri" w:hAnsi="Calibri"/>
            <w:noProof/>
          </w:rPr>
          <w:t>3.36</w:t>
        </w:r>
        <w:r w:rsidR="00423092">
          <w:rPr>
            <w:rFonts w:eastAsiaTheme="minorEastAsia" w:cstheme="minorBidi"/>
            <w:smallCaps w:val="0"/>
            <w:noProof/>
            <w:sz w:val="22"/>
            <w:szCs w:val="22"/>
            <w:lang w:val="en-US"/>
          </w:rPr>
          <w:tab/>
        </w:r>
        <w:r w:rsidR="00423092" w:rsidRPr="0040197A">
          <w:rPr>
            <w:rStyle w:val="Hyperlink"/>
            <w:rFonts w:ascii="Calibri" w:hAnsi="Calibri"/>
            <w:noProof/>
          </w:rPr>
          <w:t>MERIT ORDER DISPATCH</w:t>
        </w:r>
        <w:r w:rsidR="00423092">
          <w:rPr>
            <w:noProof/>
            <w:webHidden/>
          </w:rPr>
          <w:tab/>
        </w:r>
        <w:r>
          <w:rPr>
            <w:noProof/>
            <w:webHidden/>
          </w:rPr>
          <w:fldChar w:fldCharType="begin"/>
        </w:r>
        <w:r w:rsidR="00423092">
          <w:rPr>
            <w:noProof/>
            <w:webHidden/>
          </w:rPr>
          <w:instrText xml:space="preserve"> PAGEREF _Toc457603919 \h </w:instrText>
        </w:r>
        <w:r>
          <w:rPr>
            <w:noProof/>
            <w:webHidden/>
          </w:rPr>
        </w:r>
        <w:r>
          <w:rPr>
            <w:noProof/>
            <w:webHidden/>
          </w:rPr>
          <w:fldChar w:fldCharType="separate"/>
        </w:r>
        <w:r w:rsidR="00BA08F0">
          <w:rPr>
            <w:noProof/>
            <w:webHidden/>
          </w:rPr>
          <w:t>77</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20" w:history="1">
        <w:r w:rsidR="00423092" w:rsidRPr="0040197A">
          <w:rPr>
            <w:rStyle w:val="Hyperlink"/>
            <w:rFonts w:ascii="Calibri" w:hAnsi="Calibri"/>
            <w:noProof/>
          </w:rPr>
          <w:t>3.37</w:t>
        </w:r>
        <w:r w:rsidR="00423092">
          <w:rPr>
            <w:rFonts w:eastAsiaTheme="minorEastAsia" w:cstheme="minorBidi"/>
            <w:smallCaps w:val="0"/>
            <w:noProof/>
            <w:sz w:val="22"/>
            <w:szCs w:val="22"/>
            <w:lang w:val="en-US"/>
          </w:rPr>
          <w:tab/>
        </w:r>
        <w:r w:rsidR="00423092" w:rsidRPr="0040197A">
          <w:rPr>
            <w:rStyle w:val="Hyperlink"/>
            <w:rFonts w:ascii="Calibri" w:hAnsi="Calibri"/>
            <w:noProof/>
          </w:rPr>
          <w:t>OTHER GENERAL ISSUES</w:t>
        </w:r>
        <w:r w:rsidR="00423092">
          <w:rPr>
            <w:noProof/>
            <w:webHidden/>
          </w:rPr>
          <w:tab/>
        </w:r>
        <w:r>
          <w:rPr>
            <w:noProof/>
            <w:webHidden/>
          </w:rPr>
          <w:fldChar w:fldCharType="begin"/>
        </w:r>
        <w:r w:rsidR="00423092">
          <w:rPr>
            <w:noProof/>
            <w:webHidden/>
          </w:rPr>
          <w:instrText xml:space="preserve"> PAGEREF _Toc457603920 \h </w:instrText>
        </w:r>
        <w:r>
          <w:rPr>
            <w:noProof/>
            <w:webHidden/>
          </w:rPr>
        </w:r>
        <w:r>
          <w:rPr>
            <w:noProof/>
            <w:webHidden/>
          </w:rPr>
          <w:fldChar w:fldCharType="separate"/>
        </w:r>
        <w:r w:rsidR="00BA08F0">
          <w:rPr>
            <w:noProof/>
            <w:webHidden/>
          </w:rPr>
          <w:t>80</w:t>
        </w:r>
        <w:r>
          <w:rPr>
            <w:noProof/>
            <w:webHidden/>
          </w:rPr>
          <w:fldChar w:fldCharType="end"/>
        </w:r>
      </w:hyperlink>
    </w:p>
    <w:p w:rsidR="00423092" w:rsidRDefault="009741CA">
      <w:pPr>
        <w:pStyle w:val="TOC1"/>
        <w:rPr>
          <w:rFonts w:eastAsiaTheme="minorEastAsia" w:cstheme="minorBidi"/>
          <w:bCs w:val="0"/>
          <w:caps w:val="0"/>
          <w:noProof/>
          <w:sz w:val="22"/>
          <w:szCs w:val="22"/>
          <w:lang w:val="en-US"/>
        </w:rPr>
      </w:pPr>
      <w:hyperlink w:anchor="_Toc457603921" w:history="1">
        <w:r w:rsidR="00423092" w:rsidRPr="0040197A">
          <w:rPr>
            <w:rStyle w:val="Hyperlink"/>
            <w:noProof/>
          </w:rPr>
          <w:t>4.</w:t>
        </w:r>
        <w:r w:rsidR="00423092">
          <w:rPr>
            <w:rFonts w:eastAsiaTheme="minorEastAsia" w:cstheme="minorBidi"/>
            <w:bCs w:val="0"/>
            <w:caps w:val="0"/>
            <w:noProof/>
            <w:sz w:val="22"/>
            <w:szCs w:val="22"/>
            <w:lang w:val="en-US"/>
          </w:rPr>
          <w:tab/>
        </w:r>
        <w:r w:rsidR="00423092" w:rsidRPr="0040197A">
          <w:rPr>
            <w:rStyle w:val="Hyperlink"/>
            <w:noProof/>
          </w:rPr>
          <w:t>TRUING UP OF AGGREGATE REVENUE REQUIREMENT FOR FY 2013-14</w:t>
        </w:r>
        <w:r w:rsidR="00423092">
          <w:rPr>
            <w:noProof/>
            <w:webHidden/>
          </w:rPr>
          <w:tab/>
        </w:r>
        <w:r>
          <w:rPr>
            <w:noProof/>
            <w:webHidden/>
          </w:rPr>
          <w:fldChar w:fldCharType="begin"/>
        </w:r>
        <w:r w:rsidR="00423092">
          <w:rPr>
            <w:noProof/>
            <w:webHidden/>
          </w:rPr>
          <w:instrText xml:space="preserve"> PAGEREF _Toc457603921 \h </w:instrText>
        </w:r>
        <w:r>
          <w:rPr>
            <w:noProof/>
            <w:webHidden/>
          </w:rPr>
        </w:r>
        <w:r>
          <w:rPr>
            <w:noProof/>
            <w:webHidden/>
          </w:rPr>
          <w:fldChar w:fldCharType="separate"/>
        </w:r>
        <w:r w:rsidR="00BA08F0">
          <w:rPr>
            <w:noProof/>
            <w:webHidden/>
          </w:rPr>
          <w:t>85</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22" w:history="1">
        <w:r w:rsidR="00423092" w:rsidRPr="0040197A">
          <w:rPr>
            <w:rStyle w:val="Hyperlink"/>
            <w:rFonts w:ascii="Calibri" w:hAnsi="Calibri" w:cs="Calibri"/>
            <w:noProof/>
            <w:lang w:val="en-US"/>
          </w:rPr>
          <w:t>4.1</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INTRODUCTION</w:t>
        </w:r>
        <w:r w:rsidR="00423092">
          <w:rPr>
            <w:noProof/>
            <w:webHidden/>
          </w:rPr>
          <w:tab/>
        </w:r>
        <w:r>
          <w:rPr>
            <w:noProof/>
            <w:webHidden/>
          </w:rPr>
          <w:fldChar w:fldCharType="begin"/>
        </w:r>
        <w:r w:rsidR="00423092">
          <w:rPr>
            <w:noProof/>
            <w:webHidden/>
          </w:rPr>
          <w:instrText xml:space="preserve"> PAGEREF _Toc457603922 \h </w:instrText>
        </w:r>
        <w:r>
          <w:rPr>
            <w:noProof/>
            <w:webHidden/>
          </w:rPr>
        </w:r>
        <w:r>
          <w:rPr>
            <w:noProof/>
            <w:webHidden/>
          </w:rPr>
          <w:fldChar w:fldCharType="separate"/>
        </w:r>
        <w:r w:rsidR="00BA08F0">
          <w:rPr>
            <w:noProof/>
            <w:webHidden/>
          </w:rPr>
          <w:t>85</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23" w:history="1">
        <w:r w:rsidR="00423092" w:rsidRPr="0040197A">
          <w:rPr>
            <w:rStyle w:val="Hyperlink"/>
            <w:rFonts w:ascii="Calibri" w:hAnsi="Calibri" w:cs="Calibri"/>
            <w:noProof/>
            <w:lang w:val="en-US"/>
          </w:rPr>
          <w:t>4.2</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POWER PURCHASE EXPENSES</w:t>
        </w:r>
        <w:r w:rsidR="00423092">
          <w:rPr>
            <w:noProof/>
            <w:webHidden/>
          </w:rPr>
          <w:tab/>
        </w:r>
        <w:r>
          <w:rPr>
            <w:noProof/>
            <w:webHidden/>
          </w:rPr>
          <w:fldChar w:fldCharType="begin"/>
        </w:r>
        <w:r w:rsidR="00423092">
          <w:rPr>
            <w:noProof/>
            <w:webHidden/>
          </w:rPr>
          <w:instrText xml:space="preserve"> PAGEREF _Toc457603923 \h </w:instrText>
        </w:r>
        <w:r>
          <w:rPr>
            <w:noProof/>
            <w:webHidden/>
          </w:rPr>
        </w:r>
        <w:r>
          <w:rPr>
            <w:noProof/>
            <w:webHidden/>
          </w:rPr>
          <w:fldChar w:fldCharType="separate"/>
        </w:r>
        <w:r w:rsidR="00BA08F0">
          <w:rPr>
            <w:noProof/>
            <w:webHidden/>
          </w:rPr>
          <w:t>85</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24" w:history="1">
        <w:r w:rsidR="00423092" w:rsidRPr="0040197A">
          <w:rPr>
            <w:rStyle w:val="Hyperlink"/>
            <w:rFonts w:ascii="Calibri" w:hAnsi="Calibri" w:cs="Calibri"/>
            <w:noProof/>
            <w:lang w:val="en-US"/>
          </w:rPr>
          <w:t>4.3</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TRANSMISSION CHARGES</w:t>
        </w:r>
        <w:r w:rsidR="00423092">
          <w:rPr>
            <w:noProof/>
            <w:webHidden/>
          </w:rPr>
          <w:tab/>
        </w:r>
        <w:r>
          <w:rPr>
            <w:noProof/>
            <w:webHidden/>
          </w:rPr>
          <w:fldChar w:fldCharType="begin"/>
        </w:r>
        <w:r w:rsidR="00423092">
          <w:rPr>
            <w:noProof/>
            <w:webHidden/>
          </w:rPr>
          <w:instrText xml:space="preserve"> PAGEREF _Toc457603924 \h </w:instrText>
        </w:r>
        <w:r>
          <w:rPr>
            <w:noProof/>
            <w:webHidden/>
          </w:rPr>
        </w:r>
        <w:r>
          <w:rPr>
            <w:noProof/>
            <w:webHidden/>
          </w:rPr>
          <w:fldChar w:fldCharType="separate"/>
        </w:r>
        <w:r w:rsidR="00BA08F0">
          <w:rPr>
            <w:noProof/>
            <w:webHidden/>
          </w:rPr>
          <w:t>90</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25" w:history="1">
        <w:r w:rsidR="00423092" w:rsidRPr="0040197A">
          <w:rPr>
            <w:rStyle w:val="Hyperlink"/>
            <w:rFonts w:ascii="Calibri" w:hAnsi="Calibri" w:cs="Calibri"/>
            <w:noProof/>
            <w:lang w:val="en-US"/>
          </w:rPr>
          <w:t>4.4</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O&amp;M EXPENSES</w:t>
        </w:r>
        <w:r w:rsidR="00423092">
          <w:rPr>
            <w:noProof/>
            <w:webHidden/>
          </w:rPr>
          <w:tab/>
        </w:r>
        <w:r>
          <w:rPr>
            <w:noProof/>
            <w:webHidden/>
          </w:rPr>
          <w:fldChar w:fldCharType="begin"/>
        </w:r>
        <w:r w:rsidR="00423092">
          <w:rPr>
            <w:noProof/>
            <w:webHidden/>
          </w:rPr>
          <w:instrText xml:space="preserve"> PAGEREF _Toc457603925 \h </w:instrText>
        </w:r>
        <w:r>
          <w:rPr>
            <w:noProof/>
            <w:webHidden/>
          </w:rPr>
        </w:r>
        <w:r>
          <w:rPr>
            <w:noProof/>
            <w:webHidden/>
          </w:rPr>
          <w:fldChar w:fldCharType="separate"/>
        </w:r>
        <w:r w:rsidR="00BA08F0">
          <w:rPr>
            <w:noProof/>
            <w:webHidden/>
          </w:rPr>
          <w:t>91</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26" w:history="1">
        <w:r w:rsidR="00423092" w:rsidRPr="0040197A">
          <w:rPr>
            <w:rStyle w:val="Hyperlink"/>
            <w:rFonts w:ascii="Calibri" w:hAnsi="Calibri" w:cs="Calibri"/>
            <w:noProof/>
            <w:lang w:val="en-US"/>
          </w:rPr>
          <w:t>4.5</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INTEREST AND FINANCE CHARGES</w:t>
        </w:r>
        <w:r w:rsidR="00423092">
          <w:rPr>
            <w:noProof/>
            <w:webHidden/>
          </w:rPr>
          <w:tab/>
        </w:r>
        <w:r>
          <w:rPr>
            <w:noProof/>
            <w:webHidden/>
          </w:rPr>
          <w:fldChar w:fldCharType="begin"/>
        </w:r>
        <w:r w:rsidR="00423092">
          <w:rPr>
            <w:noProof/>
            <w:webHidden/>
          </w:rPr>
          <w:instrText xml:space="preserve"> PAGEREF _Toc457603926 \h </w:instrText>
        </w:r>
        <w:r>
          <w:rPr>
            <w:noProof/>
            <w:webHidden/>
          </w:rPr>
        </w:r>
        <w:r>
          <w:rPr>
            <w:noProof/>
            <w:webHidden/>
          </w:rPr>
          <w:fldChar w:fldCharType="separate"/>
        </w:r>
        <w:r w:rsidR="00BA08F0">
          <w:rPr>
            <w:noProof/>
            <w:webHidden/>
          </w:rPr>
          <w:t>95</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27" w:history="1">
        <w:r w:rsidR="00423092" w:rsidRPr="0040197A">
          <w:rPr>
            <w:rStyle w:val="Hyperlink"/>
            <w:rFonts w:ascii="Calibri" w:hAnsi="Calibri" w:cs="Calibri"/>
            <w:noProof/>
            <w:lang w:val="en-US"/>
          </w:rPr>
          <w:t>4.6</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DEPRECIATION</w:t>
        </w:r>
        <w:r w:rsidR="00423092">
          <w:rPr>
            <w:noProof/>
            <w:webHidden/>
          </w:rPr>
          <w:tab/>
        </w:r>
        <w:r>
          <w:rPr>
            <w:noProof/>
            <w:webHidden/>
          </w:rPr>
          <w:fldChar w:fldCharType="begin"/>
        </w:r>
        <w:r w:rsidR="00423092">
          <w:rPr>
            <w:noProof/>
            <w:webHidden/>
          </w:rPr>
          <w:instrText xml:space="preserve"> PAGEREF _Toc457603927 \h </w:instrText>
        </w:r>
        <w:r>
          <w:rPr>
            <w:noProof/>
            <w:webHidden/>
          </w:rPr>
        </w:r>
        <w:r>
          <w:rPr>
            <w:noProof/>
            <w:webHidden/>
          </w:rPr>
          <w:fldChar w:fldCharType="separate"/>
        </w:r>
        <w:r w:rsidR="00BA08F0">
          <w:rPr>
            <w:noProof/>
            <w:webHidden/>
          </w:rPr>
          <w:t>101</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28" w:history="1">
        <w:r w:rsidR="00423092" w:rsidRPr="0040197A">
          <w:rPr>
            <w:rStyle w:val="Hyperlink"/>
            <w:rFonts w:ascii="Calibri" w:hAnsi="Calibri" w:cs="Calibri"/>
            <w:noProof/>
            <w:lang w:val="en-US"/>
          </w:rPr>
          <w:t>4.7</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PRIOR PERIOD EXPENSES</w:t>
        </w:r>
        <w:r w:rsidR="00423092">
          <w:rPr>
            <w:noProof/>
            <w:webHidden/>
          </w:rPr>
          <w:tab/>
        </w:r>
        <w:r>
          <w:rPr>
            <w:noProof/>
            <w:webHidden/>
          </w:rPr>
          <w:fldChar w:fldCharType="begin"/>
        </w:r>
        <w:r w:rsidR="00423092">
          <w:rPr>
            <w:noProof/>
            <w:webHidden/>
          </w:rPr>
          <w:instrText xml:space="preserve"> PAGEREF _Toc457603928 \h </w:instrText>
        </w:r>
        <w:r>
          <w:rPr>
            <w:noProof/>
            <w:webHidden/>
          </w:rPr>
        </w:r>
        <w:r>
          <w:rPr>
            <w:noProof/>
            <w:webHidden/>
          </w:rPr>
          <w:fldChar w:fldCharType="separate"/>
        </w:r>
        <w:r w:rsidR="00BA08F0">
          <w:rPr>
            <w:noProof/>
            <w:webHidden/>
          </w:rPr>
          <w:t>104</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29" w:history="1">
        <w:r w:rsidR="00423092" w:rsidRPr="0040197A">
          <w:rPr>
            <w:rStyle w:val="Hyperlink"/>
            <w:rFonts w:ascii="Calibri" w:hAnsi="Calibri" w:cs="Calibri"/>
            <w:noProof/>
            <w:lang w:val="en-US"/>
          </w:rPr>
          <w:t>4.8</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PROVISION FOR BAD AND DOUBTFUL DEBTS</w:t>
        </w:r>
        <w:r w:rsidR="00423092">
          <w:rPr>
            <w:noProof/>
            <w:webHidden/>
          </w:rPr>
          <w:tab/>
        </w:r>
        <w:r>
          <w:rPr>
            <w:noProof/>
            <w:webHidden/>
          </w:rPr>
          <w:fldChar w:fldCharType="begin"/>
        </w:r>
        <w:r w:rsidR="00423092">
          <w:rPr>
            <w:noProof/>
            <w:webHidden/>
          </w:rPr>
          <w:instrText xml:space="preserve"> PAGEREF _Toc457603929 \h </w:instrText>
        </w:r>
        <w:r>
          <w:rPr>
            <w:noProof/>
            <w:webHidden/>
          </w:rPr>
        </w:r>
        <w:r>
          <w:rPr>
            <w:noProof/>
            <w:webHidden/>
          </w:rPr>
          <w:fldChar w:fldCharType="separate"/>
        </w:r>
        <w:r w:rsidR="00BA08F0">
          <w:rPr>
            <w:noProof/>
            <w:webHidden/>
          </w:rPr>
          <w:t>107</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30" w:history="1">
        <w:r w:rsidR="00423092" w:rsidRPr="0040197A">
          <w:rPr>
            <w:rStyle w:val="Hyperlink"/>
            <w:rFonts w:ascii="Calibri" w:hAnsi="Calibri" w:cs="Calibri"/>
            <w:noProof/>
            <w:lang w:val="en-US"/>
          </w:rPr>
          <w:t>4.9</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RETURN ON EQUITY</w:t>
        </w:r>
        <w:r w:rsidR="00423092">
          <w:rPr>
            <w:noProof/>
            <w:webHidden/>
          </w:rPr>
          <w:tab/>
        </w:r>
        <w:r>
          <w:rPr>
            <w:noProof/>
            <w:webHidden/>
          </w:rPr>
          <w:fldChar w:fldCharType="begin"/>
        </w:r>
        <w:r w:rsidR="00423092">
          <w:rPr>
            <w:noProof/>
            <w:webHidden/>
          </w:rPr>
          <w:instrText xml:space="preserve"> PAGEREF _Toc457603930 \h </w:instrText>
        </w:r>
        <w:r>
          <w:rPr>
            <w:noProof/>
            <w:webHidden/>
          </w:rPr>
        </w:r>
        <w:r>
          <w:rPr>
            <w:noProof/>
            <w:webHidden/>
          </w:rPr>
          <w:fldChar w:fldCharType="separate"/>
        </w:r>
        <w:r w:rsidR="00BA08F0">
          <w:rPr>
            <w:noProof/>
            <w:webHidden/>
          </w:rPr>
          <w:t>111</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31" w:history="1">
        <w:r w:rsidR="00423092" w:rsidRPr="0040197A">
          <w:rPr>
            <w:rStyle w:val="Hyperlink"/>
            <w:rFonts w:ascii="Calibri" w:hAnsi="Calibri" w:cs="Calibri"/>
            <w:noProof/>
            <w:lang w:val="en-US"/>
          </w:rPr>
          <w:t>4.10</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REVENUE SUBSIDY FROM GOUP</w:t>
        </w:r>
        <w:r w:rsidR="00423092">
          <w:rPr>
            <w:noProof/>
            <w:webHidden/>
          </w:rPr>
          <w:tab/>
        </w:r>
        <w:r>
          <w:rPr>
            <w:noProof/>
            <w:webHidden/>
          </w:rPr>
          <w:fldChar w:fldCharType="begin"/>
        </w:r>
        <w:r w:rsidR="00423092">
          <w:rPr>
            <w:noProof/>
            <w:webHidden/>
          </w:rPr>
          <w:instrText xml:space="preserve"> PAGEREF _Toc457603931 \h </w:instrText>
        </w:r>
        <w:r>
          <w:rPr>
            <w:noProof/>
            <w:webHidden/>
          </w:rPr>
        </w:r>
        <w:r>
          <w:rPr>
            <w:noProof/>
            <w:webHidden/>
          </w:rPr>
          <w:fldChar w:fldCharType="separate"/>
        </w:r>
        <w:r w:rsidR="00BA08F0">
          <w:rPr>
            <w:noProof/>
            <w:webHidden/>
          </w:rPr>
          <w:t>111</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32" w:history="1">
        <w:r w:rsidR="00423092" w:rsidRPr="0040197A">
          <w:rPr>
            <w:rStyle w:val="Hyperlink"/>
            <w:rFonts w:ascii="Calibri" w:hAnsi="Calibri" w:cs="Calibri"/>
            <w:noProof/>
            <w:lang w:val="en-US"/>
          </w:rPr>
          <w:t>4.11</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ADDITIONAL SUSBIDY REQUIREMENT</w:t>
        </w:r>
        <w:r w:rsidR="00423092">
          <w:rPr>
            <w:noProof/>
            <w:webHidden/>
          </w:rPr>
          <w:tab/>
        </w:r>
        <w:r>
          <w:rPr>
            <w:noProof/>
            <w:webHidden/>
          </w:rPr>
          <w:fldChar w:fldCharType="begin"/>
        </w:r>
        <w:r w:rsidR="00423092">
          <w:rPr>
            <w:noProof/>
            <w:webHidden/>
          </w:rPr>
          <w:instrText xml:space="preserve"> PAGEREF _Toc457603932 \h </w:instrText>
        </w:r>
        <w:r>
          <w:rPr>
            <w:noProof/>
            <w:webHidden/>
          </w:rPr>
        </w:r>
        <w:r>
          <w:rPr>
            <w:noProof/>
            <w:webHidden/>
          </w:rPr>
          <w:fldChar w:fldCharType="separate"/>
        </w:r>
        <w:r w:rsidR="00BA08F0">
          <w:rPr>
            <w:noProof/>
            <w:webHidden/>
          </w:rPr>
          <w:t>111</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33" w:history="1">
        <w:r w:rsidR="00423092" w:rsidRPr="0040197A">
          <w:rPr>
            <w:rStyle w:val="Hyperlink"/>
            <w:rFonts w:ascii="Calibri" w:hAnsi="Calibri" w:cs="Calibri"/>
            <w:noProof/>
            <w:lang w:val="en-US"/>
          </w:rPr>
          <w:t>4.12</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REVENUE SIDE TRUING UP</w:t>
        </w:r>
        <w:r w:rsidR="00423092">
          <w:rPr>
            <w:noProof/>
            <w:webHidden/>
          </w:rPr>
          <w:tab/>
        </w:r>
        <w:r>
          <w:rPr>
            <w:noProof/>
            <w:webHidden/>
          </w:rPr>
          <w:fldChar w:fldCharType="begin"/>
        </w:r>
        <w:r w:rsidR="00423092">
          <w:rPr>
            <w:noProof/>
            <w:webHidden/>
          </w:rPr>
          <w:instrText xml:space="preserve"> PAGEREF _Toc457603933 \h </w:instrText>
        </w:r>
        <w:r>
          <w:rPr>
            <w:noProof/>
            <w:webHidden/>
          </w:rPr>
        </w:r>
        <w:r>
          <w:rPr>
            <w:noProof/>
            <w:webHidden/>
          </w:rPr>
          <w:fldChar w:fldCharType="separate"/>
        </w:r>
        <w:r w:rsidR="00BA08F0">
          <w:rPr>
            <w:noProof/>
            <w:webHidden/>
          </w:rPr>
          <w:t>114</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34" w:history="1">
        <w:r w:rsidR="00423092" w:rsidRPr="0040197A">
          <w:rPr>
            <w:rStyle w:val="Hyperlink"/>
            <w:rFonts w:ascii="Calibri" w:hAnsi="Calibri" w:cs="Calibri"/>
            <w:noProof/>
            <w:lang w:val="en-US"/>
          </w:rPr>
          <w:t>4.13</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REVENUE FROM SALE OF POWER</w:t>
        </w:r>
        <w:r w:rsidR="00423092">
          <w:rPr>
            <w:noProof/>
            <w:webHidden/>
          </w:rPr>
          <w:tab/>
        </w:r>
        <w:r>
          <w:rPr>
            <w:noProof/>
            <w:webHidden/>
          </w:rPr>
          <w:fldChar w:fldCharType="begin"/>
        </w:r>
        <w:r w:rsidR="00423092">
          <w:rPr>
            <w:noProof/>
            <w:webHidden/>
          </w:rPr>
          <w:instrText xml:space="preserve"> PAGEREF _Toc457603934 \h </w:instrText>
        </w:r>
        <w:r>
          <w:rPr>
            <w:noProof/>
            <w:webHidden/>
          </w:rPr>
        </w:r>
        <w:r>
          <w:rPr>
            <w:noProof/>
            <w:webHidden/>
          </w:rPr>
          <w:fldChar w:fldCharType="separate"/>
        </w:r>
        <w:r w:rsidR="00BA08F0">
          <w:rPr>
            <w:noProof/>
            <w:webHidden/>
          </w:rPr>
          <w:t>114</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35" w:history="1">
        <w:r w:rsidR="00423092" w:rsidRPr="0040197A">
          <w:rPr>
            <w:rStyle w:val="Hyperlink"/>
            <w:rFonts w:ascii="Calibri" w:hAnsi="Calibri" w:cs="Calibri"/>
            <w:noProof/>
            <w:lang w:val="en-US"/>
          </w:rPr>
          <w:t>4.14</w:t>
        </w:r>
        <w:r w:rsidR="00423092">
          <w:rPr>
            <w:rFonts w:eastAsiaTheme="minorEastAsia" w:cstheme="minorBidi"/>
            <w:smallCaps w:val="0"/>
            <w:noProof/>
            <w:sz w:val="22"/>
            <w:szCs w:val="22"/>
            <w:lang w:val="en-US"/>
          </w:rPr>
          <w:tab/>
        </w:r>
        <w:r w:rsidR="00423092" w:rsidRPr="0040197A">
          <w:rPr>
            <w:rStyle w:val="Hyperlink"/>
            <w:rFonts w:ascii="Calibri" w:hAnsi="Calibri" w:cs="Calibri"/>
            <w:noProof/>
            <w:lang w:val="en-US"/>
          </w:rPr>
          <w:t>ARR AND REVENUE GAP/ (SURPLUS) FOR FY 2013-14 AFTER TRUING UP</w:t>
        </w:r>
        <w:r w:rsidR="00423092">
          <w:rPr>
            <w:noProof/>
            <w:webHidden/>
          </w:rPr>
          <w:tab/>
        </w:r>
        <w:r>
          <w:rPr>
            <w:noProof/>
            <w:webHidden/>
          </w:rPr>
          <w:fldChar w:fldCharType="begin"/>
        </w:r>
        <w:r w:rsidR="00423092">
          <w:rPr>
            <w:noProof/>
            <w:webHidden/>
          </w:rPr>
          <w:instrText xml:space="preserve"> PAGEREF _Toc457603935 \h </w:instrText>
        </w:r>
        <w:r>
          <w:rPr>
            <w:noProof/>
            <w:webHidden/>
          </w:rPr>
        </w:r>
        <w:r>
          <w:rPr>
            <w:noProof/>
            <w:webHidden/>
          </w:rPr>
          <w:fldChar w:fldCharType="separate"/>
        </w:r>
        <w:r w:rsidR="00BA08F0">
          <w:rPr>
            <w:noProof/>
            <w:webHidden/>
          </w:rPr>
          <w:t>115</w:t>
        </w:r>
        <w:r>
          <w:rPr>
            <w:noProof/>
            <w:webHidden/>
          </w:rPr>
          <w:fldChar w:fldCharType="end"/>
        </w:r>
      </w:hyperlink>
    </w:p>
    <w:p w:rsidR="00423092" w:rsidRDefault="009741CA">
      <w:pPr>
        <w:pStyle w:val="TOC1"/>
        <w:rPr>
          <w:rFonts w:eastAsiaTheme="minorEastAsia" w:cstheme="minorBidi"/>
          <w:bCs w:val="0"/>
          <w:caps w:val="0"/>
          <w:noProof/>
          <w:sz w:val="22"/>
          <w:szCs w:val="22"/>
          <w:lang w:val="en-US"/>
        </w:rPr>
      </w:pPr>
      <w:hyperlink w:anchor="_Toc457603936" w:history="1">
        <w:r w:rsidR="00423092" w:rsidRPr="0040197A">
          <w:rPr>
            <w:rStyle w:val="Hyperlink"/>
            <w:noProof/>
          </w:rPr>
          <w:t>5.</w:t>
        </w:r>
        <w:r w:rsidR="00423092">
          <w:rPr>
            <w:rFonts w:eastAsiaTheme="minorEastAsia" w:cstheme="minorBidi"/>
            <w:bCs w:val="0"/>
            <w:caps w:val="0"/>
            <w:noProof/>
            <w:sz w:val="22"/>
            <w:szCs w:val="22"/>
            <w:lang w:val="en-US"/>
          </w:rPr>
          <w:tab/>
        </w:r>
        <w:r w:rsidR="00423092" w:rsidRPr="0040197A">
          <w:rPr>
            <w:rStyle w:val="Hyperlink"/>
            <w:noProof/>
          </w:rPr>
          <w:t>ANNUAL REVENUE REQUIREMENT FOR 2016-17</w:t>
        </w:r>
        <w:r w:rsidR="00423092">
          <w:rPr>
            <w:noProof/>
            <w:webHidden/>
          </w:rPr>
          <w:tab/>
        </w:r>
        <w:r>
          <w:rPr>
            <w:noProof/>
            <w:webHidden/>
          </w:rPr>
          <w:fldChar w:fldCharType="begin"/>
        </w:r>
        <w:r w:rsidR="00423092">
          <w:rPr>
            <w:noProof/>
            <w:webHidden/>
          </w:rPr>
          <w:instrText xml:space="preserve"> PAGEREF _Toc457603936 \h </w:instrText>
        </w:r>
        <w:r>
          <w:rPr>
            <w:noProof/>
            <w:webHidden/>
          </w:rPr>
        </w:r>
        <w:r>
          <w:rPr>
            <w:noProof/>
            <w:webHidden/>
          </w:rPr>
          <w:fldChar w:fldCharType="separate"/>
        </w:r>
        <w:r w:rsidR="00BA08F0">
          <w:rPr>
            <w:noProof/>
            <w:webHidden/>
          </w:rPr>
          <w:t>118</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37" w:history="1">
        <w:r w:rsidR="00423092" w:rsidRPr="0040197A">
          <w:rPr>
            <w:rStyle w:val="Hyperlink"/>
            <w:rFonts w:ascii="Calibri" w:hAnsi="Calibri"/>
            <w:noProof/>
          </w:rPr>
          <w:t>5.1</w:t>
        </w:r>
        <w:r w:rsidR="00423092">
          <w:rPr>
            <w:rFonts w:eastAsiaTheme="minorEastAsia" w:cstheme="minorBidi"/>
            <w:smallCaps w:val="0"/>
            <w:noProof/>
            <w:sz w:val="22"/>
            <w:szCs w:val="22"/>
            <w:lang w:val="en-US"/>
          </w:rPr>
          <w:tab/>
        </w:r>
        <w:r w:rsidR="00423092" w:rsidRPr="0040197A">
          <w:rPr>
            <w:rStyle w:val="Hyperlink"/>
            <w:rFonts w:ascii="Calibri" w:hAnsi="Calibri"/>
            <w:noProof/>
          </w:rPr>
          <w:t>INTRODUCTION</w:t>
        </w:r>
        <w:r w:rsidR="00423092">
          <w:rPr>
            <w:noProof/>
            <w:webHidden/>
          </w:rPr>
          <w:tab/>
        </w:r>
        <w:r>
          <w:rPr>
            <w:noProof/>
            <w:webHidden/>
          </w:rPr>
          <w:fldChar w:fldCharType="begin"/>
        </w:r>
        <w:r w:rsidR="00423092">
          <w:rPr>
            <w:noProof/>
            <w:webHidden/>
          </w:rPr>
          <w:instrText xml:space="preserve"> PAGEREF _Toc457603937 \h </w:instrText>
        </w:r>
        <w:r>
          <w:rPr>
            <w:noProof/>
            <w:webHidden/>
          </w:rPr>
        </w:r>
        <w:r>
          <w:rPr>
            <w:noProof/>
            <w:webHidden/>
          </w:rPr>
          <w:fldChar w:fldCharType="separate"/>
        </w:r>
        <w:r w:rsidR="00BA08F0">
          <w:rPr>
            <w:noProof/>
            <w:webHidden/>
          </w:rPr>
          <w:t>118</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38" w:history="1">
        <w:r w:rsidR="00423092" w:rsidRPr="0040197A">
          <w:rPr>
            <w:rStyle w:val="Hyperlink"/>
            <w:rFonts w:ascii="Calibri" w:hAnsi="Calibri"/>
            <w:noProof/>
          </w:rPr>
          <w:t>5.2</w:t>
        </w:r>
        <w:r w:rsidR="00423092">
          <w:rPr>
            <w:rFonts w:eastAsiaTheme="minorEastAsia" w:cstheme="minorBidi"/>
            <w:smallCaps w:val="0"/>
            <w:noProof/>
            <w:sz w:val="22"/>
            <w:szCs w:val="22"/>
            <w:lang w:val="en-US"/>
          </w:rPr>
          <w:tab/>
        </w:r>
        <w:r w:rsidR="00423092" w:rsidRPr="0040197A">
          <w:rPr>
            <w:rStyle w:val="Hyperlink"/>
            <w:rFonts w:ascii="Calibri" w:hAnsi="Calibri"/>
            <w:noProof/>
          </w:rPr>
          <w:t>CONSUMPTION PARAMETERS: CONSUMER NUMBERS, CONNECTED LOAD, SALES</w:t>
        </w:r>
        <w:r w:rsidR="00423092">
          <w:rPr>
            <w:noProof/>
            <w:webHidden/>
          </w:rPr>
          <w:tab/>
        </w:r>
        <w:r>
          <w:rPr>
            <w:noProof/>
            <w:webHidden/>
          </w:rPr>
          <w:fldChar w:fldCharType="begin"/>
        </w:r>
        <w:r w:rsidR="00423092">
          <w:rPr>
            <w:noProof/>
            <w:webHidden/>
          </w:rPr>
          <w:instrText xml:space="preserve"> PAGEREF _Toc457603938 \h </w:instrText>
        </w:r>
        <w:r>
          <w:rPr>
            <w:noProof/>
            <w:webHidden/>
          </w:rPr>
        </w:r>
        <w:r>
          <w:rPr>
            <w:noProof/>
            <w:webHidden/>
          </w:rPr>
          <w:fldChar w:fldCharType="separate"/>
        </w:r>
        <w:r w:rsidR="00BA08F0">
          <w:rPr>
            <w:noProof/>
            <w:webHidden/>
          </w:rPr>
          <w:t>118</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39" w:history="1">
        <w:r w:rsidR="00423092" w:rsidRPr="0040197A">
          <w:rPr>
            <w:rStyle w:val="Hyperlink"/>
            <w:noProof/>
          </w:rPr>
          <w:t>5.3</w:t>
        </w:r>
        <w:r w:rsidR="00423092">
          <w:rPr>
            <w:rFonts w:eastAsiaTheme="minorEastAsia" w:cstheme="minorBidi"/>
            <w:smallCaps w:val="0"/>
            <w:noProof/>
            <w:sz w:val="22"/>
            <w:szCs w:val="22"/>
            <w:lang w:val="en-US"/>
          </w:rPr>
          <w:tab/>
        </w:r>
        <w:r w:rsidR="00423092" w:rsidRPr="0040197A">
          <w:rPr>
            <w:rStyle w:val="Hyperlink"/>
            <w:noProof/>
          </w:rPr>
          <w:t>DISTRIBUTION LOSSES AND ENERGY BALANCE</w:t>
        </w:r>
        <w:r w:rsidR="00423092">
          <w:rPr>
            <w:noProof/>
            <w:webHidden/>
          </w:rPr>
          <w:tab/>
        </w:r>
        <w:r>
          <w:rPr>
            <w:noProof/>
            <w:webHidden/>
          </w:rPr>
          <w:fldChar w:fldCharType="begin"/>
        </w:r>
        <w:r w:rsidR="00423092">
          <w:rPr>
            <w:noProof/>
            <w:webHidden/>
          </w:rPr>
          <w:instrText xml:space="preserve"> PAGEREF _Toc457603939 \h </w:instrText>
        </w:r>
        <w:r>
          <w:rPr>
            <w:noProof/>
            <w:webHidden/>
          </w:rPr>
        </w:r>
        <w:r>
          <w:rPr>
            <w:noProof/>
            <w:webHidden/>
          </w:rPr>
          <w:fldChar w:fldCharType="separate"/>
        </w:r>
        <w:r w:rsidR="00BA08F0">
          <w:rPr>
            <w:noProof/>
            <w:webHidden/>
          </w:rPr>
          <w:t>136</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40" w:history="1">
        <w:r w:rsidR="00423092" w:rsidRPr="0040197A">
          <w:rPr>
            <w:rStyle w:val="Hyperlink"/>
            <w:noProof/>
          </w:rPr>
          <w:t>5.4</w:t>
        </w:r>
        <w:r w:rsidR="00423092">
          <w:rPr>
            <w:rFonts w:eastAsiaTheme="minorEastAsia" w:cstheme="minorBidi"/>
            <w:smallCaps w:val="0"/>
            <w:noProof/>
            <w:sz w:val="22"/>
            <w:szCs w:val="22"/>
            <w:lang w:val="en-US"/>
          </w:rPr>
          <w:tab/>
        </w:r>
        <w:r w:rsidR="00423092" w:rsidRPr="0040197A">
          <w:rPr>
            <w:rStyle w:val="Hyperlink"/>
            <w:noProof/>
          </w:rPr>
          <w:t>ENERGY AVAILABILITY</w:t>
        </w:r>
        <w:r w:rsidR="00423092">
          <w:rPr>
            <w:noProof/>
            <w:webHidden/>
          </w:rPr>
          <w:tab/>
        </w:r>
        <w:r>
          <w:rPr>
            <w:noProof/>
            <w:webHidden/>
          </w:rPr>
          <w:fldChar w:fldCharType="begin"/>
        </w:r>
        <w:r w:rsidR="00423092">
          <w:rPr>
            <w:noProof/>
            <w:webHidden/>
          </w:rPr>
          <w:instrText xml:space="preserve"> PAGEREF _Toc457603940 \h </w:instrText>
        </w:r>
        <w:r>
          <w:rPr>
            <w:noProof/>
            <w:webHidden/>
          </w:rPr>
        </w:r>
        <w:r>
          <w:rPr>
            <w:noProof/>
            <w:webHidden/>
          </w:rPr>
          <w:fldChar w:fldCharType="separate"/>
        </w:r>
        <w:r w:rsidR="00BA08F0">
          <w:rPr>
            <w:noProof/>
            <w:webHidden/>
          </w:rPr>
          <w:t>145</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41" w:history="1">
        <w:r w:rsidR="00423092" w:rsidRPr="0040197A">
          <w:rPr>
            <w:rStyle w:val="Hyperlink"/>
            <w:noProof/>
          </w:rPr>
          <w:t>5.5</w:t>
        </w:r>
        <w:r w:rsidR="00423092">
          <w:rPr>
            <w:rFonts w:eastAsiaTheme="minorEastAsia" w:cstheme="minorBidi"/>
            <w:smallCaps w:val="0"/>
            <w:noProof/>
            <w:sz w:val="22"/>
            <w:szCs w:val="22"/>
            <w:lang w:val="en-US"/>
          </w:rPr>
          <w:tab/>
        </w:r>
        <w:r w:rsidR="00423092" w:rsidRPr="0040197A">
          <w:rPr>
            <w:rStyle w:val="Hyperlink"/>
            <w:noProof/>
          </w:rPr>
          <w:t>POWER PROCUREMENT FROM STATE GENERATING STATIONS</w:t>
        </w:r>
        <w:r w:rsidR="00423092">
          <w:rPr>
            <w:noProof/>
            <w:webHidden/>
          </w:rPr>
          <w:tab/>
        </w:r>
        <w:r>
          <w:rPr>
            <w:noProof/>
            <w:webHidden/>
          </w:rPr>
          <w:fldChar w:fldCharType="begin"/>
        </w:r>
        <w:r w:rsidR="00423092">
          <w:rPr>
            <w:noProof/>
            <w:webHidden/>
          </w:rPr>
          <w:instrText xml:space="preserve"> PAGEREF _Toc457603941 \h </w:instrText>
        </w:r>
        <w:r>
          <w:rPr>
            <w:noProof/>
            <w:webHidden/>
          </w:rPr>
        </w:r>
        <w:r>
          <w:rPr>
            <w:noProof/>
            <w:webHidden/>
          </w:rPr>
          <w:fldChar w:fldCharType="separate"/>
        </w:r>
        <w:r w:rsidR="00BA08F0">
          <w:rPr>
            <w:noProof/>
            <w:webHidden/>
          </w:rPr>
          <w:t>147</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42" w:history="1">
        <w:r w:rsidR="00423092" w:rsidRPr="0040197A">
          <w:rPr>
            <w:rStyle w:val="Hyperlink"/>
            <w:noProof/>
          </w:rPr>
          <w:t>5.6</w:t>
        </w:r>
        <w:r w:rsidR="00423092">
          <w:rPr>
            <w:rFonts w:eastAsiaTheme="minorEastAsia" w:cstheme="minorBidi"/>
            <w:smallCaps w:val="0"/>
            <w:noProof/>
            <w:sz w:val="22"/>
            <w:szCs w:val="22"/>
            <w:lang w:val="en-US"/>
          </w:rPr>
          <w:tab/>
        </w:r>
        <w:r w:rsidR="00423092" w:rsidRPr="0040197A">
          <w:rPr>
            <w:rStyle w:val="Hyperlink"/>
            <w:noProof/>
          </w:rPr>
          <w:t>POWER PROCUREMENT FROM CENTRAL GENERATING STATIONS</w:t>
        </w:r>
        <w:r w:rsidR="00423092">
          <w:rPr>
            <w:noProof/>
            <w:webHidden/>
          </w:rPr>
          <w:tab/>
        </w:r>
        <w:r>
          <w:rPr>
            <w:noProof/>
            <w:webHidden/>
          </w:rPr>
          <w:fldChar w:fldCharType="begin"/>
        </w:r>
        <w:r w:rsidR="00423092">
          <w:rPr>
            <w:noProof/>
            <w:webHidden/>
          </w:rPr>
          <w:instrText xml:space="preserve"> PAGEREF _Toc457603942 \h </w:instrText>
        </w:r>
        <w:r>
          <w:rPr>
            <w:noProof/>
            <w:webHidden/>
          </w:rPr>
        </w:r>
        <w:r>
          <w:rPr>
            <w:noProof/>
            <w:webHidden/>
          </w:rPr>
          <w:fldChar w:fldCharType="separate"/>
        </w:r>
        <w:r w:rsidR="00BA08F0">
          <w:rPr>
            <w:noProof/>
            <w:webHidden/>
          </w:rPr>
          <w:t>151</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43" w:history="1">
        <w:r w:rsidR="00423092" w:rsidRPr="0040197A">
          <w:rPr>
            <w:rStyle w:val="Hyperlink"/>
            <w:noProof/>
          </w:rPr>
          <w:t>5.7</w:t>
        </w:r>
        <w:r w:rsidR="00423092">
          <w:rPr>
            <w:rFonts w:eastAsiaTheme="minorEastAsia" w:cstheme="minorBidi"/>
            <w:smallCaps w:val="0"/>
            <w:noProof/>
            <w:sz w:val="22"/>
            <w:szCs w:val="22"/>
            <w:lang w:val="en-US"/>
          </w:rPr>
          <w:tab/>
        </w:r>
        <w:r w:rsidR="00423092" w:rsidRPr="0040197A">
          <w:rPr>
            <w:rStyle w:val="Hyperlink"/>
            <w:noProof/>
          </w:rPr>
          <w:t>POWER PROCUREMENT FROM IPPS / JVs</w:t>
        </w:r>
        <w:r w:rsidR="00423092">
          <w:rPr>
            <w:noProof/>
            <w:webHidden/>
          </w:rPr>
          <w:tab/>
        </w:r>
        <w:r>
          <w:rPr>
            <w:noProof/>
            <w:webHidden/>
          </w:rPr>
          <w:fldChar w:fldCharType="begin"/>
        </w:r>
        <w:r w:rsidR="00423092">
          <w:rPr>
            <w:noProof/>
            <w:webHidden/>
          </w:rPr>
          <w:instrText xml:space="preserve"> PAGEREF _Toc457603943 \h </w:instrText>
        </w:r>
        <w:r>
          <w:rPr>
            <w:noProof/>
            <w:webHidden/>
          </w:rPr>
        </w:r>
        <w:r>
          <w:rPr>
            <w:noProof/>
            <w:webHidden/>
          </w:rPr>
          <w:fldChar w:fldCharType="separate"/>
        </w:r>
        <w:r w:rsidR="00BA08F0">
          <w:rPr>
            <w:noProof/>
            <w:webHidden/>
          </w:rPr>
          <w:t>158</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44" w:history="1">
        <w:r w:rsidR="00423092" w:rsidRPr="0040197A">
          <w:rPr>
            <w:rStyle w:val="Hyperlink"/>
            <w:noProof/>
          </w:rPr>
          <w:t>5.8</w:t>
        </w:r>
        <w:r w:rsidR="00423092">
          <w:rPr>
            <w:rFonts w:eastAsiaTheme="minorEastAsia" w:cstheme="minorBidi"/>
            <w:smallCaps w:val="0"/>
            <w:noProof/>
            <w:sz w:val="22"/>
            <w:szCs w:val="22"/>
            <w:lang w:val="en-US"/>
          </w:rPr>
          <w:tab/>
        </w:r>
        <w:r w:rsidR="00423092" w:rsidRPr="0040197A">
          <w:rPr>
            <w:rStyle w:val="Hyperlink"/>
            <w:noProof/>
          </w:rPr>
          <w:t>POWER PROCUREMENT FROM OTHER SOURCES</w:t>
        </w:r>
        <w:r w:rsidR="00423092">
          <w:rPr>
            <w:noProof/>
            <w:webHidden/>
          </w:rPr>
          <w:tab/>
        </w:r>
        <w:r>
          <w:rPr>
            <w:noProof/>
            <w:webHidden/>
          </w:rPr>
          <w:fldChar w:fldCharType="begin"/>
        </w:r>
        <w:r w:rsidR="00423092">
          <w:rPr>
            <w:noProof/>
            <w:webHidden/>
          </w:rPr>
          <w:instrText xml:space="preserve"> PAGEREF _Toc457603944 \h </w:instrText>
        </w:r>
        <w:r>
          <w:rPr>
            <w:noProof/>
            <w:webHidden/>
          </w:rPr>
        </w:r>
        <w:r>
          <w:rPr>
            <w:noProof/>
            <w:webHidden/>
          </w:rPr>
          <w:fldChar w:fldCharType="separate"/>
        </w:r>
        <w:r w:rsidR="00BA08F0">
          <w:rPr>
            <w:noProof/>
            <w:webHidden/>
          </w:rPr>
          <w:t>161</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45" w:history="1">
        <w:r w:rsidR="00423092" w:rsidRPr="0040197A">
          <w:rPr>
            <w:rStyle w:val="Hyperlink"/>
            <w:noProof/>
          </w:rPr>
          <w:t>5.9</w:t>
        </w:r>
        <w:r w:rsidR="00423092">
          <w:rPr>
            <w:rFonts w:eastAsiaTheme="minorEastAsia" w:cstheme="minorBidi"/>
            <w:smallCaps w:val="0"/>
            <w:noProof/>
            <w:sz w:val="22"/>
            <w:szCs w:val="22"/>
            <w:lang w:val="en-US"/>
          </w:rPr>
          <w:tab/>
        </w:r>
        <w:r w:rsidR="00423092" w:rsidRPr="0040197A">
          <w:rPr>
            <w:rStyle w:val="Hyperlink"/>
            <w:noProof/>
          </w:rPr>
          <w:t>POWER PROCUREMENT FROM BILATERAL SOURCES</w:t>
        </w:r>
        <w:r w:rsidR="00423092">
          <w:rPr>
            <w:noProof/>
            <w:webHidden/>
          </w:rPr>
          <w:tab/>
        </w:r>
        <w:r>
          <w:rPr>
            <w:noProof/>
            <w:webHidden/>
          </w:rPr>
          <w:fldChar w:fldCharType="begin"/>
        </w:r>
        <w:r w:rsidR="00423092">
          <w:rPr>
            <w:noProof/>
            <w:webHidden/>
          </w:rPr>
          <w:instrText xml:space="preserve"> PAGEREF _Toc457603945 \h </w:instrText>
        </w:r>
        <w:r>
          <w:rPr>
            <w:noProof/>
            <w:webHidden/>
          </w:rPr>
        </w:r>
        <w:r>
          <w:rPr>
            <w:noProof/>
            <w:webHidden/>
          </w:rPr>
          <w:fldChar w:fldCharType="separate"/>
        </w:r>
        <w:r w:rsidR="00BA08F0">
          <w:rPr>
            <w:noProof/>
            <w:webHidden/>
          </w:rPr>
          <w:t>163</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46" w:history="1">
        <w:r w:rsidR="00423092" w:rsidRPr="0040197A">
          <w:rPr>
            <w:rStyle w:val="Hyperlink"/>
            <w:noProof/>
          </w:rPr>
          <w:t>5.10</w:t>
        </w:r>
        <w:r w:rsidR="00423092">
          <w:rPr>
            <w:rFonts w:eastAsiaTheme="minorEastAsia" w:cstheme="minorBidi"/>
            <w:smallCaps w:val="0"/>
            <w:noProof/>
            <w:sz w:val="22"/>
            <w:szCs w:val="22"/>
            <w:lang w:val="en-US"/>
          </w:rPr>
          <w:tab/>
        </w:r>
        <w:r w:rsidR="00423092" w:rsidRPr="0040197A">
          <w:rPr>
            <w:rStyle w:val="Hyperlink"/>
            <w:noProof/>
          </w:rPr>
          <w:t>FUEL &amp; POWER PURCHASE COST ADJUSTMENT SURCHARGE (FPPCA)</w:t>
        </w:r>
        <w:r w:rsidR="00423092">
          <w:rPr>
            <w:noProof/>
            <w:webHidden/>
          </w:rPr>
          <w:tab/>
        </w:r>
        <w:r>
          <w:rPr>
            <w:noProof/>
            <w:webHidden/>
          </w:rPr>
          <w:fldChar w:fldCharType="begin"/>
        </w:r>
        <w:r w:rsidR="00423092">
          <w:rPr>
            <w:noProof/>
            <w:webHidden/>
          </w:rPr>
          <w:instrText xml:space="preserve"> PAGEREF _Toc457603946 \h </w:instrText>
        </w:r>
        <w:r>
          <w:rPr>
            <w:noProof/>
            <w:webHidden/>
          </w:rPr>
        </w:r>
        <w:r>
          <w:rPr>
            <w:noProof/>
            <w:webHidden/>
          </w:rPr>
          <w:fldChar w:fldCharType="separate"/>
        </w:r>
        <w:r w:rsidR="00BA08F0">
          <w:rPr>
            <w:noProof/>
            <w:webHidden/>
          </w:rPr>
          <w:t>166</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47" w:history="1">
        <w:r w:rsidR="00423092" w:rsidRPr="0040197A">
          <w:rPr>
            <w:rStyle w:val="Hyperlink"/>
            <w:noProof/>
          </w:rPr>
          <w:t>5.11</w:t>
        </w:r>
        <w:r w:rsidR="00423092">
          <w:rPr>
            <w:rFonts w:eastAsiaTheme="minorEastAsia" w:cstheme="minorBidi"/>
            <w:smallCaps w:val="0"/>
            <w:noProof/>
            <w:sz w:val="22"/>
            <w:szCs w:val="22"/>
            <w:lang w:val="en-US"/>
          </w:rPr>
          <w:tab/>
        </w:r>
        <w:r w:rsidR="00423092" w:rsidRPr="0040197A">
          <w:rPr>
            <w:rStyle w:val="Hyperlink"/>
            <w:noProof/>
          </w:rPr>
          <w:t>SUMMARY OF POWER PURCHASE</w:t>
        </w:r>
        <w:r w:rsidR="00423092">
          <w:rPr>
            <w:noProof/>
            <w:webHidden/>
          </w:rPr>
          <w:tab/>
        </w:r>
        <w:r>
          <w:rPr>
            <w:noProof/>
            <w:webHidden/>
          </w:rPr>
          <w:fldChar w:fldCharType="begin"/>
        </w:r>
        <w:r w:rsidR="00423092">
          <w:rPr>
            <w:noProof/>
            <w:webHidden/>
          </w:rPr>
          <w:instrText xml:space="preserve"> PAGEREF _Toc457603947 \h </w:instrText>
        </w:r>
        <w:r>
          <w:rPr>
            <w:noProof/>
            <w:webHidden/>
          </w:rPr>
        </w:r>
        <w:r>
          <w:rPr>
            <w:noProof/>
            <w:webHidden/>
          </w:rPr>
          <w:fldChar w:fldCharType="separate"/>
        </w:r>
        <w:r w:rsidR="00BA08F0">
          <w:rPr>
            <w:noProof/>
            <w:webHidden/>
          </w:rPr>
          <w:t>175</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48" w:history="1">
        <w:r w:rsidR="00423092" w:rsidRPr="0040197A">
          <w:rPr>
            <w:rStyle w:val="Hyperlink"/>
            <w:noProof/>
          </w:rPr>
          <w:t>5.12</w:t>
        </w:r>
        <w:r w:rsidR="00423092">
          <w:rPr>
            <w:rFonts w:eastAsiaTheme="minorEastAsia" w:cstheme="minorBidi"/>
            <w:smallCaps w:val="0"/>
            <w:noProof/>
            <w:sz w:val="22"/>
            <w:szCs w:val="22"/>
            <w:lang w:val="en-US"/>
          </w:rPr>
          <w:tab/>
        </w:r>
        <w:r w:rsidR="00423092" w:rsidRPr="0040197A">
          <w:rPr>
            <w:rStyle w:val="Hyperlink"/>
            <w:noProof/>
          </w:rPr>
          <w:t>APPROVED MERIT ORDER DISPATCH</w:t>
        </w:r>
        <w:r w:rsidR="00423092">
          <w:rPr>
            <w:noProof/>
            <w:webHidden/>
          </w:rPr>
          <w:tab/>
        </w:r>
        <w:r>
          <w:rPr>
            <w:noProof/>
            <w:webHidden/>
          </w:rPr>
          <w:fldChar w:fldCharType="begin"/>
        </w:r>
        <w:r w:rsidR="00423092">
          <w:rPr>
            <w:noProof/>
            <w:webHidden/>
          </w:rPr>
          <w:instrText xml:space="preserve"> PAGEREF _Toc457603948 \h </w:instrText>
        </w:r>
        <w:r>
          <w:rPr>
            <w:noProof/>
            <w:webHidden/>
          </w:rPr>
        </w:r>
        <w:r>
          <w:rPr>
            <w:noProof/>
            <w:webHidden/>
          </w:rPr>
          <w:fldChar w:fldCharType="separate"/>
        </w:r>
        <w:r w:rsidR="00BA08F0">
          <w:rPr>
            <w:noProof/>
            <w:webHidden/>
          </w:rPr>
          <w:t>181</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49" w:history="1">
        <w:r w:rsidR="00423092" w:rsidRPr="0040197A">
          <w:rPr>
            <w:rStyle w:val="Hyperlink"/>
            <w:noProof/>
          </w:rPr>
          <w:t>5.13</w:t>
        </w:r>
        <w:r w:rsidR="00423092">
          <w:rPr>
            <w:rFonts w:eastAsiaTheme="minorEastAsia" w:cstheme="minorBidi"/>
            <w:smallCaps w:val="0"/>
            <w:noProof/>
            <w:sz w:val="22"/>
            <w:szCs w:val="22"/>
            <w:lang w:val="en-US"/>
          </w:rPr>
          <w:tab/>
        </w:r>
        <w:r w:rsidR="00423092" w:rsidRPr="0040197A">
          <w:rPr>
            <w:rStyle w:val="Hyperlink"/>
            <w:noProof/>
          </w:rPr>
          <w:t>ANNUAL REVENUE REQUIREMENT OF DVVNL FOR FY 2016-17</w:t>
        </w:r>
        <w:r w:rsidR="00423092">
          <w:rPr>
            <w:noProof/>
            <w:webHidden/>
          </w:rPr>
          <w:tab/>
        </w:r>
        <w:r>
          <w:rPr>
            <w:noProof/>
            <w:webHidden/>
          </w:rPr>
          <w:fldChar w:fldCharType="begin"/>
        </w:r>
        <w:r w:rsidR="00423092">
          <w:rPr>
            <w:noProof/>
            <w:webHidden/>
          </w:rPr>
          <w:instrText xml:space="preserve"> PAGEREF _Toc457603949 \h </w:instrText>
        </w:r>
        <w:r>
          <w:rPr>
            <w:noProof/>
            <w:webHidden/>
          </w:rPr>
        </w:r>
        <w:r>
          <w:rPr>
            <w:noProof/>
            <w:webHidden/>
          </w:rPr>
          <w:fldChar w:fldCharType="separate"/>
        </w:r>
        <w:r w:rsidR="00BA08F0">
          <w:rPr>
            <w:noProof/>
            <w:webHidden/>
          </w:rPr>
          <w:t>184</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50" w:history="1">
        <w:r w:rsidR="00423092" w:rsidRPr="0040197A">
          <w:rPr>
            <w:rStyle w:val="Hyperlink"/>
            <w:noProof/>
          </w:rPr>
          <w:t>5.14</w:t>
        </w:r>
        <w:r w:rsidR="00423092">
          <w:rPr>
            <w:rFonts w:eastAsiaTheme="minorEastAsia" w:cstheme="minorBidi"/>
            <w:smallCaps w:val="0"/>
            <w:noProof/>
            <w:sz w:val="22"/>
            <w:szCs w:val="22"/>
            <w:lang w:val="en-US"/>
          </w:rPr>
          <w:tab/>
        </w:r>
        <w:r w:rsidR="00423092" w:rsidRPr="0040197A">
          <w:rPr>
            <w:rStyle w:val="Hyperlink"/>
            <w:noProof/>
          </w:rPr>
          <w:t>POWER PROCUREMENT COST</w:t>
        </w:r>
        <w:r w:rsidR="00423092">
          <w:rPr>
            <w:noProof/>
            <w:webHidden/>
          </w:rPr>
          <w:tab/>
        </w:r>
        <w:r>
          <w:rPr>
            <w:noProof/>
            <w:webHidden/>
          </w:rPr>
          <w:fldChar w:fldCharType="begin"/>
        </w:r>
        <w:r w:rsidR="00423092">
          <w:rPr>
            <w:noProof/>
            <w:webHidden/>
          </w:rPr>
          <w:instrText xml:space="preserve"> PAGEREF _Toc457603950 \h </w:instrText>
        </w:r>
        <w:r>
          <w:rPr>
            <w:noProof/>
            <w:webHidden/>
          </w:rPr>
        </w:r>
        <w:r>
          <w:rPr>
            <w:noProof/>
            <w:webHidden/>
          </w:rPr>
          <w:fldChar w:fldCharType="separate"/>
        </w:r>
        <w:r w:rsidR="00BA08F0">
          <w:rPr>
            <w:noProof/>
            <w:webHidden/>
          </w:rPr>
          <w:t>185</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51" w:history="1">
        <w:r w:rsidR="00423092" w:rsidRPr="0040197A">
          <w:rPr>
            <w:rStyle w:val="Hyperlink"/>
            <w:noProof/>
          </w:rPr>
          <w:t>5.15</w:t>
        </w:r>
        <w:r w:rsidR="00423092">
          <w:rPr>
            <w:rFonts w:eastAsiaTheme="minorEastAsia" w:cstheme="minorBidi"/>
            <w:smallCaps w:val="0"/>
            <w:noProof/>
            <w:sz w:val="22"/>
            <w:szCs w:val="22"/>
            <w:lang w:val="en-US"/>
          </w:rPr>
          <w:tab/>
        </w:r>
        <w:r w:rsidR="00423092" w:rsidRPr="0040197A">
          <w:rPr>
            <w:rStyle w:val="Hyperlink"/>
            <w:noProof/>
          </w:rPr>
          <w:t>TRANSMISSION AND SLDC CHARGES</w:t>
        </w:r>
        <w:r w:rsidR="00423092">
          <w:rPr>
            <w:noProof/>
            <w:webHidden/>
          </w:rPr>
          <w:tab/>
        </w:r>
        <w:r>
          <w:rPr>
            <w:noProof/>
            <w:webHidden/>
          </w:rPr>
          <w:fldChar w:fldCharType="begin"/>
        </w:r>
        <w:r w:rsidR="00423092">
          <w:rPr>
            <w:noProof/>
            <w:webHidden/>
          </w:rPr>
          <w:instrText xml:space="preserve"> PAGEREF _Toc457603951 \h </w:instrText>
        </w:r>
        <w:r>
          <w:rPr>
            <w:noProof/>
            <w:webHidden/>
          </w:rPr>
        </w:r>
        <w:r>
          <w:rPr>
            <w:noProof/>
            <w:webHidden/>
          </w:rPr>
          <w:fldChar w:fldCharType="separate"/>
        </w:r>
        <w:r w:rsidR="00BA08F0">
          <w:rPr>
            <w:noProof/>
            <w:webHidden/>
          </w:rPr>
          <w:t>187</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52" w:history="1">
        <w:r w:rsidR="00423092" w:rsidRPr="0040197A">
          <w:rPr>
            <w:rStyle w:val="Hyperlink"/>
            <w:noProof/>
          </w:rPr>
          <w:t>5.16</w:t>
        </w:r>
        <w:r w:rsidR="00423092">
          <w:rPr>
            <w:rFonts w:eastAsiaTheme="minorEastAsia" w:cstheme="minorBidi"/>
            <w:smallCaps w:val="0"/>
            <w:noProof/>
            <w:sz w:val="22"/>
            <w:szCs w:val="22"/>
            <w:lang w:val="en-US"/>
          </w:rPr>
          <w:tab/>
        </w:r>
        <w:r w:rsidR="00423092" w:rsidRPr="0040197A">
          <w:rPr>
            <w:rStyle w:val="Hyperlink"/>
            <w:noProof/>
          </w:rPr>
          <w:t>ESCALATION INDEX</w:t>
        </w:r>
        <w:r w:rsidR="00423092">
          <w:rPr>
            <w:noProof/>
            <w:webHidden/>
          </w:rPr>
          <w:tab/>
        </w:r>
        <w:r>
          <w:rPr>
            <w:noProof/>
            <w:webHidden/>
          </w:rPr>
          <w:fldChar w:fldCharType="begin"/>
        </w:r>
        <w:r w:rsidR="00423092">
          <w:rPr>
            <w:noProof/>
            <w:webHidden/>
          </w:rPr>
          <w:instrText xml:space="preserve"> PAGEREF _Toc457603952 \h </w:instrText>
        </w:r>
        <w:r>
          <w:rPr>
            <w:noProof/>
            <w:webHidden/>
          </w:rPr>
        </w:r>
        <w:r>
          <w:rPr>
            <w:noProof/>
            <w:webHidden/>
          </w:rPr>
          <w:fldChar w:fldCharType="separate"/>
        </w:r>
        <w:r w:rsidR="00BA08F0">
          <w:rPr>
            <w:noProof/>
            <w:webHidden/>
          </w:rPr>
          <w:t>188</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53" w:history="1">
        <w:r w:rsidR="00423092" w:rsidRPr="0040197A">
          <w:rPr>
            <w:rStyle w:val="Hyperlink"/>
            <w:noProof/>
          </w:rPr>
          <w:t>5.17</w:t>
        </w:r>
        <w:r w:rsidR="00423092">
          <w:rPr>
            <w:rFonts w:eastAsiaTheme="minorEastAsia" w:cstheme="minorBidi"/>
            <w:smallCaps w:val="0"/>
            <w:noProof/>
            <w:sz w:val="22"/>
            <w:szCs w:val="22"/>
            <w:lang w:val="en-US"/>
          </w:rPr>
          <w:tab/>
        </w:r>
        <w:r w:rsidR="00423092" w:rsidRPr="0040197A">
          <w:rPr>
            <w:rStyle w:val="Hyperlink"/>
            <w:noProof/>
          </w:rPr>
          <w:t>O&amp;M EXPENSES</w:t>
        </w:r>
        <w:r w:rsidR="00423092">
          <w:rPr>
            <w:noProof/>
            <w:webHidden/>
          </w:rPr>
          <w:tab/>
        </w:r>
        <w:r>
          <w:rPr>
            <w:noProof/>
            <w:webHidden/>
          </w:rPr>
          <w:fldChar w:fldCharType="begin"/>
        </w:r>
        <w:r w:rsidR="00423092">
          <w:rPr>
            <w:noProof/>
            <w:webHidden/>
          </w:rPr>
          <w:instrText xml:space="preserve"> PAGEREF _Toc457603953 \h </w:instrText>
        </w:r>
        <w:r>
          <w:rPr>
            <w:noProof/>
            <w:webHidden/>
          </w:rPr>
        </w:r>
        <w:r>
          <w:rPr>
            <w:noProof/>
            <w:webHidden/>
          </w:rPr>
          <w:fldChar w:fldCharType="separate"/>
        </w:r>
        <w:r w:rsidR="00BA08F0">
          <w:rPr>
            <w:noProof/>
            <w:webHidden/>
          </w:rPr>
          <w:t>189</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54" w:history="1">
        <w:r w:rsidR="00423092" w:rsidRPr="0040197A">
          <w:rPr>
            <w:rStyle w:val="Hyperlink"/>
            <w:noProof/>
          </w:rPr>
          <w:t>5.18</w:t>
        </w:r>
        <w:r w:rsidR="00423092">
          <w:rPr>
            <w:rFonts w:eastAsiaTheme="minorEastAsia" w:cstheme="minorBidi"/>
            <w:smallCaps w:val="0"/>
            <w:noProof/>
            <w:sz w:val="22"/>
            <w:szCs w:val="22"/>
            <w:lang w:val="en-US"/>
          </w:rPr>
          <w:tab/>
        </w:r>
        <w:r w:rsidR="00423092" w:rsidRPr="0040197A">
          <w:rPr>
            <w:rStyle w:val="Hyperlink"/>
            <w:noProof/>
          </w:rPr>
          <w:t>GFA BALANCES AND CAPITAL FORMATION ASSUMPTIONS</w:t>
        </w:r>
        <w:r w:rsidR="00423092">
          <w:rPr>
            <w:noProof/>
            <w:webHidden/>
          </w:rPr>
          <w:tab/>
        </w:r>
        <w:r>
          <w:rPr>
            <w:noProof/>
            <w:webHidden/>
          </w:rPr>
          <w:fldChar w:fldCharType="begin"/>
        </w:r>
        <w:r w:rsidR="00423092">
          <w:rPr>
            <w:noProof/>
            <w:webHidden/>
          </w:rPr>
          <w:instrText xml:space="preserve"> PAGEREF _Toc457603954 \h </w:instrText>
        </w:r>
        <w:r>
          <w:rPr>
            <w:noProof/>
            <w:webHidden/>
          </w:rPr>
        </w:r>
        <w:r>
          <w:rPr>
            <w:noProof/>
            <w:webHidden/>
          </w:rPr>
          <w:fldChar w:fldCharType="separate"/>
        </w:r>
        <w:r w:rsidR="00BA08F0">
          <w:rPr>
            <w:noProof/>
            <w:webHidden/>
          </w:rPr>
          <w:t>191</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55" w:history="1">
        <w:r w:rsidR="00423092" w:rsidRPr="0040197A">
          <w:rPr>
            <w:rStyle w:val="Hyperlink"/>
            <w:noProof/>
          </w:rPr>
          <w:t>5.19</w:t>
        </w:r>
        <w:r w:rsidR="00423092">
          <w:rPr>
            <w:rFonts w:eastAsiaTheme="minorEastAsia" w:cstheme="minorBidi"/>
            <w:smallCaps w:val="0"/>
            <w:noProof/>
            <w:sz w:val="22"/>
            <w:szCs w:val="22"/>
            <w:lang w:val="en-US"/>
          </w:rPr>
          <w:tab/>
        </w:r>
        <w:r w:rsidR="00423092" w:rsidRPr="0040197A">
          <w:rPr>
            <w:rStyle w:val="Hyperlink"/>
            <w:noProof/>
          </w:rPr>
          <w:t>FINANCING OF THE CAPITAL INVESTMENT</w:t>
        </w:r>
        <w:r w:rsidR="00423092">
          <w:rPr>
            <w:noProof/>
            <w:webHidden/>
          </w:rPr>
          <w:tab/>
        </w:r>
        <w:r>
          <w:rPr>
            <w:noProof/>
            <w:webHidden/>
          </w:rPr>
          <w:fldChar w:fldCharType="begin"/>
        </w:r>
        <w:r w:rsidR="00423092">
          <w:rPr>
            <w:noProof/>
            <w:webHidden/>
          </w:rPr>
          <w:instrText xml:space="preserve"> PAGEREF _Toc457603955 \h </w:instrText>
        </w:r>
        <w:r>
          <w:rPr>
            <w:noProof/>
            <w:webHidden/>
          </w:rPr>
        </w:r>
        <w:r>
          <w:rPr>
            <w:noProof/>
            <w:webHidden/>
          </w:rPr>
          <w:fldChar w:fldCharType="separate"/>
        </w:r>
        <w:r w:rsidR="00BA08F0">
          <w:rPr>
            <w:noProof/>
            <w:webHidden/>
          </w:rPr>
          <w:t>197</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56" w:history="1">
        <w:r w:rsidR="00423092" w:rsidRPr="0040197A">
          <w:rPr>
            <w:rStyle w:val="Hyperlink"/>
            <w:noProof/>
          </w:rPr>
          <w:t>5.20</w:t>
        </w:r>
        <w:r w:rsidR="00423092">
          <w:rPr>
            <w:rFonts w:eastAsiaTheme="minorEastAsia" w:cstheme="minorBidi"/>
            <w:smallCaps w:val="0"/>
            <w:noProof/>
            <w:sz w:val="22"/>
            <w:szCs w:val="22"/>
            <w:lang w:val="en-US"/>
          </w:rPr>
          <w:tab/>
        </w:r>
        <w:r w:rsidR="00423092" w:rsidRPr="0040197A">
          <w:rPr>
            <w:rStyle w:val="Hyperlink"/>
            <w:noProof/>
          </w:rPr>
          <w:t>DEPRECIATION EXPENSE</w:t>
        </w:r>
        <w:r w:rsidR="00423092">
          <w:rPr>
            <w:noProof/>
            <w:webHidden/>
          </w:rPr>
          <w:tab/>
        </w:r>
        <w:r>
          <w:rPr>
            <w:noProof/>
            <w:webHidden/>
          </w:rPr>
          <w:fldChar w:fldCharType="begin"/>
        </w:r>
        <w:r w:rsidR="00423092">
          <w:rPr>
            <w:noProof/>
            <w:webHidden/>
          </w:rPr>
          <w:instrText xml:space="preserve"> PAGEREF _Toc457603956 \h </w:instrText>
        </w:r>
        <w:r>
          <w:rPr>
            <w:noProof/>
            <w:webHidden/>
          </w:rPr>
        </w:r>
        <w:r>
          <w:rPr>
            <w:noProof/>
            <w:webHidden/>
          </w:rPr>
          <w:fldChar w:fldCharType="separate"/>
        </w:r>
        <w:r w:rsidR="00BA08F0">
          <w:rPr>
            <w:noProof/>
            <w:webHidden/>
          </w:rPr>
          <w:t>198</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57" w:history="1">
        <w:r w:rsidR="00423092" w:rsidRPr="0040197A">
          <w:rPr>
            <w:rStyle w:val="Hyperlink"/>
            <w:noProof/>
          </w:rPr>
          <w:t>5.21</w:t>
        </w:r>
        <w:r w:rsidR="00423092">
          <w:rPr>
            <w:rFonts w:eastAsiaTheme="minorEastAsia" w:cstheme="minorBidi"/>
            <w:smallCaps w:val="0"/>
            <w:noProof/>
            <w:sz w:val="22"/>
            <w:szCs w:val="22"/>
            <w:lang w:val="en-US"/>
          </w:rPr>
          <w:tab/>
        </w:r>
        <w:r w:rsidR="00423092" w:rsidRPr="0040197A">
          <w:rPr>
            <w:rStyle w:val="Hyperlink"/>
            <w:noProof/>
          </w:rPr>
          <w:t>INTEREST AND FINANCING COST</w:t>
        </w:r>
        <w:r w:rsidR="00423092">
          <w:rPr>
            <w:noProof/>
            <w:webHidden/>
          </w:rPr>
          <w:tab/>
        </w:r>
        <w:r>
          <w:rPr>
            <w:noProof/>
            <w:webHidden/>
          </w:rPr>
          <w:fldChar w:fldCharType="begin"/>
        </w:r>
        <w:r w:rsidR="00423092">
          <w:rPr>
            <w:noProof/>
            <w:webHidden/>
          </w:rPr>
          <w:instrText xml:space="preserve"> PAGEREF _Toc457603957 \h </w:instrText>
        </w:r>
        <w:r>
          <w:rPr>
            <w:noProof/>
            <w:webHidden/>
          </w:rPr>
        </w:r>
        <w:r>
          <w:rPr>
            <w:noProof/>
            <w:webHidden/>
          </w:rPr>
          <w:fldChar w:fldCharType="separate"/>
        </w:r>
        <w:r w:rsidR="00BA08F0">
          <w:rPr>
            <w:noProof/>
            <w:webHidden/>
          </w:rPr>
          <w:t>203</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58" w:history="1">
        <w:r w:rsidR="00423092" w:rsidRPr="0040197A">
          <w:rPr>
            <w:rStyle w:val="Hyperlink"/>
            <w:noProof/>
          </w:rPr>
          <w:t>5.22</w:t>
        </w:r>
        <w:r w:rsidR="00423092">
          <w:rPr>
            <w:rFonts w:eastAsiaTheme="minorEastAsia" w:cstheme="minorBidi"/>
            <w:smallCaps w:val="0"/>
            <w:noProof/>
            <w:sz w:val="22"/>
            <w:szCs w:val="22"/>
            <w:lang w:val="en-US"/>
          </w:rPr>
          <w:tab/>
        </w:r>
        <w:r w:rsidR="00423092" w:rsidRPr="0040197A">
          <w:rPr>
            <w:rStyle w:val="Hyperlink"/>
            <w:noProof/>
          </w:rPr>
          <w:t>PROVISION FOR BAD AND DOUBTFUL DEBTS</w:t>
        </w:r>
        <w:r w:rsidR="00423092">
          <w:rPr>
            <w:noProof/>
            <w:webHidden/>
          </w:rPr>
          <w:tab/>
        </w:r>
        <w:r>
          <w:rPr>
            <w:noProof/>
            <w:webHidden/>
          </w:rPr>
          <w:fldChar w:fldCharType="begin"/>
        </w:r>
        <w:r w:rsidR="00423092">
          <w:rPr>
            <w:noProof/>
            <w:webHidden/>
          </w:rPr>
          <w:instrText xml:space="preserve"> PAGEREF _Toc457603958 \h </w:instrText>
        </w:r>
        <w:r>
          <w:rPr>
            <w:noProof/>
            <w:webHidden/>
          </w:rPr>
        </w:r>
        <w:r>
          <w:rPr>
            <w:noProof/>
            <w:webHidden/>
          </w:rPr>
          <w:fldChar w:fldCharType="separate"/>
        </w:r>
        <w:r w:rsidR="00BA08F0">
          <w:rPr>
            <w:noProof/>
            <w:webHidden/>
          </w:rPr>
          <w:t>208</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59" w:history="1">
        <w:r w:rsidR="00423092" w:rsidRPr="0040197A">
          <w:rPr>
            <w:rStyle w:val="Hyperlink"/>
            <w:noProof/>
          </w:rPr>
          <w:t>5.23</w:t>
        </w:r>
        <w:r w:rsidR="00423092">
          <w:rPr>
            <w:rFonts w:eastAsiaTheme="minorEastAsia" w:cstheme="minorBidi"/>
            <w:smallCaps w:val="0"/>
            <w:noProof/>
            <w:sz w:val="22"/>
            <w:szCs w:val="22"/>
            <w:lang w:val="en-US"/>
          </w:rPr>
          <w:tab/>
        </w:r>
        <w:r w:rsidR="00423092" w:rsidRPr="0040197A">
          <w:rPr>
            <w:rStyle w:val="Hyperlink"/>
            <w:noProof/>
          </w:rPr>
          <w:t>OTHER INCOME</w:t>
        </w:r>
        <w:r w:rsidR="00423092">
          <w:rPr>
            <w:noProof/>
            <w:webHidden/>
          </w:rPr>
          <w:tab/>
        </w:r>
        <w:r>
          <w:rPr>
            <w:noProof/>
            <w:webHidden/>
          </w:rPr>
          <w:fldChar w:fldCharType="begin"/>
        </w:r>
        <w:r w:rsidR="00423092">
          <w:rPr>
            <w:noProof/>
            <w:webHidden/>
          </w:rPr>
          <w:instrText xml:space="preserve"> PAGEREF _Toc457603959 \h </w:instrText>
        </w:r>
        <w:r>
          <w:rPr>
            <w:noProof/>
            <w:webHidden/>
          </w:rPr>
        </w:r>
        <w:r>
          <w:rPr>
            <w:noProof/>
            <w:webHidden/>
          </w:rPr>
          <w:fldChar w:fldCharType="separate"/>
        </w:r>
        <w:r w:rsidR="00BA08F0">
          <w:rPr>
            <w:noProof/>
            <w:webHidden/>
          </w:rPr>
          <w:t>210</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60" w:history="1">
        <w:r w:rsidR="00423092" w:rsidRPr="0040197A">
          <w:rPr>
            <w:rStyle w:val="Hyperlink"/>
            <w:noProof/>
          </w:rPr>
          <w:t>5.24</w:t>
        </w:r>
        <w:r w:rsidR="00423092">
          <w:rPr>
            <w:rFonts w:eastAsiaTheme="minorEastAsia" w:cstheme="minorBidi"/>
            <w:smallCaps w:val="0"/>
            <w:noProof/>
            <w:sz w:val="22"/>
            <w:szCs w:val="22"/>
            <w:lang w:val="en-US"/>
          </w:rPr>
          <w:tab/>
        </w:r>
        <w:r w:rsidR="00423092" w:rsidRPr="0040197A">
          <w:rPr>
            <w:rStyle w:val="Hyperlink"/>
            <w:noProof/>
          </w:rPr>
          <w:t>RETURN ON EQUITY</w:t>
        </w:r>
        <w:r w:rsidR="00423092">
          <w:rPr>
            <w:noProof/>
            <w:webHidden/>
          </w:rPr>
          <w:tab/>
        </w:r>
        <w:r>
          <w:rPr>
            <w:noProof/>
            <w:webHidden/>
          </w:rPr>
          <w:fldChar w:fldCharType="begin"/>
        </w:r>
        <w:r w:rsidR="00423092">
          <w:rPr>
            <w:noProof/>
            <w:webHidden/>
          </w:rPr>
          <w:instrText xml:space="preserve"> PAGEREF _Toc457603960 \h </w:instrText>
        </w:r>
        <w:r>
          <w:rPr>
            <w:noProof/>
            <w:webHidden/>
          </w:rPr>
        </w:r>
        <w:r>
          <w:rPr>
            <w:noProof/>
            <w:webHidden/>
          </w:rPr>
          <w:fldChar w:fldCharType="separate"/>
        </w:r>
        <w:r w:rsidR="00BA08F0">
          <w:rPr>
            <w:noProof/>
            <w:webHidden/>
          </w:rPr>
          <w:t>211</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61" w:history="1">
        <w:r w:rsidR="00423092" w:rsidRPr="0040197A">
          <w:rPr>
            <w:rStyle w:val="Hyperlink"/>
            <w:noProof/>
          </w:rPr>
          <w:t>5.25</w:t>
        </w:r>
        <w:r w:rsidR="00423092">
          <w:rPr>
            <w:rFonts w:eastAsiaTheme="minorEastAsia" w:cstheme="minorBidi"/>
            <w:smallCaps w:val="0"/>
            <w:noProof/>
            <w:sz w:val="22"/>
            <w:szCs w:val="22"/>
            <w:lang w:val="en-US"/>
          </w:rPr>
          <w:tab/>
        </w:r>
        <w:r w:rsidR="00423092" w:rsidRPr="0040197A">
          <w:rPr>
            <w:rStyle w:val="Hyperlink"/>
            <w:noProof/>
          </w:rPr>
          <w:t>CONTRIBUTION TO CONTINGENCY RESERVE</w:t>
        </w:r>
        <w:r w:rsidR="00423092">
          <w:rPr>
            <w:noProof/>
            <w:webHidden/>
          </w:rPr>
          <w:tab/>
        </w:r>
        <w:r>
          <w:rPr>
            <w:noProof/>
            <w:webHidden/>
          </w:rPr>
          <w:fldChar w:fldCharType="begin"/>
        </w:r>
        <w:r w:rsidR="00423092">
          <w:rPr>
            <w:noProof/>
            <w:webHidden/>
          </w:rPr>
          <w:instrText xml:space="preserve"> PAGEREF _Toc457603961 \h </w:instrText>
        </w:r>
        <w:r>
          <w:rPr>
            <w:noProof/>
            <w:webHidden/>
          </w:rPr>
        </w:r>
        <w:r>
          <w:rPr>
            <w:noProof/>
            <w:webHidden/>
          </w:rPr>
          <w:fldChar w:fldCharType="separate"/>
        </w:r>
        <w:r w:rsidR="00BA08F0">
          <w:rPr>
            <w:noProof/>
            <w:webHidden/>
          </w:rPr>
          <w:t>212</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62" w:history="1">
        <w:r w:rsidR="00423092" w:rsidRPr="0040197A">
          <w:rPr>
            <w:rStyle w:val="Hyperlink"/>
            <w:noProof/>
          </w:rPr>
          <w:t>5.26</w:t>
        </w:r>
        <w:r w:rsidR="00423092">
          <w:rPr>
            <w:rFonts w:eastAsiaTheme="minorEastAsia" w:cstheme="minorBidi"/>
            <w:smallCaps w:val="0"/>
            <w:noProof/>
            <w:sz w:val="22"/>
            <w:szCs w:val="22"/>
            <w:lang w:val="en-US"/>
          </w:rPr>
          <w:tab/>
        </w:r>
        <w:r w:rsidR="00423092" w:rsidRPr="0040197A">
          <w:rPr>
            <w:rStyle w:val="Hyperlink"/>
            <w:noProof/>
          </w:rPr>
          <w:t>APPORTIONMENT OF O&amp;M EXPENSES AND INTEREST &amp; FINANCE CHARGES OF UPPCL</w:t>
        </w:r>
        <w:r w:rsidR="00423092">
          <w:rPr>
            <w:noProof/>
            <w:webHidden/>
          </w:rPr>
          <w:tab/>
        </w:r>
        <w:r>
          <w:rPr>
            <w:noProof/>
            <w:webHidden/>
          </w:rPr>
          <w:fldChar w:fldCharType="begin"/>
        </w:r>
        <w:r w:rsidR="00423092">
          <w:rPr>
            <w:noProof/>
            <w:webHidden/>
          </w:rPr>
          <w:instrText xml:space="preserve"> PAGEREF _Toc457603962 \h </w:instrText>
        </w:r>
        <w:r>
          <w:rPr>
            <w:noProof/>
            <w:webHidden/>
          </w:rPr>
        </w:r>
        <w:r>
          <w:rPr>
            <w:noProof/>
            <w:webHidden/>
          </w:rPr>
          <w:fldChar w:fldCharType="separate"/>
        </w:r>
        <w:r w:rsidR="00BA08F0">
          <w:rPr>
            <w:noProof/>
            <w:webHidden/>
          </w:rPr>
          <w:t>213</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63" w:history="1">
        <w:r w:rsidR="00423092" w:rsidRPr="0040197A">
          <w:rPr>
            <w:rStyle w:val="Hyperlink"/>
            <w:noProof/>
          </w:rPr>
          <w:t>5.27</w:t>
        </w:r>
        <w:r w:rsidR="00423092">
          <w:rPr>
            <w:rFonts w:eastAsiaTheme="minorEastAsia" w:cstheme="minorBidi"/>
            <w:smallCaps w:val="0"/>
            <w:noProof/>
            <w:sz w:val="22"/>
            <w:szCs w:val="22"/>
            <w:lang w:val="en-US"/>
          </w:rPr>
          <w:tab/>
        </w:r>
        <w:r w:rsidR="00423092" w:rsidRPr="0040197A">
          <w:rPr>
            <w:rStyle w:val="Hyperlink"/>
            <w:noProof/>
          </w:rPr>
          <w:t>GoUP SUBSIDY</w:t>
        </w:r>
        <w:r w:rsidR="00423092">
          <w:rPr>
            <w:noProof/>
            <w:webHidden/>
          </w:rPr>
          <w:tab/>
        </w:r>
        <w:r>
          <w:rPr>
            <w:noProof/>
            <w:webHidden/>
          </w:rPr>
          <w:fldChar w:fldCharType="begin"/>
        </w:r>
        <w:r w:rsidR="00423092">
          <w:rPr>
            <w:noProof/>
            <w:webHidden/>
          </w:rPr>
          <w:instrText xml:space="preserve"> PAGEREF _Toc457603963 \h </w:instrText>
        </w:r>
        <w:r>
          <w:rPr>
            <w:noProof/>
            <w:webHidden/>
          </w:rPr>
        </w:r>
        <w:r>
          <w:rPr>
            <w:noProof/>
            <w:webHidden/>
          </w:rPr>
          <w:fldChar w:fldCharType="separate"/>
        </w:r>
        <w:r w:rsidR="00BA08F0">
          <w:rPr>
            <w:noProof/>
            <w:webHidden/>
          </w:rPr>
          <w:t>214</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64" w:history="1">
        <w:r w:rsidR="00423092" w:rsidRPr="0040197A">
          <w:rPr>
            <w:rStyle w:val="Hyperlink"/>
            <w:noProof/>
          </w:rPr>
          <w:t>5.28</w:t>
        </w:r>
        <w:r w:rsidR="00423092">
          <w:rPr>
            <w:rFonts w:eastAsiaTheme="minorEastAsia" w:cstheme="minorBidi"/>
            <w:smallCaps w:val="0"/>
            <w:noProof/>
            <w:sz w:val="22"/>
            <w:szCs w:val="22"/>
            <w:lang w:val="en-US"/>
          </w:rPr>
          <w:tab/>
        </w:r>
        <w:r w:rsidR="00423092" w:rsidRPr="0040197A">
          <w:rPr>
            <w:rStyle w:val="Hyperlink"/>
            <w:noProof/>
          </w:rPr>
          <w:t>ADDITIONAL SUBSIDY REQUIREMENT</w:t>
        </w:r>
        <w:r w:rsidR="00423092">
          <w:rPr>
            <w:noProof/>
            <w:webHidden/>
          </w:rPr>
          <w:tab/>
        </w:r>
        <w:r>
          <w:rPr>
            <w:noProof/>
            <w:webHidden/>
          </w:rPr>
          <w:fldChar w:fldCharType="begin"/>
        </w:r>
        <w:r w:rsidR="00423092">
          <w:rPr>
            <w:noProof/>
            <w:webHidden/>
          </w:rPr>
          <w:instrText xml:space="preserve"> PAGEREF _Toc457603964 \h </w:instrText>
        </w:r>
        <w:r>
          <w:rPr>
            <w:noProof/>
            <w:webHidden/>
          </w:rPr>
        </w:r>
        <w:r>
          <w:rPr>
            <w:noProof/>
            <w:webHidden/>
          </w:rPr>
          <w:fldChar w:fldCharType="separate"/>
        </w:r>
        <w:r w:rsidR="00BA08F0">
          <w:rPr>
            <w:noProof/>
            <w:webHidden/>
          </w:rPr>
          <w:t>216</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65" w:history="1">
        <w:r w:rsidR="00423092" w:rsidRPr="0040197A">
          <w:rPr>
            <w:rStyle w:val="Hyperlink"/>
            <w:noProof/>
          </w:rPr>
          <w:t>5.29</w:t>
        </w:r>
        <w:r w:rsidR="00423092">
          <w:rPr>
            <w:rFonts w:eastAsiaTheme="minorEastAsia" w:cstheme="minorBidi"/>
            <w:smallCaps w:val="0"/>
            <w:noProof/>
            <w:sz w:val="22"/>
            <w:szCs w:val="22"/>
            <w:lang w:val="en-US"/>
          </w:rPr>
          <w:tab/>
        </w:r>
        <w:r w:rsidR="00423092" w:rsidRPr="0040197A">
          <w:rPr>
            <w:rStyle w:val="Hyperlink"/>
            <w:noProof/>
          </w:rPr>
          <w:t>REVENUE FROM SALE OF ELECTRICITY</w:t>
        </w:r>
        <w:r w:rsidR="00423092">
          <w:rPr>
            <w:noProof/>
            <w:webHidden/>
          </w:rPr>
          <w:tab/>
        </w:r>
        <w:r>
          <w:rPr>
            <w:noProof/>
            <w:webHidden/>
          </w:rPr>
          <w:fldChar w:fldCharType="begin"/>
        </w:r>
        <w:r w:rsidR="00423092">
          <w:rPr>
            <w:noProof/>
            <w:webHidden/>
          </w:rPr>
          <w:instrText xml:space="preserve"> PAGEREF _Toc457603965 \h </w:instrText>
        </w:r>
        <w:r>
          <w:rPr>
            <w:noProof/>
            <w:webHidden/>
          </w:rPr>
        </w:r>
        <w:r>
          <w:rPr>
            <w:noProof/>
            <w:webHidden/>
          </w:rPr>
          <w:fldChar w:fldCharType="separate"/>
        </w:r>
        <w:r w:rsidR="00BA08F0">
          <w:rPr>
            <w:noProof/>
            <w:webHidden/>
          </w:rPr>
          <w:t>216</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66" w:history="1">
        <w:r w:rsidR="00423092" w:rsidRPr="0040197A">
          <w:rPr>
            <w:rStyle w:val="Hyperlink"/>
            <w:noProof/>
          </w:rPr>
          <w:t>5.30</w:t>
        </w:r>
        <w:r w:rsidR="00423092">
          <w:rPr>
            <w:rFonts w:eastAsiaTheme="minorEastAsia" w:cstheme="minorBidi"/>
            <w:smallCaps w:val="0"/>
            <w:noProof/>
            <w:sz w:val="22"/>
            <w:szCs w:val="22"/>
            <w:lang w:val="en-US"/>
          </w:rPr>
          <w:tab/>
        </w:r>
        <w:r w:rsidR="00423092" w:rsidRPr="0040197A">
          <w:rPr>
            <w:rStyle w:val="Hyperlink"/>
            <w:noProof/>
          </w:rPr>
          <w:t>APPROVED ARR SUMMARY, REVENUE FROM TARIFFS AND RESULTANT GAP</w:t>
        </w:r>
        <w:r w:rsidR="00423092">
          <w:rPr>
            <w:noProof/>
            <w:webHidden/>
          </w:rPr>
          <w:tab/>
        </w:r>
        <w:r>
          <w:rPr>
            <w:noProof/>
            <w:webHidden/>
          </w:rPr>
          <w:fldChar w:fldCharType="begin"/>
        </w:r>
        <w:r w:rsidR="00423092">
          <w:rPr>
            <w:noProof/>
            <w:webHidden/>
          </w:rPr>
          <w:instrText xml:space="preserve"> PAGEREF _Toc457603966 \h </w:instrText>
        </w:r>
        <w:r>
          <w:rPr>
            <w:noProof/>
            <w:webHidden/>
          </w:rPr>
        </w:r>
        <w:r>
          <w:rPr>
            <w:noProof/>
            <w:webHidden/>
          </w:rPr>
          <w:fldChar w:fldCharType="separate"/>
        </w:r>
        <w:r w:rsidR="00BA08F0">
          <w:rPr>
            <w:noProof/>
            <w:webHidden/>
          </w:rPr>
          <w:t>217</w:t>
        </w:r>
        <w:r>
          <w:rPr>
            <w:noProof/>
            <w:webHidden/>
          </w:rPr>
          <w:fldChar w:fldCharType="end"/>
        </w:r>
      </w:hyperlink>
    </w:p>
    <w:p w:rsidR="00423092" w:rsidRDefault="009741CA">
      <w:pPr>
        <w:pStyle w:val="TOC1"/>
        <w:rPr>
          <w:rFonts w:eastAsiaTheme="minorEastAsia" w:cstheme="minorBidi"/>
          <w:bCs w:val="0"/>
          <w:caps w:val="0"/>
          <w:noProof/>
          <w:sz w:val="22"/>
          <w:szCs w:val="22"/>
          <w:lang w:val="en-US"/>
        </w:rPr>
      </w:pPr>
      <w:hyperlink w:anchor="_Toc457603967" w:history="1">
        <w:r w:rsidR="00423092" w:rsidRPr="0040197A">
          <w:rPr>
            <w:rStyle w:val="Hyperlink"/>
            <w:noProof/>
          </w:rPr>
          <w:t>6.</w:t>
        </w:r>
        <w:r w:rsidR="00423092">
          <w:rPr>
            <w:rFonts w:eastAsiaTheme="minorEastAsia" w:cstheme="minorBidi"/>
            <w:bCs w:val="0"/>
            <w:caps w:val="0"/>
            <w:noProof/>
            <w:sz w:val="22"/>
            <w:szCs w:val="22"/>
            <w:lang w:val="en-US"/>
          </w:rPr>
          <w:tab/>
        </w:r>
        <w:r w:rsidR="00423092" w:rsidRPr="0040197A">
          <w:rPr>
            <w:rStyle w:val="Hyperlink"/>
            <w:noProof/>
          </w:rPr>
          <w:t>OPEN ACCESS CHARGES</w:t>
        </w:r>
        <w:r w:rsidR="00423092">
          <w:rPr>
            <w:noProof/>
            <w:webHidden/>
          </w:rPr>
          <w:tab/>
        </w:r>
        <w:r>
          <w:rPr>
            <w:noProof/>
            <w:webHidden/>
          </w:rPr>
          <w:fldChar w:fldCharType="begin"/>
        </w:r>
        <w:r w:rsidR="00423092">
          <w:rPr>
            <w:noProof/>
            <w:webHidden/>
          </w:rPr>
          <w:instrText xml:space="preserve"> PAGEREF _Toc457603967 \h </w:instrText>
        </w:r>
        <w:r>
          <w:rPr>
            <w:noProof/>
            <w:webHidden/>
          </w:rPr>
        </w:r>
        <w:r>
          <w:rPr>
            <w:noProof/>
            <w:webHidden/>
          </w:rPr>
          <w:fldChar w:fldCharType="separate"/>
        </w:r>
        <w:r w:rsidR="00BA08F0">
          <w:rPr>
            <w:noProof/>
            <w:webHidden/>
          </w:rPr>
          <w:t>219</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68" w:history="1">
        <w:r w:rsidR="00423092" w:rsidRPr="0040197A">
          <w:rPr>
            <w:rStyle w:val="Hyperlink"/>
            <w:rFonts w:cs="Calibri"/>
            <w:noProof/>
          </w:rPr>
          <w:t>6.1</w:t>
        </w:r>
        <w:r w:rsidR="00423092">
          <w:rPr>
            <w:rFonts w:eastAsiaTheme="minorEastAsia" w:cstheme="minorBidi"/>
            <w:smallCaps w:val="0"/>
            <w:noProof/>
            <w:sz w:val="22"/>
            <w:szCs w:val="22"/>
            <w:lang w:val="en-US"/>
          </w:rPr>
          <w:tab/>
        </w:r>
        <w:r w:rsidR="00423092" w:rsidRPr="0040197A">
          <w:rPr>
            <w:rStyle w:val="Hyperlink"/>
            <w:rFonts w:cs="Calibri"/>
            <w:noProof/>
          </w:rPr>
          <w:t>BACKGROUND:</w:t>
        </w:r>
        <w:r w:rsidR="00423092">
          <w:rPr>
            <w:noProof/>
            <w:webHidden/>
          </w:rPr>
          <w:tab/>
        </w:r>
        <w:r>
          <w:rPr>
            <w:noProof/>
            <w:webHidden/>
          </w:rPr>
          <w:fldChar w:fldCharType="begin"/>
        </w:r>
        <w:r w:rsidR="00423092">
          <w:rPr>
            <w:noProof/>
            <w:webHidden/>
          </w:rPr>
          <w:instrText xml:space="preserve"> PAGEREF _Toc457603968 \h </w:instrText>
        </w:r>
        <w:r>
          <w:rPr>
            <w:noProof/>
            <w:webHidden/>
          </w:rPr>
        </w:r>
        <w:r>
          <w:rPr>
            <w:noProof/>
            <w:webHidden/>
          </w:rPr>
          <w:fldChar w:fldCharType="separate"/>
        </w:r>
        <w:r w:rsidR="00BA08F0">
          <w:rPr>
            <w:noProof/>
            <w:webHidden/>
          </w:rPr>
          <w:t>219</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69" w:history="1">
        <w:r w:rsidR="00423092" w:rsidRPr="0040197A">
          <w:rPr>
            <w:rStyle w:val="Hyperlink"/>
            <w:rFonts w:cs="Calibri"/>
            <w:noProof/>
          </w:rPr>
          <w:t>6.2</w:t>
        </w:r>
        <w:r w:rsidR="00423092">
          <w:rPr>
            <w:rFonts w:eastAsiaTheme="minorEastAsia" w:cstheme="minorBidi"/>
            <w:smallCaps w:val="0"/>
            <w:noProof/>
            <w:sz w:val="22"/>
            <w:szCs w:val="22"/>
            <w:lang w:val="en-US"/>
          </w:rPr>
          <w:tab/>
        </w:r>
        <w:r w:rsidR="00423092" w:rsidRPr="0040197A">
          <w:rPr>
            <w:rStyle w:val="Hyperlink"/>
            <w:rFonts w:cs="Calibri"/>
            <w:noProof/>
          </w:rPr>
          <w:t>OPEN ACCESS CHARGES</w:t>
        </w:r>
        <w:r w:rsidR="00423092">
          <w:rPr>
            <w:noProof/>
            <w:webHidden/>
          </w:rPr>
          <w:tab/>
        </w:r>
        <w:r>
          <w:rPr>
            <w:noProof/>
            <w:webHidden/>
          </w:rPr>
          <w:fldChar w:fldCharType="begin"/>
        </w:r>
        <w:r w:rsidR="00423092">
          <w:rPr>
            <w:noProof/>
            <w:webHidden/>
          </w:rPr>
          <w:instrText xml:space="preserve"> PAGEREF _Toc457603969 \h </w:instrText>
        </w:r>
        <w:r>
          <w:rPr>
            <w:noProof/>
            <w:webHidden/>
          </w:rPr>
        </w:r>
        <w:r>
          <w:rPr>
            <w:noProof/>
            <w:webHidden/>
          </w:rPr>
          <w:fldChar w:fldCharType="separate"/>
        </w:r>
        <w:r w:rsidR="00BA08F0">
          <w:rPr>
            <w:noProof/>
            <w:webHidden/>
          </w:rPr>
          <w:t>222</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70" w:history="1">
        <w:r w:rsidR="00423092" w:rsidRPr="0040197A">
          <w:rPr>
            <w:rStyle w:val="Hyperlink"/>
            <w:rFonts w:cs="Calibri"/>
            <w:noProof/>
          </w:rPr>
          <w:t>6.3</w:t>
        </w:r>
        <w:r w:rsidR="00423092">
          <w:rPr>
            <w:rFonts w:eastAsiaTheme="minorEastAsia" w:cstheme="minorBidi"/>
            <w:smallCaps w:val="0"/>
            <w:noProof/>
            <w:sz w:val="22"/>
            <w:szCs w:val="22"/>
            <w:lang w:val="en-US"/>
          </w:rPr>
          <w:tab/>
        </w:r>
        <w:r w:rsidR="00423092" w:rsidRPr="0040197A">
          <w:rPr>
            <w:rStyle w:val="Hyperlink"/>
            <w:rFonts w:cs="Calibri"/>
            <w:noProof/>
          </w:rPr>
          <w:t>WHEELING CHARGES</w:t>
        </w:r>
        <w:r w:rsidR="00423092">
          <w:rPr>
            <w:noProof/>
            <w:webHidden/>
          </w:rPr>
          <w:tab/>
        </w:r>
        <w:r>
          <w:rPr>
            <w:noProof/>
            <w:webHidden/>
          </w:rPr>
          <w:fldChar w:fldCharType="begin"/>
        </w:r>
        <w:r w:rsidR="00423092">
          <w:rPr>
            <w:noProof/>
            <w:webHidden/>
          </w:rPr>
          <w:instrText xml:space="preserve"> PAGEREF _Toc457603970 \h </w:instrText>
        </w:r>
        <w:r>
          <w:rPr>
            <w:noProof/>
            <w:webHidden/>
          </w:rPr>
        </w:r>
        <w:r>
          <w:rPr>
            <w:noProof/>
            <w:webHidden/>
          </w:rPr>
          <w:fldChar w:fldCharType="separate"/>
        </w:r>
        <w:r w:rsidR="00BA08F0">
          <w:rPr>
            <w:noProof/>
            <w:webHidden/>
          </w:rPr>
          <w:t>222</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71" w:history="1">
        <w:r w:rsidR="00423092" w:rsidRPr="0040197A">
          <w:rPr>
            <w:rStyle w:val="Hyperlink"/>
            <w:rFonts w:cs="Calibri"/>
            <w:noProof/>
          </w:rPr>
          <w:t>6.4</w:t>
        </w:r>
        <w:r w:rsidR="00423092">
          <w:rPr>
            <w:rFonts w:eastAsiaTheme="minorEastAsia" w:cstheme="minorBidi"/>
            <w:smallCaps w:val="0"/>
            <w:noProof/>
            <w:sz w:val="22"/>
            <w:szCs w:val="22"/>
            <w:lang w:val="en-US"/>
          </w:rPr>
          <w:tab/>
        </w:r>
        <w:r w:rsidR="00423092" w:rsidRPr="0040197A">
          <w:rPr>
            <w:rStyle w:val="Hyperlink"/>
            <w:rFonts w:cs="Calibri"/>
            <w:noProof/>
          </w:rPr>
          <w:t>CROSS SUBSIDY SURCHARGE</w:t>
        </w:r>
        <w:r w:rsidR="00423092">
          <w:rPr>
            <w:noProof/>
            <w:webHidden/>
          </w:rPr>
          <w:tab/>
        </w:r>
        <w:r>
          <w:rPr>
            <w:noProof/>
            <w:webHidden/>
          </w:rPr>
          <w:fldChar w:fldCharType="begin"/>
        </w:r>
        <w:r w:rsidR="00423092">
          <w:rPr>
            <w:noProof/>
            <w:webHidden/>
          </w:rPr>
          <w:instrText xml:space="preserve"> PAGEREF _Toc457603971 \h </w:instrText>
        </w:r>
        <w:r>
          <w:rPr>
            <w:noProof/>
            <w:webHidden/>
          </w:rPr>
        </w:r>
        <w:r>
          <w:rPr>
            <w:noProof/>
            <w:webHidden/>
          </w:rPr>
          <w:fldChar w:fldCharType="separate"/>
        </w:r>
        <w:r w:rsidR="00BA08F0">
          <w:rPr>
            <w:noProof/>
            <w:webHidden/>
          </w:rPr>
          <w:t>225</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72" w:history="1">
        <w:r w:rsidR="00423092" w:rsidRPr="0040197A">
          <w:rPr>
            <w:rStyle w:val="Hyperlink"/>
            <w:rFonts w:cs="Calibri"/>
            <w:noProof/>
          </w:rPr>
          <w:t>6.5</w:t>
        </w:r>
        <w:r w:rsidR="00423092">
          <w:rPr>
            <w:rFonts w:eastAsiaTheme="minorEastAsia" w:cstheme="minorBidi"/>
            <w:smallCaps w:val="0"/>
            <w:noProof/>
            <w:sz w:val="22"/>
            <w:szCs w:val="22"/>
            <w:lang w:val="en-US"/>
          </w:rPr>
          <w:tab/>
        </w:r>
        <w:r w:rsidR="00423092" w:rsidRPr="0040197A">
          <w:rPr>
            <w:rStyle w:val="Hyperlink"/>
            <w:rFonts w:cs="Calibri"/>
            <w:noProof/>
          </w:rPr>
          <w:t>ADDITIONAL SURCHARGE</w:t>
        </w:r>
        <w:r w:rsidR="00423092">
          <w:rPr>
            <w:noProof/>
            <w:webHidden/>
          </w:rPr>
          <w:tab/>
        </w:r>
        <w:r>
          <w:rPr>
            <w:noProof/>
            <w:webHidden/>
          </w:rPr>
          <w:fldChar w:fldCharType="begin"/>
        </w:r>
        <w:r w:rsidR="00423092">
          <w:rPr>
            <w:noProof/>
            <w:webHidden/>
          </w:rPr>
          <w:instrText xml:space="preserve"> PAGEREF _Toc457603972 \h </w:instrText>
        </w:r>
        <w:r>
          <w:rPr>
            <w:noProof/>
            <w:webHidden/>
          </w:rPr>
        </w:r>
        <w:r>
          <w:rPr>
            <w:noProof/>
            <w:webHidden/>
          </w:rPr>
          <w:fldChar w:fldCharType="separate"/>
        </w:r>
        <w:r w:rsidR="00BA08F0">
          <w:rPr>
            <w:noProof/>
            <w:webHidden/>
          </w:rPr>
          <w:t>229</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73" w:history="1">
        <w:r w:rsidR="00423092" w:rsidRPr="0040197A">
          <w:rPr>
            <w:rStyle w:val="Hyperlink"/>
            <w:rFonts w:cs="Calibri"/>
            <w:noProof/>
          </w:rPr>
          <w:t>6.6</w:t>
        </w:r>
        <w:r w:rsidR="00423092">
          <w:rPr>
            <w:rFonts w:eastAsiaTheme="minorEastAsia" w:cstheme="minorBidi"/>
            <w:smallCaps w:val="0"/>
            <w:noProof/>
            <w:sz w:val="22"/>
            <w:szCs w:val="22"/>
            <w:lang w:val="en-US"/>
          </w:rPr>
          <w:tab/>
        </w:r>
        <w:r w:rsidR="00423092" w:rsidRPr="0040197A">
          <w:rPr>
            <w:rStyle w:val="Hyperlink"/>
            <w:rFonts w:cs="Calibri"/>
            <w:noProof/>
          </w:rPr>
          <w:t>OTHER CHARGES</w:t>
        </w:r>
        <w:r w:rsidR="00423092">
          <w:rPr>
            <w:noProof/>
            <w:webHidden/>
          </w:rPr>
          <w:tab/>
        </w:r>
        <w:r>
          <w:rPr>
            <w:noProof/>
            <w:webHidden/>
          </w:rPr>
          <w:fldChar w:fldCharType="begin"/>
        </w:r>
        <w:r w:rsidR="00423092">
          <w:rPr>
            <w:noProof/>
            <w:webHidden/>
          </w:rPr>
          <w:instrText xml:space="preserve"> PAGEREF _Toc457603973 \h </w:instrText>
        </w:r>
        <w:r>
          <w:rPr>
            <w:noProof/>
            <w:webHidden/>
          </w:rPr>
        </w:r>
        <w:r>
          <w:rPr>
            <w:noProof/>
            <w:webHidden/>
          </w:rPr>
          <w:fldChar w:fldCharType="separate"/>
        </w:r>
        <w:r w:rsidR="00BA08F0">
          <w:rPr>
            <w:noProof/>
            <w:webHidden/>
          </w:rPr>
          <w:t>229</w:t>
        </w:r>
        <w:r>
          <w:rPr>
            <w:noProof/>
            <w:webHidden/>
          </w:rPr>
          <w:fldChar w:fldCharType="end"/>
        </w:r>
      </w:hyperlink>
    </w:p>
    <w:p w:rsidR="00423092" w:rsidRDefault="009741CA">
      <w:pPr>
        <w:pStyle w:val="TOC1"/>
        <w:rPr>
          <w:rFonts w:eastAsiaTheme="minorEastAsia" w:cstheme="minorBidi"/>
          <w:bCs w:val="0"/>
          <w:caps w:val="0"/>
          <w:noProof/>
          <w:sz w:val="22"/>
          <w:szCs w:val="22"/>
          <w:lang w:val="en-US"/>
        </w:rPr>
      </w:pPr>
      <w:hyperlink w:anchor="_Toc457603974" w:history="1">
        <w:r w:rsidR="00423092" w:rsidRPr="0040197A">
          <w:rPr>
            <w:rStyle w:val="Hyperlink"/>
            <w:noProof/>
          </w:rPr>
          <w:t>7.</w:t>
        </w:r>
        <w:r w:rsidR="00423092">
          <w:rPr>
            <w:rFonts w:eastAsiaTheme="minorEastAsia" w:cstheme="minorBidi"/>
            <w:bCs w:val="0"/>
            <w:caps w:val="0"/>
            <w:noProof/>
            <w:sz w:val="22"/>
            <w:szCs w:val="22"/>
            <w:lang w:val="en-US"/>
          </w:rPr>
          <w:tab/>
        </w:r>
        <w:r w:rsidR="00423092" w:rsidRPr="0040197A">
          <w:rPr>
            <w:rStyle w:val="Hyperlink"/>
            <w:noProof/>
          </w:rPr>
          <w:t>TARIFF PHILOSPHY</w:t>
        </w:r>
        <w:r w:rsidR="00423092">
          <w:rPr>
            <w:noProof/>
            <w:webHidden/>
          </w:rPr>
          <w:tab/>
        </w:r>
        <w:r>
          <w:rPr>
            <w:noProof/>
            <w:webHidden/>
          </w:rPr>
          <w:fldChar w:fldCharType="begin"/>
        </w:r>
        <w:r w:rsidR="00423092">
          <w:rPr>
            <w:noProof/>
            <w:webHidden/>
          </w:rPr>
          <w:instrText xml:space="preserve"> PAGEREF _Toc457603974 \h </w:instrText>
        </w:r>
        <w:r>
          <w:rPr>
            <w:noProof/>
            <w:webHidden/>
          </w:rPr>
        </w:r>
        <w:r>
          <w:rPr>
            <w:noProof/>
            <w:webHidden/>
          </w:rPr>
          <w:fldChar w:fldCharType="separate"/>
        </w:r>
        <w:r w:rsidR="00BA08F0">
          <w:rPr>
            <w:noProof/>
            <w:webHidden/>
          </w:rPr>
          <w:t>230</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75" w:history="1">
        <w:r w:rsidR="00423092" w:rsidRPr="0040197A">
          <w:rPr>
            <w:rStyle w:val="Hyperlink"/>
            <w:rFonts w:cs="Calibri"/>
            <w:noProof/>
          </w:rPr>
          <w:t>7.1</w:t>
        </w:r>
        <w:r w:rsidR="00423092">
          <w:rPr>
            <w:rFonts w:eastAsiaTheme="minorEastAsia" w:cstheme="minorBidi"/>
            <w:smallCaps w:val="0"/>
            <w:noProof/>
            <w:sz w:val="22"/>
            <w:szCs w:val="22"/>
            <w:lang w:val="en-US"/>
          </w:rPr>
          <w:tab/>
        </w:r>
        <w:r w:rsidR="00423092" w:rsidRPr="0040197A">
          <w:rPr>
            <w:rStyle w:val="Hyperlink"/>
            <w:rFonts w:cs="Calibri"/>
            <w:noProof/>
          </w:rPr>
          <w:t>CONSIDERATIONS IN TARIFF DESIGN</w:t>
        </w:r>
        <w:r w:rsidR="00423092">
          <w:rPr>
            <w:noProof/>
            <w:webHidden/>
          </w:rPr>
          <w:tab/>
        </w:r>
        <w:r>
          <w:rPr>
            <w:noProof/>
            <w:webHidden/>
          </w:rPr>
          <w:fldChar w:fldCharType="begin"/>
        </w:r>
        <w:r w:rsidR="00423092">
          <w:rPr>
            <w:noProof/>
            <w:webHidden/>
          </w:rPr>
          <w:instrText xml:space="preserve"> PAGEREF _Toc457603975 \h </w:instrText>
        </w:r>
        <w:r>
          <w:rPr>
            <w:noProof/>
            <w:webHidden/>
          </w:rPr>
        </w:r>
        <w:r>
          <w:rPr>
            <w:noProof/>
            <w:webHidden/>
          </w:rPr>
          <w:fldChar w:fldCharType="separate"/>
        </w:r>
        <w:r w:rsidR="00BA08F0">
          <w:rPr>
            <w:noProof/>
            <w:webHidden/>
          </w:rPr>
          <w:t>230</w:t>
        </w:r>
        <w:r>
          <w:rPr>
            <w:noProof/>
            <w:webHidden/>
          </w:rPr>
          <w:fldChar w:fldCharType="end"/>
        </w:r>
      </w:hyperlink>
    </w:p>
    <w:p w:rsidR="00423092" w:rsidRDefault="009741CA">
      <w:pPr>
        <w:pStyle w:val="TOC1"/>
        <w:rPr>
          <w:rFonts w:eastAsiaTheme="minorEastAsia" w:cstheme="minorBidi"/>
          <w:bCs w:val="0"/>
          <w:caps w:val="0"/>
          <w:noProof/>
          <w:sz w:val="22"/>
          <w:szCs w:val="22"/>
          <w:lang w:val="en-US"/>
        </w:rPr>
      </w:pPr>
      <w:hyperlink w:anchor="_Toc457603976" w:history="1">
        <w:r w:rsidR="00423092" w:rsidRPr="0040197A">
          <w:rPr>
            <w:rStyle w:val="Hyperlink"/>
            <w:noProof/>
          </w:rPr>
          <w:t>8.</w:t>
        </w:r>
        <w:r w:rsidR="00423092">
          <w:rPr>
            <w:rFonts w:eastAsiaTheme="minorEastAsia" w:cstheme="minorBidi"/>
            <w:bCs w:val="0"/>
            <w:caps w:val="0"/>
            <w:noProof/>
            <w:sz w:val="22"/>
            <w:szCs w:val="22"/>
            <w:lang w:val="en-US"/>
          </w:rPr>
          <w:tab/>
        </w:r>
        <w:r w:rsidR="00423092" w:rsidRPr="0040197A">
          <w:rPr>
            <w:rStyle w:val="Hyperlink"/>
            <w:noProof/>
          </w:rPr>
          <w:t>REVENUE AT REVISED TARIFF AND REVENUE GAP:</w:t>
        </w:r>
        <w:r w:rsidR="00423092">
          <w:rPr>
            <w:noProof/>
            <w:webHidden/>
          </w:rPr>
          <w:tab/>
        </w:r>
        <w:r>
          <w:rPr>
            <w:noProof/>
            <w:webHidden/>
          </w:rPr>
          <w:fldChar w:fldCharType="begin"/>
        </w:r>
        <w:r w:rsidR="00423092">
          <w:rPr>
            <w:noProof/>
            <w:webHidden/>
          </w:rPr>
          <w:instrText xml:space="preserve"> PAGEREF _Toc457603976 \h </w:instrText>
        </w:r>
        <w:r>
          <w:rPr>
            <w:noProof/>
            <w:webHidden/>
          </w:rPr>
        </w:r>
        <w:r>
          <w:rPr>
            <w:noProof/>
            <w:webHidden/>
          </w:rPr>
          <w:fldChar w:fldCharType="separate"/>
        </w:r>
        <w:r w:rsidR="00BA08F0">
          <w:rPr>
            <w:noProof/>
            <w:webHidden/>
          </w:rPr>
          <w:t>241</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77" w:history="1">
        <w:r w:rsidR="00423092" w:rsidRPr="0040197A">
          <w:rPr>
            <w:rStyle w:val="Hyperlink"/>
            <w:noProof/>
          </w:rPr>
          <w:t>8.1</w:t>
        </w:r>
        <w:r w:rsidR="00423092">
          <w:rPr>
            <w:rFonts w:eastAsiaTheme="minorEastAsia" w:cstheme="minorBidi"/>
            <w:smallCaps w:val="0"/>
            <w:noProof/>
            <w:sz w:val="22"/>
            <w:szCs w:val="22"/>
            <w:lang w:val="en-US"/>
          </w:rPr>
          <w:tab/>
        </w:r>
        <w:r w:rsidR="00423092" w:rsidRPr="0040197A">
          <w:rPr>
            <w:rStyle w:val="Hyperlink"/>
            <w:noProof/>
          </w:rPr>
          <w:t>REVENUE FROM SALE OF POWER AT APPROVED TARIFF</w:t>
        </w:r>
        <w:r w:rsidR="00423092">
          <w:rPr>
            <w:noProof/>
            <w:webHidden/>
          </w:rPr>
          <w:tab/>
        </w:r>
        <w:r>
          <w:rPr>
            <w:noProof/>
            <w:webHidden/>
          </w:rPr>
          <w:fldChar w:fldCharType="begin"/>
        </w:r>
        <w:r w:rsidR="00423092">
          <w:rPr>
            <w:noProof/>
            <w:webHidden/>
          </w:rPr>
          <w:instrText xml:space="preserve"> PAGEREF _Toc457603977 \h </w:instrText>
        </w:r>
        <w:r>
          <w:rPr>
            <w:noProof/>
            <w:webHidden/>
          </w:rPr>
        </w:r>
        <w:r>
          <w:rPr>
            <w:noProof/>
            <w:webHidden/>
          </w:rPr>
          <w:fldChar w:fldCharType="separate"/>
        </w:r>
        <w:r w:rsidR="00BA08F0">
          <w:rPr>
            <w:noProof/>
            <w:webHidden/>
          </w:rPr>
          <w:t>241</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78" w:history="1">
        <w:r w:rsidR="00423092" w:rsidRPr="0040197A">
          <w:rPr>
            <w:rStyle w:val="Hyperlink"/>
            <w:noProof/>
          </w:rPr>
          <w:t>8.2</w:t>
        </w:r>
        <w:r w:rsidR="00423092">
          <w:rPr>
            <w:rFonts w:eastAsiaTheme="minorEastAsia" w:cstheme="minorBidi"/>
            <w:smallCaps w:val="0"/>
            <w:noProof/>
            <w:sz w:val="22"/>
            <w:szCs w:val="22"/>
            <w:lang w:val="en-US"/>
          </w:rPr>
          <w:tab/>
        </w:r>
        <w:r w:rsidR="00423092" w:rsidRPr="0040197A">
          <w:rPr>
            <w:rStyle w:val="Hyperlink"/>
            <w:noProof/>
          </w:rPr>
          <w:t>AVERAGE COST OF SUPPLY</w:t>
        </w:r>
        <w:r w:rsidR="00423092">
          <w:rPr>
            <w:noProof/>
            <w:webHidden/>
          </w:rPr>
          <w:tab/>
        </w:r>
        <w:r>
          <w:rPr>
            <w:noProof/>
            <w:webHidden/>
          </w:rPr>
          <w:fldChar w:fldCharType="begin"/>
        </w:r>
        <w:r w:rsidR="00423092">
          <w:rPr>
            <w:noProof/>
            <w:webHidden/>
          </w:rPr>
          <w:instrText xml:space="preserve"> PAGEREF _Toc457603978 \h </w:instrText>
        </w:r>
        <w:r>
          <w:rPr>
            <w:noProof/>
            <w:webHidden/>
          </w:rPr>
        </w:r>
        <w:r>
          <w:rPr>
            <w:noProof/>
            <w:webHidden/>
          </w:rPr>
          <w:fldChar w:fldCharType="separate"/>
        </w:r>
        <w:r w:rsidR="00BA08F0">
          <w:rPr>
            <w:noProof/>
            <w:webHidden/>
          </w:rPr>
          <w:t>242</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79" w:history="1">
        <w:r w:rsidR="00423092" w:rsidRPr="0040197A">
          <w:rPr>
            <w:rStyle w:val="Hyperlink"/>
            <w:noProof/>
          </w:rPr>
          <w:t>8.3</w:t>
        </w:r>
        <w:r w:rsidR="00423092">
          <w:rPr>
            <w:rFonts w:eastAsiaTheme="minorEastAsia" w:cstheme="minorBidi"/>
            <w:smallCaps w:val="0"/>
            <w:noProof/>
            <w:sz w:val="22"/>
            <w:szCs w:val="22"/>
            <w:lang w:val="en-US"/>
          </w:rPr>
          <w:tab/>
        </w:r>
        <w:r w:rsidR="00423092" w:rsidRPr="0040197A">
          <w:rPr>
            <w:rStyle w:val="Hyperlink"/>
            <w:noProof/>
          </w:rPr>
          <w:t>REGULATORY SURCHARGE</w:t>
        </w:r>
        <w:r w:rsidR="00423092">
          <w:rPr>
            <w:noProof/>
            <w:webHidden/>
          </w:rPr>
          <w:tab/>
        </w:r>
        <w:r>
          <w:rPr>
            <w:noProof/>
            <w:webHidden/>
          </w:rPr>
          <w:fldChar w:fldCharType="begin"/>
        </w:r>
        <w:r w:rsidR="00423092">
          <w:rPr>
            <w:noProof/>
            <w:webHidden/>
          </w:rPr>
          <w:instrText xml:space="preserve"> PAGEREF _Toc457603979 \h </w:instrText>
        </w:r>
        <w:r>
          <w:rPr>
            <w:noProof/>
            <w:webHidden/>
          </w:rPr>
        </w:r>
        <w:r>
          <w:rPr>
            <w:noProof/>
            <w:webHidden/>
          </w:rPr>
          <w:fldChar w:fldCharType="separate"/>
        </w:r>
        <w:r w:rsidR="00BA08F0">
          <w:rPr>
            <w:noProof/>
            <w:webHidden/>
          </w:rPr>
          <w:t>243</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80" w:history="1">
        <w:r w:rsidR="00423092" w:rsidRPr="0040197A">
          <w:rPr>
            <w:rStyle w:val="Hyperlink"/>
            <w:noProof/>
          </w:rPr>
          <w:t>8.4</w:t>
        </w:r>
        <w:r w:rsidR="00423092">
          <w:rPr>
            <w:rFonts w:eastAsiaTheme="minorEastAsia" w:cstheme="minorBidi"/>
            <w:smallCaps w:val="0"/>
            <w:noProof/>
            <w:sz w:val="22"/>
            <w:szCs w:val="22"/>
            <w:lang w:val="en-US"/>
          </w:rPr>
          <w:tab/>
        </w:r>
        <w:r w:rsidR="00423092" w:rsidRPr="0040197A">
          <w:rPr>
            <w:rStyle w:val="Hyperlink"/>
            <w:noProof/>
          </w:rPr>
          <w:t>TREATMENT OF REVENUE GAP / REGULATORY ASSET ADMITTED IN THIS ORDER</w:t>
        </w:r>
        <w:r w:rsidR="00423092">
          <w:rPr>
            <w:noProof/>
            <w:webHidden/>
          </w:rPr>
          <w:tab/>
        </w:r>
        <w:r>
          <w:rPr>
            <w:noProof/>
            <w:webHidden/>
          </w:rPr>
          <w:fldChar w:fldCharType="begin"/>
        </w:r>
        <w:r w:rsidR="00423092">
          <w:rPr>
            <w:noProof/>
            <w:webHidden/>
          </w:rPr>
          <w:instrText xml:space="preserve"> PAGEREF _Toc457603980 \h </w:instrText>
        </w:r>
        <w:r>
          <w:rPr>
            <w:noProof/>
            <w:webHidden/>
          </w:rPr>
        </w:r>
        <w:r>
          <w:rPr>
            <w:noProof/>
            <w:webHidden/>
          </w:rPr>
          <w:fldChar w:fldCharType="separate"/>
        </w:r>
        <w:r w:rsidR="00BA08F0">
          <w:rPr>
            <w:noProof/>
            <w:webHidden/>
          </w:rPr>
          <w:t>254</w:t>
        </w:r>
        <w:r>
          <w:rPr>
            <w:noProof/>
            <w:webHidden/>
          </w:rPr>
          <w:fldChar w:fldCharType="end"/>
        </w:r>
      </w:hyperlink>
    </w:p>
    <w:p w:rsidR="00423092" w:rsidRDefault="009741CA">
      <w:pPr>
        <w:pStyle w:val="TOC1"/>
        <w:rPr>
          <w:rFonts w:eastAsiaTheme="minorEastAsia" w:cstheme="minorBidi"/>
          <w:bCs w:val="0"/>
          <w:caps w:val="0"/>
          <w:noProof/>
          <w:sz w:val="22"/>
          <w:szCs w:val="22"/>
          <w:lang w:val="en-US"/>
        </w:rPr>
      </w:pPr>
      <w:hyperlink w:anchor="_Toc457603981" w:history="1">
        <w:r w:rsidR="00423092" w:rsidRPr="0040197A">
          <w:rPr>
            <w:rStyle w:val="Hyperlink"/>
            <w:noProof/>
          </w:rPr>
          <w:t>9.</w:t>
        </w:r>
        <w:r w:rsidR="00423092">
          <w:rPr>
            <w:rFonts w:eastAsiaTheme="minorEastAsia" w:cstheme="minorBidi"/>
            <w:bCs w:val="0"/>
            <w:caps w:val="0"/>
            <w:noProof/>
            <w:sz w:val="22"/>
            <w:szCs w:val="22"/>
            <w:lang w:val="en-US"/>
          </w:rPr>
          <w:tab/>
        </w:r>
        <w:r w:rsidR="00423092" w:rsidRPr="0040197A">
          <w:rPr>
            <w:rStyle w:val="Hyperlink"/>
            <w:noProof/>
          </w:rPr>
          <w:t>DIRECTIVES</w:t>
        </w:r>
        <w:r w:rsidR="00423092">
          <w:rPr>
            <w:noProof/>
            <w:webHidden/>
          </w:rPr>
          <w:tab/>
        </w:r>
        <w:r>
          <w:rPr>
            <w:noProof/>
            <w:webHidden/>
          </w:rPr>
          <w:fldChar w:fldCharType="begin"/>
        </w:r>
        <w:r w:rsidR="00423092">
          <w:rPr>
            <w:noProof/>
            <w:webHidden/>
          </w:rPr>
          <w:instrText xml:space="preserve"> PAGEREF _Toc457603981 \h </w:instrText>
        </w:r>
        <w:r>
          <w:rPr>
            <w:noProof/>
            <w:webHidden/>
          </w:rPr>
        </w:r>
        <w:r>
          <w:rPr>
            <w:noProof/>
            <w:webHidden/>
          </w:rPr>
          <w:fldChar w:fldCharType="separate"/>
        </w:r>
        <w:r w:rsidR="00BA08F0">
          <w:rPr>
            <w:noProof/>
            <w:webHidden/>
          </w:rPr>
          <w:t>260</w:t>
        </w:r>
        <w:r>
          <w:rPr>
            <w:noProof/>
            <w:webHidden/>
          </w:rPr>
          <w:fldChar w:fldCharType="end"/>
        </w:r>
      </w:hyperlink>
    </w:p>
    <w:p w:rsidR="00423092" w:rsidRDefault="009741CA">
      <w:pPr>
        <w:pStyle w:val="TOC2"/>
        <w:tabs>
          <w:tab w:val="left" w:pos="720"/>
          <w:tab w:val="right" w:leader="dot" w:pos="9289"/>
        </w:tabs>
        <w:rPr>
          <w:rFonts w:eastAsiaTheme="minorEastAsia" w:cstheme="minorBidi"/>
          <w:smallCaps w:val="0"/>
          <w:noProof/>
          <w:sz w:val="22"/>
          <w:szCs w:val="22"/>
          <w:lang w:val="en-US"/>
        </w:rPr>
      </w:pPr>
      <w:hyperlink w:anchor="_Toc457603982" w:history="1">
        <w:r w:rsidR="00423092" w:rsidRPr="0040197A">
          <w:rPr>
            <w:rStyle w:val="Hyperlink"/>
            <w:noProof/>
          </w:rPr>
          <w:t>9.1</w:t>
        </w:r>
        <w:r w:rsidR="00423092">
          <w:rPr>
            <w:rFonts w:eastAsiaTheme="minorEastAsia" w:cstheme="minorBidi"/>
            <w:smallCaps w:val="0"/>
            <w:noProof/>
            <w:sz w:val="22"/>
            <w:szCs w:val="22"/>
            <w:lang w:val="en-US"/>
          </w:rPr>
          <w:tab/>
        </w:r>
        <w:r w:rsidR="00423092" w:rsidRPr="0040197A">
          <w:rPr>
            <w:rStyle w:val="Hyperlink"/>
            <w:noProof/>
          </w:rPr>
          <w:t>DIRECTIVES PROVIDED BY COMMISSION AND THEIR COMPLIANCE BY LICENSEE</w:t>
        </w:r>
        <w:r w:rsidR="00423092">
          <w:rPr>
            <w:noProof/>
            <w:webHidden/>
          </w:rPr>
          <w:tab/>
        </w:r>
        <w:r>
          <w:rPr>
            <w:noProof/>
            <w:webHidden/>
          </w:rPr>
          <w:fldChar w:fldCharType="begin"/>
        </w:r>
        <w:r w:rsidR="00423092">
          <w:rPr>
            <w:noProof/>
            <w:webHidden/>
          </w:rPr>
          <w:instrText xml:space="preserve"> PAGEREF _Toc457603982 \h </w:instrText>
        </w:r>
        <w:r>
          <w:rPr>
            <w:noProof/>
            <w:webHidden/>
          </w:rPr>
        </w:r>
        <w:r>
          <w:rPr>
            <w:noProof/>
            <w:webHidden/>
          </w:rPr>
          <w:fldChar w:fldCharType="separate"/>
        </w:r>
        <w:r w:rsidR="00BA08F0">
          <w:rPr>
            <w:noProof/>
            <w:webHidden/>
          </w:rPr>
          <w:t>260</w:t>
        </w:r>
        <w:r>
          <w:rPr>
            <w:noProof/>
            <w:webHidden/>
          </w:rPr>
          <w:fldChar w:fldCharType="end"/>
        </w:r>
      </w:hyperlink>
    </w:p>
    <w:p w:rsidR="00423092" w:rsidRDefault="009741CA">
      <w:pPr>
        <w:pStyle w:val="TOC1"/>
        <w:rPr>
          <w:rFonts w:eastAsiaTheme="minorEastAsia" w:cstheme="minorBidi"/>
          <w:bCs w:val="0"/>
          <w:caps w:val="0"/>
          <w:noProof/>
          <w:sz w:val="22"/>
          <w:szCs w:val="22"/>
          <w:lang w:val="en-US"/>
        </w:rPr>
      </w:pPr>
      <w:hyperlink w:anchor="_Toc457603983" w:history="1">
        <w:r w:rsidR="00423092" w:rsidRPr="0040197A">
          <w:rPr>
            <w:rStyle w:val="Hyperlink"/>
            <w:noProof/>
          </w:rPr>
          <w:t>10.</w:t>
        </w:r>
        <w:r w:rsidR="00423092">
          <w:rPr>
            <w:rFonts w:eastAsiaTheme="minorEastAsia" w:cstheme="minorBidi"/>
            <w:bCs w:val="0"/>
            <w:caps w:val="0"/>
            <w:noProof/>
            <w:sz w:val="22"/>
            <w:szCs w:val="22"/>
            <w:lang w:val="en-US"/>
          </w:rPr>
          <w:tab/>
        </w:r>
        <w:r w:rsidR="00423092" w:rsidRPr="0040197A">
          <w:rPr>
            <w:rStyle w:val="Hyperlink"/>
            <w:noProof/>
          </w:rPr>
          <w:t>APPLICABILIT</w:t>
        </w:r>
        <w:r w:rsidR="00423092" w:rsidRPr="0040197A">
          <w:rPr>
            <w:rStyle w:val="Hyperlink"/>
            <w:noProof/>
          </w:rPr>
          <w:t>Y</w:t>
        </w:r>
        <w:r w:rsidR="00423092" w:rsidRPr="0040197A">
          <w:rPr>
            <w:rStyle w:val="Hyperlink"/>
            <w:noProof/>
          </w:rPr>
          <w:t xml:space="preserve"> OF THE ORDER</w:t>
        </w:r>
        <w:r w:rsidR="00423092">
          <w:rPr>
            <w:noProof/>
            <w:webHidden/>
          </w:rPr>
          <w:tab/>
        </w:r>
        <w:r>
          <w:rPr>
            <w:noProof/>
            <w:webHidden/>
          </w:rPr>
          <w:fldChar w:fldCharType="begin"/>
        </w:r>
        <w:r w:rsidR="00423092">
          <w:rPr>
            <w:noProof/>
            <w:webHidden/>
          </w:rPr>
          <w:instrText xml:space="preserve"> PAGEREF _Toc457603983 \h </w:instrText>
        </w:r>
        <w:r>
          <w:rPr>
            <w:noProof/>
            <w:webHidden/>
          </w:rPr>
        </w:r>
        <w:r>
          <w:rPr>
            <w:noProof/>
            <w:webHidden/>
          </w:rPr>
          <w:fldChar w:fldCharType="separate"/>
        </w:r>
        <w:r w:rsidR="00BA08F0">
          <w:rPr>
            <w:noProof/>
            <w:webHidden/>
          </w:rPr>
          <w:t>299</w:t>
        </w:r>
        <w:r>
          <w:rPr>
            <w:noProof/>
            <w:webHidden/>
          </w:rPr>
          <w:fldChar w:fldCharType="end"/>
        </w:r>
      </w:hyperlink>
    </w:p>
    <w:p w:rsidR="00423092" w:rsidRDefault="009741CA">
      <w:pPr>
        <w:pStyle w:val="TOC1"/>
        <w:rPr>
          <w:rFonts w:eastAsiaTheme="minorEastAsia" w:cstheme="minorBidi"/>
          <w:bCs w:val="0"/>
          <w:caps w:val="0"/>
          <w:noProof/>
          <w:sz w:val="22"/>
          <w:szCs w:val="22"/>
          <w:lang w:val="en-US"/>
        </w:rPr>
      </w:pPr>
      <w:hyperlink w:anchor="_Toc457603984" w:history="1">
        <w:r w:rsidR="00423092" w:rsidRPr="0040197A">
          <w:rPr>
            <w:rStyle w:val="Hyperlink"/>
            <w:noProof/>
          </w:rPr>
          <w:t>11.</w:t>
        </w:r>
        <w:r w:rsidR="00423092">
          <w:rPr>
            <w:rFonts w:eastAsiaTheme="minorEastAsia" w:cstheme="minorBidi"/>
            <w:bCs w:val="0"/>
            <w:caps w:val="0"/>
            <w:noProof/>
            <w:sz w:val="22"/>
            <w:szCs w:val="22"/>
            <w:lang w:val="en-US"/>
          </w:rPr>
          <w:tab/>
        </w:r>
        <w:r w:rsidR="00423092" w:rsidRPr="0040197A">
          <w:rPr>
            <w:rStyle w:val="Hyperlink"/>
            <w:noProof/>
          </w:rPr>
          <w:t>ANNEXURES</w:t>
        </w:r>
        <w:r w:rsidR="00423092">
          <w:rPr>
            <w:noProof/>
            <w:webHidden/>
          </w:rPr>
          <w:tab/>
        </w:r>
        <w:r>
          <w:rPr>
            <w:noProof/>
            <w:webHidden/>
          </w:rPr>
          <w:fldChar w:fldCharType="begin"/>
        </w:r>
        <w:r w:rsidR="00423092">
          <w:rPr>
            <w:noProof/>
            <w:webHidden/>
          </w:rPr>
          <w:instrText xml:space="preserve"> PAGEREF _Toc457603984 \h </w:instrText>
        </w:r>
        <w:r>
          <w:rPr>
            <w:noProof/>
            <w:webHidden/>
          </w:rPr>
        </w:r>
        <w:r>
          <w:rPr>
            <w:noProof/>
            <w:webHidden/>
          </w:rPr>
          <w:fldChar w:fldCharType="separate"/>
        </w:r>
        <w:r w:rsidR="00BA08F0">
          <w:rPr>
            <w:noProof/>
            <w:webHidden/>
          </w:rPr>
          <w:t>300</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85" w:history="1">
        <w:r w:rsidR="00423092" w:rsidRPr="0040197A">
          <w:rPr>
            <w:rStyle w:val="Hyperlink"/>
            <w:noProof/>
          </w:rPr>
          <w:t>11.1</w:t>
        </w:r>
        <w:r w:rsidR="00423092">
          <w:rPr>
            <w:rFonts w:eastAsiaTheme="minorEastAsia" w:cstheme="minorBidi"/>
            <w:smallCaps w:val="0"/>
            <w:noProof/>
            <w:sz w:val="22"/>
            <w:szCs w:val="22"/>
            <w:lang w:val="en-US"/>
          </w:rPr>
          <w:tab/>
        </w:r>
        <w:r w:rsidR="00423092" w:rsidRPr="0040197A">
          <w:rPr>
            <w:rStyle w:val="Hyperlink"/>
            <w:noProof/>
          </w:rPr>
          <w:t>COMMISSION FORECAST OF CONSUMPTION PARAMETERS FOR FY 2016-17</w:t>
        </w:r>
        <w:r w:rsidR="00423092">
          <w:rPr>
            <w:noProof/>
            <w:webHidden/>
          </w:rPr>
          <w:tab/>
        </w:r>
        <w:r>
          <w:rPr>
            <w:noProof/>
            <w:webHidden/>
          </w:rPr>
          <w:fldChar w:fldCharType="begin"/>
        </w:r>
        <w:r w:rsidR="00423092">
          <w:rPr>
            <w:noProof/>
            <w:webHidden/>
          </w:rPr>
          <w:instrText xml:space="preserve"> PAGEREF _Toc457603985 \h </w:instrText>
        </w:r>
        <w:r>
          <w:rPr>
            <w:noProof/>
            <w:webHidden/>
          </w:rPr>
        </w:r>
        <w:r>
          <w:rPr>
            <w:noProof/>
            <w:webHidden/>
          </w:rPr>
          <w:fldChar w:fldCharType="separate"/>
        </w:r>
        <w:r w:rsidR="00BA08F0">
          <w:rPr>
            <w:noProof/>
            <w:webHidden/>
          </w:rPr>
          <w:t>300</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86" w:history="1">
        <w:r w:rsidR="00423092" w:rsidRPr="0040197A">
          <w:rPr>
            <w:rStyle w:val="Hyperlink"/>
            <w:noProof/>
          </w:rPr>
          <w:t>11.2</w:t>
        </w:r>
        <w:r w:rsidR="00423092">
          <w:rPr>
            <w:rFonts w:eastAsiaTheme="minorEastAsia" w:cstheme="minorBidi"/>
            <w:smallCaps w:val="0"/>
            <w:noProof/>
            <w:sz w:val="22"/>
            <w:szCs w:val="22"/>
            <w:lang w:val="en-US"/>
          </w:rPr>
          <w:tab/>
        </w:r>
        <w:r w:rsidR="00423092" w:rsidRPr="0040197A">
          <w:rPr>
            <w:rStyle w:val="Hyperlink"/>
            <w:rFonts w:ascii="Calibri" w:hAnsi="Calibri"/>
            <w:noProof/>
          </w:rPr>
          <w:t>RATE SCHEDULE FOR FY 2016-17</w:t>
        </w:r>
        <w:r w:rsidR="00423092">
          <w:rPr>
            <w:noProof/>
            <w:webHidden/>
          </w:rPr>
          <w:tab/>
        </w:r>
        <w:r>
          <w:rPr>
            <w:noProof/>
            <w:webHidden/>
          </w:rPr>
          <w:fldChar w:fldCharType="begin"/>
        </w:r>
        <w:r w:rsidR="00423092">
          <w:rPr>
            <w:noProof/>
            <w:webHidden/>
          </w:rPr>
          <w:instrText xml:space="preserve"> PAGEREF _Toc457603986 \h </w:instrText>
        </w:r>
        <w:r>
          <w:rPr>
            <w:noProof/>
            <w:webHidden/>
          </w:rPr>
        </w:r>
        <w:r>
          <w:rPr>
            <w:noProof/>
            <w:webHidden/>
          </w:rPr>
          <w:fldChar w:fldCharType="separate"/>
        </w:r>
        <w:r w:rsidR="00BA08F0">
          <w:rPr>
            <w:noProof/>
            <w:webHidden/>
          </w:rPr>
          <w:t>310</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87" w:history="1">
        <w:r w:rsidR="00423092" w:rsidRPr="0040197A">
          <w:rPr>
            <w:rStyle w:val="Hyperlink"/>
            <w:noProof/>
          </w:rPr>
          <w:t>11.3</w:t>
        </w:r>
        <w:r w:rsidR="00423092">
          <w:rPr>
            <w:rFonts w:eastAsiaTheme="minorEastAsia" w:cstheme="minorBidi"/>
            <w:smallCaps w:val="0"/>
            <w:noProof/>
            <w:sz w:val="22"/>
            <w:szCs w:val="22"/>
            <w:lang w:val="en-US"/>
          </w:rPr>
          <w:tab/>
        </w:r>
        <w:r w:rsidR="00423092" w:rsidRPr="0040197A">
          <w:rPr>
            <w:rStyle w:val="Hyperlink"/>
            <w:noProof/>
          </w:rPr>
          <w:t>SCHEDULE OF MISCELLANEOUS CHARGES</w:t>
        </w:r>
        <w:r w:rsidR="00423092">
          <w:rPr>
            <w:noProof/>
            <w:webHidden/>
          </w:rPr>
          <w:tab/>
        </w:r>
        <w:r>
          <w:rPr>
            <w:noProof/>
            <w:webHidden/>
          </w:rPr>
          <w:fldChar w:fldCharType="begin"/>
        </w:r>
        <w:r w:rsidR="00423092">
          <w:rPr>
            <w:noProof/>
            <w:webHidden/>
          </w:rPr>
          <w:instrText xml:space="preserve"> PAGEREF _Toc457603987 \h </w:instrText>
        </w:r>
        <w:r>
          <w:rPr>
            <w:noProof/>
            <w:webHidden/>
          </w:rPr>
        </w:r>
        <w:r>
          <w:rPr>
            <w:noProof/>
            <w:webHidden/>
          </w:rPr>
          <w:fldChar w:fldCharType="separate"/>
        </w:r>
        <w:r w:rsidR="00BA08F0">
          <w:rPr>
            <w:noProof/>
            <w:webHidden/>
          </w:rPr>
          <w:t>356</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88" w:history="1">
        <w:r w:rsidR="00423092" w:rsidRPr="0040197A">
          <w:rPr>
            <w:rStyle w:val="Hyperlink"/>
            <w:noProof/>
          </w:rPr>
          <w:t>11.4</w:t>
        </w:r>
        <w:r w:rsidR="00423092">
          <w:rPr>
            <w:rFonts w:eastAsiaTheme="minorEastAsia" w:cstheme="minorBidi"/>
            <w:smallCaps w:val="0"/>
            <w:noProof/>
            <w:sz w:val="22"/>
            <w:szCs w:val="22"/>
            <w:lang w:val="en-US"/>
          </w:rPr>
          <w:tab/>
        </w:r>
        <w:r w:rsidR="00423092" w:rsidRPr="0040197A">
          <w:rPr>
            <w:rStyle w:val="Hyperlink"/>
            <w:noProof/>
          </w:rPr>
          <w:t>LIST OF POWER FACTOR APPARATUS</w:t>
        </w:r>
        <w:r w:rsidR="00423092">
          <w:rPr>
            <w:noProof/>
            <w:webHidden/>
          </w:rPr>
          <w:tab/>
        </w:r>
        <w:r>
          <w:rPr>
            <w:noProof/>
            <w:webHidden/>
          </w:rPr>
          <w:fldChar w:fldCharType="begin"/>
        </w:r>
        <w:r w:rsidR="00423092">
          <w:rPr>
            <w:noProof/>
            <w:webHidden/>
          </w:rPr>
          <w:instrText xml:space="preserve"> PAGEREF _Toc457603988 \h </w:instrText>
        </w:r>
        <w:r>
          <w:rPr>
            <w:noProof/>
            <w:webHidden/>
          </w:rPr>
        </w:r>
        <w:r>
          <w:rPr>
            <w:noProof/>
            <w:webHidden/>
          </w:rPr>
          <w:fldChar w:fldCharType="separate"/>
        </w:r>
        <w:r w:rsidR="00BA08F0">
          <w:rPr>
            <w:noProof/>
            <w:webHidden/>
          </w:rPr>
          <w:t>358</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89" w:history="1">
        <w:r w:rsidR="00423092" w:rsidRPr="0040197A">
          <w:rPr>
            <w:rStyle w:val="Hyperlink"/>
            <w:noProof/>
          </w:rPr>
          <w:t>11.5</w:t>
        </w:r>
        <w:r w:rsidR="00423092">
          <w:rPr>
            <w:rFonts w:eastAsiaTheme="minorEastAsia" w:cstheme="minorBidi"/>
            <w:smallCaps w:val="0"/>
            <w:noProof/>
            <w:sz w:val="22"/>
            <w:szCs w:val="22"/>
            <w:lang w:val="en-US"/>
          </w:rPr>
          <w:tab/>
        </w:r>
        <w:r w:rsidR="00423092" w:rsidRPr="0040197A">
          <w:rPr>
            <w:rStyle w:val="Hyperlink"/>
            <w:noProof/>
          </w:rPr>
          <w:t>LIST OF PERSONS WHO HAVE ATTENDED PUBLIC HEARING AT GREATER NOIDA, LUCKNOW AND ALIGARH IN RESPECT OF PROCEEDINGS FOR ARR &amp; TARIFF DETERMINATION FOR FY 2016-17</w:t>
        </w:r>
        <w:r w:rsidR="00423092">
          <w:rPr>
            <w:noProof/>
            <w:webHidden/>
          </w:rPr>
          <w:tab/>
        </w:r>
        <w:r>
          <w:rPr>
            <w:noProof/>
            <w:webHidden/>
          </w:rPr>
          <w:fldChar w:fldCharType="begin"/>
        </w:r>
        <w:r w:rsidR="00423092">
          <w:rPr>
            <w:noProof/>
            <w:webHidden/>
          </w:rPr>
          <w:instrText xml:space="preserve"> PAGEREF _Toc457603989 \h </w:instrText>
        </w:r>
        <w:r>
          <w:rPr>
            <w:noProof/>
            <w:webHidden/>
          </w:rPr>
        </w:r>
        <w:r>
          <w:rPr>
            <w:noProof/>
            <w:webHidden/>
          </w:rPr>
          <w:fldChar w:fldCharType="separate"/>
        </w:r>
        <w:r w:rsidR="00BA08F0">
          <w:rPr>
            <w:noProof/>
            <w:webHidden/>
          </w:rPr>
          <w:t>360</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90" w:history="1">
        <w:r w:rsidR="00423092" w:rsidRPr="0040197A">
          <w:rPr>
            <w:rStyle w:val="Hyperlink"/>
            <w:noProof/>
          </w:rPr>
          <w:t>11.6</w:t>
        </w:r>
        <w:r w:rsidR="00423092">
          <w:rPr>
            <w:rFonts w:eastAsiaTheme="minorEastAsia" w:cstheme="minorBidi"/>
            <w:smallCaps w:val="0"/>
            <w:noProof/>
            <w:sz w:val="22"/>
            <w:szCs w:val="22"/>
            <w:lang w:val="en-US"/>
          </w:rPr>
          <w:tab/>
        </w:r>
        <w:r w:rsidR="00423092" w:rsidRPr="0040197A">
          <w:rPr>
            <w:rStyle w:val="Hyperlink"/>
            <w:noProof/>
          </w:rPr>
          <w:t>FUEL AND POWER PURCHASE COST ADJUSTMENT SURCHARGE</w:t>
        </w:r>
        <w:r w:rsidR="00423092">
          <w:rPr>
            <w:noProof/>
            <w:webHidden/>
          </w:rPr>
          <w:tab/>
        </w:r>
        <w:r>
          <w:rPr>
            <w:noProof/>
            <w:webHidden/>
          </w:rPr>
          <w:fldChar w:fldCharType="begin"/>
        </w:r>
        <w:r w:rsidR="00423092">
          <w:rPr>
            <w:noProof/>
            <w:webHidden/>
          </w:rPr>
          <w:instrText xml:space="preserve"> PAGEREF _Toc457603990 \h </w:instrText>
        </w:r>
        <w:r>
          <w:rPr>
            <w:noProof/>
            <w:webHidden/>
          </w:rPr>
        </w:r>
        <w:r>
          <w:rPr>
            <w:noProof/>
            <w:webHidden/>
          </w:rPr>
          <w:fldChar w:fldCharType="separate"/>
        </w:r>
        <w:r w:rsidR="00BA08F0">
          <w:rPr>
            <w:noProof/>
            <w:webHidden/>
          </w:rPr>
          <w:t>368</w:t>
        </w:r>
        <w:r>
          <w:rPr>
            <w:noProof/>
            <w:webHidden/>
          </w:rPr>
          <w:fldChar w:fldCharType="end"/>
        </w:r>
      </w:hyperlink>
    </w:p>
    <w:p w:rsidR="00423092" w:rsidRDefault="009741CA">
      <w:pPr>
        <w:pStyle w:val="TOC2"/>
        <w:tabs>
          <w:tab w:val="left" w:pos="960"/>
          <w:tab w:val="right" w:leader="dot" w:pos="9289"/>
        </w:tabs>
        <w:rPr>
          <w:rFonts w:eastAsiaTheme="minorEastAsia" w:cstheme="minorBidi"/>
          <w:smallCaps w:val="0"/>
          <w:noProof/>
          <w:sz w:val="22"/>
          <w:szCs w:val="22"/>
          <w:lang w:val="en-US"/>
        </w:rPr>
      </w:pPr>
      <w:hyperlink w:anchor="_Toc457603991" w:history="1">
        <w:r w:rsidR="00423092" w:rsidRPr="0040197A">
          <w:rPr>
            <w:rStyle w:val="Hyperlink"/>
            <w:noProof/>
          </w:rPr>
          <w:t>11.7</w:t>
        </w:r>
        <w:r w:rsidR="00423092">
          <w:rPr>
            <w:rFonts w:eastAsiaTheme="minorEastAsia" w:cstheme="minorBidi"/>
            <w:smallCaps w:val="0"/>
            <w:noProof/>
            <w:sz w:val="22"/>
            <w:szCs w:val="22"/>
            <w:lang w:val="en-US"/>
          </w:rPr>
          <w:tab/>
        </w:r>
        <w:r w:rsidR="00423092" w:rsidRPr="0040197A">
          <w:rPr>
            <w:rStyle w:val="Hyperlink"/>
            <w:noProof/>
          </w:rPr>
          <w:t>ACTION TAKEN REPORT ON THE DIRECTIONS ISSUED BY THE COMMISSION IN THE ARR / TARIFF ORDER FOR FY 2016-17</w:t>
        </w:r>
        <w:r w:rsidR="00423092">
          <w:rPr>
            <w:noProof/>
            <w:webHidden/>
          </w:rPr>
          <w:tab/>
        </w:r>
        <w:r>
          <w:rPr>
            <w:noProof/>
            <w:webHidden/>
          </w:rPr>
          <w:fldChar w:fldCharType="begin"/>
        </w:r>
        <w:r w:rsidR="00423092">
          <w:rPr>
            <w:noProof/>
            <w:webHidden/>
          </w:rPr>
          <w:instrText xml:space="preserve"> PAGEREF _Toc457603991 \h </w:instrText>
        </w:r>
        <w:r>
          <w:rPr>
            <w:noProof/>
            <w:webHidden/>
          </w:rPr>
        </w:r>
        <w:r>
          <w:rPr>
            <w:noProof/>
            <w:webHidden/>
          </w:rPr>
          <w:fldChar w:fldCharType="separate"/>
        </w:r>
        <w:r w:rsidR="00BA08F0">
          <w:rPr>
            <w:noProof/>
            <w:webHidden/>
          </w:rPr>
          <w:t>371</w:t>
        </w:r>
        <w:r>
          <w:rPr>
            <w:noProof/>
            <w:webHidden/>
          </w:rPr>
          <w:fldChar w:fldCharType="end"/>
        </w:r>
      </w:hyperlink>
    </w:p>
    <w:p w:rsidR="00C25F67" w:rsidRPr="004073C9" w:rsidRDefault="009741CA" w:rsidP="00C60AD1">
      <w:pPr>
        <w:pStyle w:val="TOC2"/>
        <w:tabs>
          <w:tab w:val="left" w:pos="960"/>
          <w:tab w:val="right" w:leader="dot" w:pos="8659"/>
        </w:tabs>
      </w:pPr>
      <w:r w:rsidRPr="004073C9">
        <w:rPr>
          <w:caps/>
        </w:rPr>
        <w:fldChar w:fldCharType="end"/>
      </w:r>
      <w:r w:rsidR="00C25F67" w:rsidRPr="004073C9">
        <w:br w:type="page"/>
      </w:r>
    </w:p>
    <w:p w:rsidR="00C25F67" w:rsidRPr="004073C9" w:rsidRDefault="006E2230" w:rsidP="00C60AD1">
      <w:pPr>
        <w:jc w:val="center"/>
        <w:rPr>
          <w:rFonts w:asciiTheme="minorHAnsi" w:hAnsiTheme="minorHAnsi" w:cstheme="minorHAnsi"/>
          <w:u w:val="single"/>
        </w:rPr>
      </w:pPr>
      <w:r w:rsidRPr="004073C9">
        <w:rPr>
          <w:rFonts w:asciiTheme="minorHAnsi" w:hAnsiTheme="minorHAnsi" w:cstheme="minorHAnsi"/>
          <w:sz w:val="28"/>
          <w:u w:val="single"/>
        </w:rPr>
        <w:lastRenderedPageBreak/>
        <w:t>LIST OF TABLES</w:t>
      </w:r>
    </w:p>
    <w:p w:rsidR="00423092" w:rsidRPr="00423092" w:rsidRDefault="009741CA">
      <w:pPr>
        <w:pStyle w:val="TableofFigures"/>
        <w:tabs>
          <w:tab w:val="right" w:leader="dot" w:pos="9289"/>
        </w:tabs>
        <w:rPr>
          <w:rFonts w:eastAsiaTheme="minorEastAsia" w:cstheme="minorBidi"/>
          <w:smallCaps w:val="0"/>
          <w:noProof/>
          <w:sz w:val="22"/>
          <w:szCs w:val="22"/>
          <w:lang w:val="en-US"/>
        </w:rPr>
      </w:pPr>
      <w:r w:rsidRPr="009741CA">
        <w:rPr>
          <w:rFonts w:ascii="Calibri" w:hAnsi="Calibri" w:cs="Times New Roman"/>
          <w:caps/>
        </w:rPr>
        <w:fldChar w:fldCharType="begin"/>
      </w:r>
      <w:r w:rsidR="0022393E" w:rsidRPr="00423092">
        <w:rPr>
          <w:caps/>
        </w:rPr>
        <w:instrText xml:space="preserve"> TOC \h \z \c "Table" </w:instrText>
      </w:r>
      <w:r w:rsidRPr="009741CA">
        <w:rPr>
          <w:rFonts w:ascii="Calibri" w:hAnsi="Calibri" w:cs="Times New Roman"/>
          <w:caps/>
        </w:rPr>
        <w:fldChar w:fldCharType="separate"/>
      </w:r>
      <w:hyperlink w:anchor="_Toc457603992" w:history="1">
        <w:r w:rsidR="00423092" w:rsidRPr="00423092">
          <w:rPr>
            <w:rStyle w:val="Hyperlink"/>
            <w:noProof/>
            <w:lang w:val="en-US"/>
          </w:rPr>
          <w:t>Table 3</w:t>
        </w:r>
        <w:r w:rsidR="00423092" w:rsidRPr="00423092">
          <w:rPr>
            <w:rStyle w:val="Hyperlink"/>
            <w:noProof/>
            <w:lang w:val="en-US"/>
          </w:rPr>
          <w:noBreakHyphen/>
          <w:t>1: SCHEDULE OF PUBLIC HEARING AT VARIOUS LOCATIONS OF THE STATE</w:t>
        </w:r>
        <w:r w:rsidR="00423092" w:rsidRPr="00423092">
          <w:rPr>
            <w:noProof/>
            <w:webHidden/>
          </w:rPr>
          <w:tab/>
        </w:r>
        <w:r w:rsidRPr="00423092">
          <w:rPr>
            <w:noProof/>
            <w:webHidden/>
          </w:rPr>
          <w:fldChar w:fldCharType="begin"/>
        </w:r>
        <w:r w:rsidR="00423092" w:rsidRPr="00423092">
          <w:rPr>
            <w:noProof/>
            <w:webHidden/>
          </w:rPr>
          <w:instrText xml:space="preserve"> PAGEREF _Toc457603992 \h </w:instrText>
        </w:r>
        <w:r w:rsidRPr="00423092">
          <w:rPr>
            <w:noProof/>
            <w:webHidden/>
          </w:rPr>
        </w:r>
        <w:r w:rsidRPr="00423092">
          <w:rPr>
            <w:noProof/>
            <w:webHidden/>
          </w:rPr>
          <w:fldChar w:fldCharType="separate"/>
        </w:r>
        <w:r w:rsidR="00BA08F0">
          <w:rPr>
            <w:noProof/>
            <w:webHidden/>
          </w:rPr>
          <w:t>18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3993" w:history="1">
        <w:r w:rsidR="00423092" w:rsidRPr="00423092">
          <w:rPr>
            <w:rStyle w:val="Hyperlink"/>
            <w:rFonts w:cs="Calibri"/>
            <w:noProof/>
            <w:lang w:val="en-US"/>
          </w:rPr>
          <w:t>Table 4</w:t>
        </w:r>
        <w:r w:rsidR="00423092" w:rsidRPr="00423092">
          <w:rPr>
            <w:rStyle w:val="Hyperlink"/>
            <w:rFonts w:cs="Calibri"/>
            <w:noProof/>
            <w:lang w:val="en-US"/>
          </w:rPr>
          <w:noBreakHyphen/>
          <w:t>1: BULK SUPPLY TARIFF AS COMPUTED BY THE PETITIONER FOR FY 2013-14</w:t>
        </w:r>
        <w:r w:rsidR="00423092" w:rsidRPr="00423092">
          <w:rPr>
            <w:noProof/>
            <w:webHidden/>
          </w:rPr>
          <w:tab/>
        </w:r>
        <w:r w:rsidRPr="00423092">
          <w:rPr>
            <w:noProof/>
            <w:webHidden/>
          </w:rPr>
          <w:fldChar w:fldCharType="begin"/>
        </w:r>
        <w:r w:rsidR="00423092" w:rsidRPr="00423092">
          <w:rPr>
            <w:noProof/>
            <w:webHidden/>
          </w:rPr>
          <w:instrText xml:space="preserve"> PAGEREF _Toc457603993 \h </w:instrText>
        </w:r>
        <w:r w:rsidRPr="00423092">
          <w:rPr>
            <w:noProof/>
            <w:webHidden/>
          </w:rPr>
        </w:r>
        <w:r w:rsidRPr="00423092">
          <w:rPr>
            <w:noProof/>
            <w:webHidden/>
          </w:rPr>
          <w:fldChar w:fldCharType="separate"/>
        </w:r>
        <w:r w:rsidR="00BA08F0">
          <w:rPr>
            <w:noProof/>
            <w:webHidden/>
          </w:rPr>
          <w:t>85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3994" w:history="1">
        <w:r w:rsidR="00423092" w:rsidRPr="00423092">
          <w:rPr>
            <w:rStyle w:val="Hyperlink"/>
            <w:rFonts w:cs="Calibri"/>
            <w:noProof/>
            <w:lang w:val="en-US"/>
          </w:rPr>
          <w:t>Table 4</w:t>
        </w:r>
        <w:r w:rsidR="00423092" w:rsidRPr="00423092">
          <w:rPr>
            <w:rStyle w:val="Hyperlink"/>
            <w:rFonts w:cs="Calibri"/>
            <w:noProof/>
            <w:lang w:val="en-US"/>
          </w:rPr>
          <w:noBreakHyphen/>
          <w:t>2: DETAILS OF POWER PURCHASE COST AND PGCIL CHARGES SUBMITTED BY THE PETITIONER FOR FY 2013-14</w:t>
        </w:r>
        <w:r w:rsidR="00423092" w:rsidRPr="00423092">
          <w:rPr>
            <w:noProof/>
            <w:webHidden/>
          </w:rPr>
          <w:tab/>
        </w:r>
        <w:r w:rsidRPr="00423092">
          <w:rPr>
            <w:noProof/>
            <w:webHidden/>
          </w:rPr>
          <w:fldChar w:fldCharType="begin"/>
        </w:r>
        <w:r w:rsidR="00423092" w:rsidRPr="00423092">
          <w:rPr>
            <w:noProof/>
            <w:webHidden/>
          </w:rPr>
          <w:instrText xml:space="preserve"> PAGEREF _Toc457603994 \h </w:instrText>
        </w:r>
        <w:r w:rsidRPr="00423092">
          <w:rPr>
            <w:noProof/>
            <w:webHidden/>
          </w:rPr>
        </w:r>
        <w:r w:rsidRPr="00423092">
          <w:rPr>
            <w:noProof/>
            <w:webHidden/>
          </w:rPr>
          <w:fldChar w:fldCharType="separate"/>
        </w:r>
        <w:r w:rsidR="00BA08F0">
          <w:rPr>
            <w:noProof/>
            <w:webHidden/>
          </w:rPr>
          <w:t>86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3995" w:history="1">
        <w:r w:rsidR="00423092" w:rsidRPr="00423092">
          <w:rPr>
            <w:rStyle w:val="Hyperlink"/>
            <w:noProof/>
            <w:lang w:val="en-US"/>
          </w:rPr>
          <w:t>Table 4</w:t>
        </w:r>
        <w:r w:rsidR="00423092" w:rsidRPr="00423092">
          <w:rPr>
            <w:rStyle w:val="Hyperlink"/>
            <w:noProof/>
            <w:lang w:val="en-US"/>
          </w:rPr>
          <w:noBreakHyphen/>
          <w:t>3: POWER PURCHASE COST AS COMPUTED BY PETITIONER FOR FY 2013-14</w:t>
        </w:r>
        <w:r w:rsidR="00423092" w:rsidRPr="00423092">
          <w:rPr>
            <w:noProof/>
            <w:webHidden/>
          </w:rPr>
          <w:tab/>
        </w:r>
        <w:r w:rsidRPr="00423092">
          <w:rPr>
            <w:noProof/>
            <w:webHidden/>
          </w:rPr>
          <w:fldChar w:fldCharType="begin"/>
        </w:r>
        <w:r w:rsidR="00423092" w:rsidRPr="00423092">
          <w:rPr>
            <w:noProof/>
            <w:webHidden/>
          </w:rPr>
          <w:instrText xml:space="preserve"> PAGEREF _Toc457603995 \h </w:instrText>
        </w:r>
        <w:r w:rsidRPr="00423092">
          <w:rPr>
            <w:noProof/>
            <w:webHidden/>
          </w:rPr>
        </w:r>
        <w:r w:rsidRPr="00423092">
          <w:rPr>
            <w:noProof/>
            <w:webHidden/>
          </w:rPr>
          <w:fldChar w:fldCharType="separate"/>
        </w:r>
        <w:r w:rsidR="00BA08F0">
          <w:rPr>
            <w:noProof/>
            <w:webHidden/>
          </w:rPr>
          <w:t>86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3996" w:history="1">
        <w:r w:rsidR="00423092" w:rsidRPr="00423092">
          <w:rPr>
            <w:rStyle w:val="Hyperlink"/>
            <w:noProof/>
            <w:lang w:val="en-US"/>
          </w:rPr>
          <w:t>Table 4</w:t>
        </w:r>
        <w:r w:rsidR="00423092" w:rsidRPr="00423092">
          <w:rPr>
            <w:rStyle w:val="Hyperlink"/>
            <w:noProof/>
            <w:lang w:val="en-US"/>
          </w:rPr>
          <w:noBreakHyphen/>
          <w:t>4:   COMPUTATION OF O&amp;M EXPENSES OF UPPCL AS SUBMITTED BY PETITIONER FOR FY 2013-14</w:t>
        </w:r>
        <w:r w:rsidR="00423092" w:rsidRPr="00423092">
          <w:rPr>
            <w:noProof/>
            <w:webHidden/>
          </w:rPr>
          <w:tab/>
        </w:r>
        <w:r w:rsidRPr="00423092">
          <w:rPr>
            <w:noProof/>
            <w:webHidden/>
          </w:rPr>
          <w:fldChar w:fldCharType="begin"/>
        </w:r>
        <w:r w:rsidR="00423092" w:rsidRPr="00423092">
          <w:rPr>
            <w:noProof/>
            <w:webHidden/>
          </w:rPr>
          <w:instrText xml:space="preserve"> PAGEREF _Toc457603996 \h </w:instrText>
        </w:r>
        <w:r w:rsidRPr="00423092">
          <w:rPr>
            <w:noProof/>
            <w:webHidden/>
          </w:rPr>
        </w:r>
        <w:r w:rsidRPr="00423092">
          <w:rPr>
            <w:noProof/>
            <w:webHidden/>
          </w:rPr>
          <w:fldChar w:fldCharType="separate"/>
        </w:r>
        <w:r w:rsidR="00BA08F0">
          <w:rPr>
            <w:noProof/>
            <w:webHidden/>
          </w:rPr>
          <w:t>88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3997" w:history="1">
        <w:r w:rsidR="00423092" w:rsidRPr="00423092">
          <w:rPr>
            <w:rStyle w:val="Hyperlink"/>
            <w:noProof/>
            <w:lang w:val="en-US"/>
          </w:rPr>
          <w:t>Table 4</w:t>
        </w:r>
        <w:r w:rsidR="00423092" w:rsidRPr="00423092">
          <w:rPr>
            <w:rStyle w:val="Hyperlink"/>
            <w:noProof/>
            <w:lang w:val="en-US"/>
          </w:rPr>
          <w:noBreakHyphen/>
          <w:t>5: ALLOCATION OF O&amp;M EXPENSES IN THE RATIO OF INPUT ENERGY AS SUBMITTED BY PETITIONER FOR FY 2013-14</w:t>
        </w:r>
        <w:r w:rsidR="00423092" w:rsidRPr="00423092">
          <w:rPr>
            <w:noProof/>
            <w:webHidden/>
          </w:rPr>
          <w:tab/>
        </w:r>
        <w:r w:rsidRPr="00423092">
          <w:rPr>
            <w:noProof/>
            <w:webHidden/>
          </w:rPr>
          <w:fldChar w:fldCharType="begin"/>
        </w:r>
        <w:r w:rsidR="00423092" w:rsidRPr="00423092">
          <w:rPr>
            <w:noProof/>
            <w:webHidden/>
          </w:rPr>
          <w:instrText xml:space="preserve"> PAGEREF _Toc457603997 \h </w:instrText>
        </w:r>
        <w:r w:rsidRPr="00423092">
          <w:rPr>
            <w:noProof/>
            <w:webHidden/>
          </w:rPr>
        </w:r>
        <w:r w:rsidRPr="00423092">
          <w:rPr>
            <w:noProof/>
            <w:webHidden/>
          </w:rPr>
          <w:fldChar w:fldCharType="separate"/>
        </w:r>
        <w:r w:rsidR="00BA08F0">
          <w:rPr>
            <w:noProof/>
            <w:webHidden/>
          </w:rPr>
          <w:t>88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3998" w:history="1">
        <w:r w:rsidR="00423092" w:rsidRPr="00423092">
          <w:rPr>
            <w:rStyle w:val="Hyperlink"/>
            <w:noProof/>
            <w:lang w:val="en-US"/>
          </w:rPr>
          <w:t>Table 4</w:t>
        </w:r>
        <w:r w:rsidR="00423092" w:rsidRPr="00423092">
          <w:rPr>
            <w:rStyle w:val="Hyperlink"/>
            <w:noProof/>
            <w:lang w:val="en-US"/>
          </w:rPr>
          <w:noBreakHyphen/>
          <w:t>6: ENERGY BALANCE AND BULK SUPPLY TARIFF APPROVED FOR FY 2013-14</w:t>
        </w:r>
        <w:r w:rsidR="00423092" w:rsidRPr="00423092">
          <w:rPr>
            <w:noProof/>
            <w:webHidden/>
          </w:rPr>
          <w:tab/>
        </w:r>
        <w:r w:rsidRPr="00423092">
          <w:rPr>
            <w:noProof/>
            <w:webHidden/>
          </w:rPr>
          <w:fldChar w:fldCharType="begin"/>
        </w:r>
        <w:r w:rsidR="00423092" w:rsidRPr="00423092">
          <w:rPr>
            <w:noProof/>
            <w:webHidden/>
          </w:rPr>
          <w:instrText xml:space="preserve"> PAGEREF _Toc457603998 \h </w:instrText>
        </w:r>
        <w:r w:rsidRPr="00423092">
          <w:rPr>
            <w:noProof/>
            <w:webHidden/>
          </w:rPr>
        </w:r>
        <w:r w:rsidRPr="00423092">
          <w:rPr>
            <w:noProof/>
            <w:webHidden/>
          </w:rPr>
          <w:fldChar w:fldCharType="separate"/>
        </w:r>
        <w:r w:rsidR="00BA08F0">
          <w:rPr>
            <w:noProof/>
            <w:webHidden/>
          </w:rPr>
          <w:t>89</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3999" w:history="1">
        <w:r w:rsidR="00423092" w:rsidRPr="00423092">
          <w:rPr>
            <w:rStyle w:val="Hyperlink"/>
            <w:noProof/>
            <w:lang w:val="en-US"/>
          </w:rPr>
          <w:t>Table 4</w:t>
        </w:r>
        <w:r w:rsidR="00423092" w:rsidRPr="00423092">
          <w:rPr>
            <w:rStyle w:val="Hyperlink"/>
            <w:noProof/>
            <w:lang w:val="en-US"/>
          </w:rPr>
          <w:noBreakHyphen/>
          <w:t>7: ALLOWABLE POWER PURCHASE COST FOR FY 2013-14</w:t>
        </w:r>
        <w:r w:rsidR="00423092" w:rsidRPr="00423092">
          <w:rPr>
            <w:noProof/>
            <w:webHidden/>
          </w:rPr>
          <w:tab/>
        </w:r>
        <w:r w:rsidRPr="00423092">
          <w:rPr>
            <w:noProof/>
            <w:webHidden/>
          </w:rPr>
          <w:fldChar w:fldCharType="begin"/>
        </w:r>
        <w:r w:rsidR="00423092" w:rsidRPr="00423092">
          <w:rPr>
            <w:noProof/>
            <w:webHidden/>
          </w:rPr>
          <w:instrText xml:space="preserve"> PAGEREF _Toc457603999 \h </w:instrText>
        </w:r>
        <w:r w:rsidRPr="00423092">
          <w:rPr>
            <w:noProof/>
            <w:webHidden/>
          </w:rPr>
        </w:r>
        <w:r w:rsidRPr="00423092">
          <w:rPr>
            <w:noProof/>
            <w:webHidden/>
          </w:rPr>
          <w:fldChar w:fldCharType="separate"/>
        </w:r>
        <w:r w:rsidR="00BA08F0">
          <w:rPr>
            <w:noProof/>
            <w:webHidden/>
          </w:rPr>
          <w:t>90</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00" w:history="1">
        <w:r w:rsidR="00423092" w:rsidRPr="00423092">
          <w:rPr>
            <w:rStyle w:val="Hyperlink"/>
            <w:rFonts w:cs="Calibri"/>
            <w:noProof/>
            <w:lang w:val="en-US"/>
          </w:rPr>
          <w:t>Table 4</w:t>
        </w:r>
        <w:r w:rsidR="00423092" w:rsidRPr="00423092">
          <w:rPr>
            <w:rStyle w:val="Hyperlink"/>
            <w:rFonts w:cs="Calibri"/>
            <w:noProof/>
            <w:lang w:val="en-US"/>
          </w:rPr>
          <w:noBreakHyphen/>
          <w:t>8: ALLOWABLE TRANSMISSION CHARGES FOR FY 2013-14</w:t>
        </w:r>
        <w:r w:rsidR="00423092" w:rsidRPr="00423092">
          <w:rPr>
            <w:noProof/>
            <w:webHidden/>
          </w:rPr>
          <w:tab/>
        </w:r>
        <w:r w:rsidRPr="00423092">
          <w:rPr>
            <w:noProof/>
            <w:webHidden/>
          </w:rPr>
          <w:fldChar w:fldCharType="begin"/>
        </w:r>
        <w:r w:rsidR="00423092" w:rsidRPr="00423092">
          <w:rPr>
            <w:noProof/>
            <w:webHidden/>
          </w:rPr>
          <w:instrText xml:space="preserve"> PAGEREF _Toc457604000 \h </w:instrText>
        </w:r>
        <w:r w:rsidRPr="00423092">
          <w:rPr>
            <w:noProof/>
            <w:webHidden/>
          </w:rPr>
        </w:r>
        <w:r w:rsidRPr="00423092">
          <w:rPr>
            <w:noProof/>
            <w:webHidden/>
          </w:rPr>
          <w:fldChar w:fldCharType="separate"/>
        </w:r>
        <w:r w:rsidR="00BA08F0">
          <w:rPr>
            <w:noProof/>
            <w:webHidden/>
          </w:rPr>
          <w:t>91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01" w:history="1">
        <w:r w:rsidR="00423092" w:rsidRPr="00423092">
          <w:rPr>
            <w:rStyle w:val="Hyperlink"/>
            <w:rFonts w:cs="Calibri"/>
            <w:noProof/>
            <w:lang w:val="en-US"/>
          </w:rPr>
          <w:t>TABLE 4</w:t>
        </w:r>
        <w:r w:rsidR="00423092" w:rsidRPr="00423092">
          <w:rPr>
            <w:rStyle w:val="Hyperlink"/>
            <w:rFonts w:cs="Calibri"/>
            <w:noProof/>
            <w:lang w:val="en-US"/>
          </w:rPr>
          <w:noBreakHyphen/>
          <w:t>9: ESCALATION INDEX</w:t>
        </w:r>
        <w:r w:rsidR="00423092" w:rsidRPr="00423092">
          <w:rPr>
            <w:noProof/>
            <w:webHidden/>
          </w:rPr>
          <w:tab/>
        </w:r>
        <w:r w:rsidRPr="00423092">
          <w:rPr>
            <w:noProof/>
            <w:webHidden/>
          </w:rPr>
          <w:fldChar w:fldCharType="begin"/>
        </w:r>
        <w:r w:rsidR="00423092" w:rsidRPr="00423092">
          <w:rPr>
            <w:noProof/>
            <w:webHidden/>
          </w:rPr>
          <w:instrText xml:space="preserve"> PAGEREF _Toc457604001 \h </w:instrText>
        </w:r>
        <w:r w:rsidRPr="00423092">
          <w:rPr>
            <w:noProof/>
            <w:webHidden/>
          </w:rPr>
        </w:r>
        <w:r w:rsidRPr="00423092">
          <w:rPr>
            <w:noProof/>
            <w:webHidden/>
          </w:rPr>
          <w:fldChar w:fldCharType="separate"/>
        </w:r>
        <w:r w:rsidR="00BA08F0">
          <w:rPr>
            <w:noProof/>
            <w:webHidden/>
          </w:rPr>
          <w:t>93</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02" w:history="1">
        <w:r w:rsidR="00423092" w:rsidRPr="00423092">
          <w:rPr>
            <w:rStyle w:val="Hyperlink"/>
            <w:rFonts w:cs="Calibri"/>
            <w:noProof/>
            <w:lang w:val="en-US"/>
          </w:rPr>
          <w:t>Table 4</w:t>
        </w:r>
        <w:r w:rsidR="00423092" w:rsidRPr="00423092">
          <w:rPr>
            <w:rStyle w:val="Hyperlink"/>
            <w:rFonts w:cs="Calibri"/>
            <w:noProof/>
            <w:lang w:val="en-US"/>
          </w:rPr>
          <w:noBreakHyphen/>
          <w:t>10: O&amp;M EXPENSES AS APPROVED BY THE COMMISSION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_Toc457604002 \h </w:instrText>
        </w:r>
        <w:r w:rsidRPr="00423092">
          <w:rPr>
            <w:noProof/>
            <w:webHidden/>
          </w:rPr>
        </w:r>
        <w:r w:rsidRPr="00423092">
          <w:rPr>
            <w:noProof/>
            <w:webHidden/>
          </w:rPr>
          <w:fldChar w:fldCharType="separate"/>
        </w:r>
        <w:r w:rsidR="00BA08F0">
          <w:rPr>
            <w:noProof/>
            <w:webHidden/>
          </w:rPr>
          <w:t>95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03" w:history="1">
        <w:r w:rsidR="00423092" w:rsidRPr="00423092">
          <w:rPr>
            <w:rStyle w:val="Hyperlink"/>
            <w:rFonts w:cs="Calibri"/>
            <w:noProof/>
            <w:lang w:val="en-US"/>
          </w:rPr>
          <w:t>Table 4</w:t>
        </w:r>
        <w:r w:rsidR="00423092" w:rsidRPr="00423092">
          <w:rPr>
            <w:rStyle w:val="Hyperlink"/>
            <w:rFonts w:cs="Calibri"/>
            <w:noProof/>
            <w:lang w:val="en-US"/>
          </w:rPr>
          <w:noBreakHyphen/>
          <w:t>11: CAPITAL INVESTMENTS IN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_Toc457604003 \h </w:instrText>
        </w:r>
        <w:r w:rsidRPr="00423092">
          <w:rPr>
            <w:noProof/>
            <w:webHidden/>
          </w:rPr>
        </w:r>
        <w:r w:rsidRPr="00423092">
          <w:rPr>
            <w:noProof/>
            <w:webHidden/>
          </w:rPr>
          <w:fldChar w:fldCharType="separate"/>
        </w:r>
        <w:r w:rsidR="00BA08F0">
          <w:rPr>
            <w:noProof/>
            <w:webHidden/>
          </w:rPr>
          <w:t>96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04" w:history="1">
        <w:r w:rsidR="00423092" w:rsidRPr="00423092">
          <w:rPr>
            <w:rStyle w:val="Hyperlink"/>
            <w:rFonts w:cs="Calibri"/>
            <w:noProof/>
            <w:lang w:val="en-US"/>
          </w:rPr>
          <w:t>Table 4</w:t>
        </w:r>
        <w:r w:rsidR="00423092" w:rsidRPr="00423092">
          <w:rPr>
            <w:rStyle w:val="Hyperlink"/>
            <w:rFonts w:cs="Calibri"/>
            <w:noProof/>
            <w:lang w:val="en-US"/>
          </w:rPr>
          <w:noBreakHyphen/>
          <w:t>12: CONSUMER CONTRIBUTIONS, CAPITAL GRANTS AND SUBSIDIES RECEIVED AS ALLOWED BY THE COMMISSION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_Toc457604004 \h </w:instrText>
        </w:r>
        <w:r w:rsidRPr="00423092">
          <w:rPr>
            <w:noProof/>
            <w:webHidden/>
          </w:rPr>
        </w:r>
        <w:r w:rsidRPr="00423092">
          <w:rPr>
            <w:noProof/>
            <w:webHidden/>
          </w:rPr>
          <w:fldChar w:fldCharType="separate"/>
        </w:r>
        <w:r w:rsidR="00BA08F0">
          <w:rPr>
            <w:noProof/>
            <w:webHidden/>
          </w:rPr>
          <w:t>97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05" w:history="1">
        <w:r w:rsidR="00423092" w:rsidRPr="00423092">
          <w:rPr>
            <w:rStyle w:val="Hyperlink"/>
            <w:rFonts w:cs="Calibri"/>
            <w:noProof/>
            <w:lang w:val="en-US"/>
          </w:rPr>
          <w:t>Table 4</w:t>
        </w:r>
        <w:r w:rsidR="00423092" w:rsidRPr="00423092">
          <w:rPr>
            <w:rStyle w:val="Hyperlink"/>
            <w:rFonts w:cs="Calibri"/>
            <w:noProof/>
            <w:lang w:val="en-US"/>
          </w:rPr>
          <w:noBreakHyphen/>
          <w:t>13: FINANCING OF THE CAPITAL INVESTMENTS AS APPROVED BY THE COMMISSION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_Toc457604005 \h </w:instrText>
        </w:r>
        <w:r w:rsidRPr="00423092">
          <w:rPr>
            <w:noProof/>
            <w:webHidden/>
          </w:rPr>
        </w:r>
        <w:r w:rsidRPr="00423092">
          <w:rPr>
            <w:noProof/>
            <w:webHidden/>
          </w:rPr>
          <w:fldChar w:fldCharType="separate"/>
        </w:r>
        <w:r w:rsidR="00BA08F0">
          <w:rPr>
            <w:noProof/>
            <w:webHidden/>
          </w:rPr>
          <w:t>97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06" w:history="1">
        <w:r w:rsidR="00423092" w:rsidRPr="00423092">
          <w:rPr>
            <w:rStyle w:val="Hyperlink"/>
            <w:rFonts w:cs="Calibri"/>
            <w:noProof/>
            <w:lang w:val="en-US"/>
          </w:rPr>
          <w:t>Table 4</w:t>
        </w:r>
        <w:r w:rsidR="00423092" w:rsidRPr="00423092">
          <w:rPr>
            <w:rStyle w:val="Hyperlink"/>
            <w:rFonts w:cs="Calibri"/>
            <w:noProof/>
            <w:lang w:val="en-US"/>
          </w:rPr>
          <w:noBreakHyphen/>
          <w:t>14: INTEREST ON LONG TERM LOAN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_Toc457604006 \h </w:instrText>
        </w:r>
        <w:r w:rsidRPr="00423092">
          <w:rPr>
            <w:noProof/>
            <w:webHidden/>
          </w:rPr>
        </w:r>
        <w:r w:rsidRPr="00423092">
          <w:rPr>
            <w:noProof/>
            <w:webHidden/>
          </w:rPr>
          <w:fldChar w:fldCharType="separate"/>
        </w:r>
        <w:r w:rsidR="00BA08F0">
          <w:rPr>
            <w:noProof/>
            <w:webHidden/>
          </w:rPr>
          <w:t>98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07" w:history="1">
        <w:r w:rsidR="00423092" w:rsidRPr="00423092">
          <w:rPr>
            <w:rStyle w:val="Hyperlink"/>
            <w:rFonts w:cs="Calibri"/>
            <w:noProof/>
            <w:lang w:val="en-US"/>
          </w:rPr>
          <w:t>Table 4</w:t>
        </w:r>
        <w:r w:rsidR="00423092" w:rsidRPr="00423092">
          <w:rPr>
            <w:rStyle w:val="Hyperlink"/>
            <w:rFonts w:cs="Calibri"/>
            <w:noProof/>
            <w:lang w:val="en-US"/>
          </w:rPr>
          <w:noBreakHyphen/>
          <w:t>15: ALLOWABLE FINANCE CHARGES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_Toc457604007 \h </w:instrText>
        </w:r>
        <w:r w:rsidRPr="00423092">
          <w:rPr>
            <w:noProof/>
            <w:webHidden/>
          </w:rPr>
        </w:r>
        <w:r w:rsidRPr="00423092">
          <w:rPr>
            <w:noProof/>
            <w:webHidden/>
          </w:rPr>
          <w:fldChar w:fldCharType="separate"/>
        </w:r>
        <w:r w:rsidR="00BA08F0">
          <w:rPr>
            <w:noProof/>
            <w:webHidden/>
          </w:rPr>
          <w:t>99</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08" w:history="1">
        <w:r w:rsidR="00423092" w:rsidRPr="00423092">
          <w:rPr>
            <w:rStyle w:val="Hyperlink"/>
            <w:rFonts w:cs="Calibri"/>
            <w:noProof/>
            <w:lang w:val="en-US"/>
          </w:rPr>
          <w:t>Table 4</w:t>
        </w:r>
        <w:r w:rsidR="00423092" w:rsidRPr="00423092">
          <w:rPr>
            <w:rStyle w:val="Hyperlink"/>
            <w:rFonts w:cs="Calibri"/>
            <w:noProof/>
            <w:lang w:val="en-US"/>
          </w:rPr>
          <w:noBreakHyphen/>
          <w:t>16: INTEREST ON WORKING CAPITAL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_Toc457604008 \h </w:instrText>
        </w:r>
        <w:r w:rsidRPr="00423092">
          <w:rPr>
            <w:noProof/>
            <w:webHidden/>
          </w:rPr>
        </w:r>
        <w:r w:rsidRPr="00423092">
          <w:rPr>
            <w:noProof/>
            <w:webHidden/>
          </w:rPr>
          <w:fldChar w:fldCharType="separate"/>
        </w:r>
        <w:r w:rsidR="00BA08F0">
          <w:rPr>
            <w:noProof/>
            <w:webHidden/>
          </w:rPr>
          <w:t>100</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09" w:history="1">
        <w:r w:rsidR="00423092" w:rsidRPr="00423092">
          <w:rPr>
            <w:rStyle w:val="Hyperlink"/>
            <w:rFonts w:cs="Calibri"/>
            <w:noProof/>
            <w:lang w:val="en-US"/>
          </w:rPr>
          <w:t>Table 4</w:t>
        </w:r>
        <w:r w:rsidR="00423092" w:rsidRPr="00423092">
          <w:rPr>
            <w:rStyle w:val="Hyperlink"/>
            <w:rFonts w:cs="Calibri"/>
            <w:noProof/>
            <w:lang w:val="en-US"/>
          </w:rPr>
          <w:noBreakHyphen/>
          <w:t>17: ALLOWABLE INTEREST AND FINANCE CHARGES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_Toc457604009 \h </w:instrText>
        </w:r>
        <w:r w:rsidRPr="00423092">
          <w:rPr>
            <w:noProof/>
            <w:webHidden/>
          </w:rPr>
        </w:r>
        <w:r w:rsidRPr="00423092">
          <w:rPr>
            <w:noProof/>
            <w:webHidden/>
          </w:rPr>
          <w:fldChar w:fldCharType="separate"/>
        </w:r>
        <w:r w:rsidR="00BA08F0">
          <w:rPr>
            <w:noProof/>
            <w:webHidden/>
          </w:rPr>
          <w:t>101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10" w:history="1">
        <w:r w:rsidR="00423092" w:rsidRPr="00423092">
          <w:rPr>
            <w:rStyle w:val="Hyperlink"/>
            <w:rFonts w:cs="Calibri"/>
            <w:noProof/>
            <w:lang w:val="en-US"/>
          </w:rPr>
          <w:t>Table 4</w:t>
        </w:r>
        <w:r w:rsidR="00423092" w:rsidRPr="00423092">
          <w:rPr>
            <w:rStyle w:val="Hyperlink"/>
            <w:rFonts w:cs="Calibri"/>
            <w:noProof/>
            <w:lang w:val="en-US"/>
          </w:rPr>
          <w:noBreakHyphen/>
          <w:t>18: DEPRECIATION CLAIMED BY LICENSEE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_Toc457604010 \h </w:instrText>
        </w:r>
        <w:r w:rsidRPr="00423092">
          <w:rPr>
            <w:noProof/>
            <w:webHidden/>
          </w:rPr>
        </w:r>
        <w:r w:rsidRPr="00423092">
          <w:rPr>
            <w:noProof/>
            <w:webHidden/>
          </w:rPr>
          <w:fldChar w:fldCharType="separate"/>
        </w:r>
        <w:r w:rsidR="00BA08F0">
          <w:rPr>
            <w:noProof/>
            <w:webHidden/>
          </w:rPr>
          <w:t>102</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11" w:history="1">
        <w:r w:rsidR="00423092" w:rsidRPr="00423092">
          <w:rPr>
            <w:rStyle w:val="Hyperlink"/>
            <w:rFonts w:cs="Calibri"/>
            <w:noProof/>
            <w:lang w:val="en-US"/>
          </w:rPr>
          <w:t>Table 4</w:t>
        </w:r>
        <w:r w:rsidR="00423092" w:rsidRPr="00423092">
          <w:rPr>
            <w:rStyle w:val="Hyperlink"/>
            <w:rFonts w:cs="Calibri"/>
            <w:noProof/>
            <w:lang w:val="en-US"/>
          </w:rPr>
          <w:noBreakHyphen/>
          <w:t>19: DEPRECIATION EXPENSES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_Toc457604011 \h </w:instrText>
        </w:r>
        <w:r w:rsidRPr="00423092">
          <w:rPr>
            <w:noProof/>
            <w:webHidden/>
          </w:rPr>
        </w:r>
        <w:r w:rsidRPr="00423092">
          <w:rPr>
            <w:noProof/>
            <w:webHidden/>
          </w:rPr>
          <w:fldChar w:fldCharType="separate"/>
        </w:r>
        <w:r w:rsidR="00BA08F0">
          <w:rPr>
            <w:noProof/>
            <w:webHidden/>
          </w:rPr>
          <w:t>104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12" w:history="1">
        <w:r w:rsidR="00423092" w:rsidRPr="00423092">
          <w:rPr>
            <w:rStyle w:val="Hyperlink"/>
            <w:rFonts w:cs="Calibri"/>
            <w:noProof/>
            <w:lang w:val="en-US"/>
          </w:rPr>
          <w:t>Table 4</w:t>
        </w:r>
        <w:r w:rsidR="00423092" w:rsidRPr="00423092">
          <w:rPr>
            <w:rStyle w:val="Hyperlink"/>
            <w:rFonts w:cs="Calibri"/>
            <w:noProof/>
            <w:lang w:val="en-US"/>
          </w:rPr>
          <w:noBreakHyphen/>
          <w:t>20: PRIOR PERIOD EXPENSES FOR FY 2013-14(Rs. Crore)</w:t>
        </w:r>
        <w:r w:rsidR="00423092" w:rsidRPr="00423092">
          <w:rPr>
            <w:noProof/>
            <w:webHidden/>
          </w:rPr>
          <w:tab/>
        </w:r>
        <w:r w:rsidRPr="00423092">
          <w:rPr>
            <w:noProof/>
            <w:webHidden/>
          </w:rPr>
          <w:fldChar w:fldCharType="begin"/>
        </w:r>
        <w:r w:rsidR="00423092" w:rsidRPr="00423092">
          <w:rPr>
            <w:noProof/>
            <w:webHidden/>
          </w:rPr>
          <w:instrText xml:space="preserve"> PAGEREF _Toc457604012 \h </w:instrText>
        </w:r>
        <w:r w:rsidRPr="00423092">
          <w:rPr>
            <w:noProof/>
            <w:webHidden/>
          </w:rPr>
        </w:r>
        <w:r w:rsidRPr="00423092">
          <w:rPr>
            <w:noProof/>
            <w:webHidden/>
          </w:rPr>
          <w:fldChar w:fldCharType="separate"/>
        </w:r>
        <w:r w:rsidR="00BA08F0">
          <w:rPr>
            <w:noProof/>
            <w:webHidden/>
          </w:rPr>
          <w:t>107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13" w:history="1">
        <w:r w:rsidR="00423092" w:rsidRPr="00423092">
          <w:rPr>
            <w:rStyle w:val="Hyperlink"/>
            <w:rFonts w:cs="Calibri"/>
            <w:noProof/>
            <w:lang w:val="en-US"/>
          </w:rPr>
          <w:t>Table 4</w:t>
        </w:r>
        <w:r w:rsidR="00423092" w:rsidRPr="00423092">
          <w:rPr>
            <w:rStyle w:val="Hyperlink"/>
            <w:rFonts w:cs="Calibri"/>
            <w:noProof/>
            <w:lang w:val="en-US"/>
          </w:rPr>
          <w:noBreakHyphen/>
          <w:t>21: PROVISION FOR BAD AND DOUBTFUL DEBT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_Toc457604013 \h </w:instrText>
        </w:r>
        <w:r w:rsidRPr="00423092">
          <w:rPr>
            <w:noProof/>
            <w:webHidden/>
          </w:rPr>
        </w:r>
        <w:r w:rsidRPr="00423092">
          <w:rPr>
            <w:noProof/>
            <w:webHidden/>
          </w:rPr>
          <w:fldChar w:fldCharType="separate"/>
        </w:r>
        <w:r w:rsidR="00BA08F0">
          <w:rPr>
            <w:noProof/>
            <w:webHidden/>
          </w:rPr>
          <w:t>111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14" w:history="1">
        <w:r w:rsidR="00423092" w:rsidRPr="00423092">
          <w:rPr>
            <w:rStyle w:val="Hyperlink"/>
            <w:rFonts w:cs="Calibri"/>
            <w:noProof/>
            <w:lang w:val="en-US"/>
          </w:rPr>
          <w:t>Table 4</w:t>
        </w:r>
        <w:r w:rsidR="00423092" w:rsidRPr="00423092">
          <w:rPr>
            <w:rStyle w:val="Hyperlink"/>
            <w:rFonts w:cs="Calibri"/>
            <w:noProof/>
            <w:lang w:val="en-US"/>
          </w:rPr>
          <w:noBreakHyphen/>
          <w:t>22: COMPUTATION OF SUBSIDY REQUIREMENT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_Toc457604014 \h </w:instrText>
        </w:r>
        <w:r w:rsidRPr="00423092">
          <w:rPr>
            <w:noProof/>
            <w:webHidden/>
          </w:rPr>
        </w:r>
        <w:r w:rsidRPr="00423092">
          <w:rPr>
            <w:noProof/>
            <w:webHidden/>
          </w:rPr>
          <w:fldChar w:fldCharType="separate"/>
        </w:r>
        <w:r w:rsidR="00BA08F0">
          <w:rPr>
            <w:noProof/>
            <w:webHidden/>
          </w:rPr>
          <w:t>114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15" w:history="1">
        <w:r w:rsidR="00423092" w:rsidRPr="00423092">
          <w:rPr>
            <w:rStyle w:val="Hyperlink"/>
            <w:rFonts w:cs="Calibri"/>
            <w:noProof/>
            <w:lang w:val="en-US"/>
          </w:rPr>
          <w:t>Table 4</w:t>
        </w:r>
        <w:r w:rsidR="00423092" w:rsidRPr="00423092">
          <w:rPr>
            <w:rStyle w:val="Hyperlink"/>
            <w:rFonts w:cs="Calibri"/>
            <w:noProof/>
            <w:lang w:val="en-US"/>
          </w:rPr>
          <w:noBreakHyphen/>
          <w:t>23: REVENUE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_Toc457604015 \h </w:instrText>
        </w:r>
        <w:r w:rsidRPr="00423092">
          <w:rPr>
            <w:noProof/>
            <w:webHidden/>
          </w:rPr>
        </w:r>
        <w:r w:rsidRPr="00423092">
          <w:rPr>
            <w:noProof/>
            <w:webHidden/>
          </w:rPr>
          <w:fldChar w:fldCharType="separate"/>
        </w:r>
        <w:r w:rsidR="00BA08F0">
          <w:rPr>
            <w:noProof/>
            <w:webHidden/>
          </w:rPr>
          <w:t>115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16" w:history="1">
        <w:r w:rsidR="00423092" w:rsidRPr="00423092">
          <w:rPr>
            <w:rStyle w:val="Hyperlink"/>
            <w:noProof/>
            <w:lang w:val="en-US"/>
          </w:rPr>
          <w:t>Table 4</w:t>
        </w:r>
        <w:r w:rsidR="00423092" w:rsidRPr="00423092">
          <w:rPr>
            <w:rStyle w:val="Hyperlink"/>
            <w:noProof/>
            <w:lang w:val="en-US"/>
          </w:rPr>
          <w:noBreakHyphen/>
          <w:t xml:space="preserve">24: ARR, REVENUE AND GAP </w:t>
        </w:r>
        <w:r w:rsidR="00423092" w:rsidRPr="00423092">
          <w:rPr>
            <w:rStyle w:val="Hyperlink"/>
            <w:rFonts w:cs="Calibri"/>
            <w:noProof/>
            <w:lang w:val="en-US"/>
          </w:rPr>
          <w:t>SUMMARY</w:t>
        </w:r>
        <w:r w:rsidR="00423092" w:rsidRPr="00423092">
          <w:rPr>
            <w:rStyle w:val="Hyperlink"/>
            <w:noProof/>
            <w:lang w:val="en-US"/>
          </w:rPr>
          <w:t xml:space="preserve"> FOR FY 2013-14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_Toc457604016 \h </w:instrText>
        </w:r>
        <w:r w:rsidRPr="00423092">
          <w:rPr>
            <w:noProof/>
            <w:webHidden/>
          </w:rPr>
        </w:r>
        <w:r w:rsidRPr="00423092">
          <w:rPr>
            <w:noProof/>
            <w:webHidden/>
          </w:rPr>
          <w:fldChar w:fldCharType="separate"/>
        </w:r>
        <w:r w:rsidR="00BA08F0">
          <w:rPr>
            <w:noProof/>
            <w:webHidden/>
          </w:rPr>
          <w:t>115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17" w:history="1">
        <w:r w:rsidR="00423092" w:rsidRPr="00423092">
          <w:rPr>
            <w:rStyle w:val="Hyperlink"/>
            <w:rFonts w:cs="Calibri"/>
            <w:noProof/>
            <w:lang w:val="en-US"/>
          </w:rPr>
          <w:t>Table 5</w:t>
        </w:r>
        <w:r w:rsidR="00423092" w:rsidRPr="00423092">
          <w:rPr>
            <w:rStyle w:val="Hyperlink"/>
            <w:rFonts w:cs="Calibri"/>
            <w:noProof/>
            <w:lang w:val="en-US"/>
          </w:rPr>
          <w:noBreakHyphen/>
          <w:t>1: CONSUMPTION PARAMETERS SUBMITTED BY THE PETITIONER FOR FY 2016-</w:t>
        </w:r>
        <w:r w:rsidR="00423092" w:rsidRPr="00423092">
          <w:rPr>
            <w:rStyle w:val="Hyperlink"/>
            <w:noProof/>
          </w:rPr>
          <w:t>17</w:t>
        </w:r>
        <w:r w:rsidR="00423092" w:rsidRPr="00423092">
          <w:rPr>
            <w:noProof/>
            <w:webHidden/>
          </w:rPr>
          <w:tab/>
        </w:r>
        <w:r w:rsidRPr="00423092">
          <w:rPr>
            <w:noProof/>
            <w:webHidden/>
          </w:rPr>
          <w:fldChar w:fldCharType="begin"/>
        </w:r>
        <w:r w:rsidR="00423092" w:rsidRPr="00423092">
          <w:rPr>
            <w:noProof/>
            <w:webHidden/>
          </w:rPr>
          <w:instrText xml:space="preserve"> PAGEREF _Toc457604017 \h </w:instrText>
        </w:r>
        <w:r w:rsidRPr="00423092">
          <w:rPr>
            <w:noProof/>
            <w:webHidden/>
          </w:rPr>
        </w:r>
        <w:r w:rsidRPr="00423092">
          <w:rPr>
            <w:noProof/>
            <w:webHidden/>
          </w:rPr>
          <w:fldChar w:fldCharType="separate"/>
        </w:r>
        <w:r w:rsidR="00BA08F0">
          <w:rPr>
            <w:noProof/>
            <w:webHidden/>
          </w:rPr>
          <w:t>119</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18" w:history="1">
        <w:r w:rsidR="00423092" w:rsidRPr="00423092">
          <w:rPr>
            <w:rStyle w:val="Hyperlink"/>
            <w:rFonts w:cs="Calibri"/>
            <w:noProof/>
            <w:lang w:val="en-US"/>
          </w:rPr>
          <w:t>Table 5</w:t>
        </w:r>
        <w:r w:rsidR="00423092" w:rsidRPr="00423092">
          <w:rPr>
            <w:rStyle w:val="Hyperlink"/>
            <w:rFonts w:cs="Calibri"/>
            <w:noProof/>
            <w:lang w:val="en-US"/>
          </w:rPr>
          <w:noBreakHyphen/>
          <w:t>2: CONSUMPTION NORMS FOR UNMETERED CATEGORIES</w:t>
        </w:r>
        <w:r w:rsidR="00423092" w:rsidRPr="00423092">
          <w:rPr>
            <w:noProof/>
            <w:webHidden/>
          </w:rPr>
          <w:tab/>
        </w:r>
        <w:r w:rsidRPr="00423092">
          <w:rPr>
            <w:noProof/>
            <w:webHidden/>
          </w:rPr>
          <w:fldChar w:fldCharType="begin"/>
        </w:r>
        <w:r w:rsidR="00423092" w:rsidRPr="00423092">
          <w:rPr>
            <w:noProof/>
            <w:webHidden/>
          </w:rPr>
          <w:instrText xml:space="preserve"> PAGEREF _Toc457604018 \h </w:instrText>
        </w:r>
        <w:r w:rsidRPr="00423092">
          <w:rPr>
            <w:noProof/>
            <w:webHidden/>
          </w:rPr>
        </w:r>
        <w:r w:rsidRPr="00423092">
          <w:rPr>
            <w:noProof/>
            <w:webHidden/>
          </w:rPr>
          <w:fldChar w:fldCharType="separate"/>
        </w:r>
        <w:r w:rsidR="00BA08F0">
          <w:rPr>
            <w:noProof/>
            <w:webHidden/>
          </w:rPr>
          <w:t>119</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19" w:history="1">
        <w:r w:rsidR="00423092" w:rsidRPr="00423092">
          <w:rPr>
            <w:rStyle w:val="Hyperlink"/>
            <w:rFonts w:cs="Calibri"/>
            <w:noProof/>
            <w:lang w:val="en-US"/>
          </w:rPr>
          <w:t>Table 5</w:t>
        </w:r>
        <w:r w:rsidR="00423092" w:rsidRPr="00423092">
          <w:rPr>
            <w:rStyle w:val="Hyperlink"/>
            <w:rFonts w:cs="Calibri"/>
            <w:noProof/>
            <w:lang w:val="en-US"/>
          </w:rPr>
          <w:noBreakHyphen/>
          <w:t>3:</w:t>
        </w:r>
        <w:r w:rsidR="00423092" w:rsidRPr="00423092">
          <w:rPr>
            <w:rStyle w:val="Hyperlink"/>
            <w:noProof/>
          </w:rPr>
          <w:t xml:space="preserve"> CONSUMPTION NORMS IN URBAN AREA SUBMITTED BY UPPCL</w:t>
        </w:r>
        <w:r w:rsidR="00423092" w:rsidRPr="00423092">
          <w:rPr>
            <w:noProof/>
            <w:webHidden/>
          </w:rPr>
          <w:tab/>
        </w:r>
        <w:r w:rsidRPr="00423092">
          <w:rPr>
            <w:noProof/>
            <w:webHidden/>
          </w:rPr>
          <w:fldChar w:fldCharType="begin"/>
        </w:r>
        <w:r w:rsidR="00423092" w:rsidRPr="00423092">
          <w:rPr>
            <w:noProof/>
            <w:webHidden/>
          </w:rPr>
          <w:instrText xml:space="preserve"> PAGEREF _Toc457604019 \h </w:instrText>
        </w:r>
        <w:r w:rsidRPr="00423092">
          <w:rPr>
            <w:noProof/>
            <w:webHidden/>
          </w:rPr>
        </w:r>
        <w:r w:rsidRPr="00423092">
          <w:rPr>
            <w:noProof/>
            <w:webHidden/>
          </w:rPr>
          <w:fldChar w:fldCharType="separate"/>
        </w:r>
        <w:r w:rsidR="00BA08F0">
          <w:rPr>
            <w:noProof/>
            <w:webHidden/>
          </w:rPr>
          <w:t>122</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20" w:history="1">
        <w:r w:rsidR="00423092" w:rsidRPr="00423092">
          <w:rPr>
            <w:rStyle w:val="Hyperlink"/>
            <w:rFonts w:cs="Calibri"/>
            <w:noProof/>
            <w:lang w:val="en-US"/>
          </w:rPr>
          <w:t>Table 5</w:t>
        </w:r>
        <w:r w:rsidR="00423092" w:rsidRPr="00423092">
          <w:rPr>
            <w:rStyle w:val="Hyperlink"/>
            <w:rFonts w:cs="Calibri"/>
            <w:noProof/>
            <w:lang w:val="en-US"/>
          </w:rPr>
          <w:noBreakHyphen/>
          <w:t xml:space="preserve">4: </w:t>
        </w:r>
        <w:r w:rsidR="00423092" w:rsidRPr="00423092">
          <w:rPr>
            <w:rStyle w:val="Hyperlink"/>
            <w:noProof/>
          </w:rPr>
          <w:t>PROJECTED HOURS OF SUPPLY AS SUBMITTED BY THE PETITIONER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_Toc457604020 \h </w:instrText>
        </w:r>
        <w:r w:rsidRPr="00423092">
          <w:rPr>
            <w:noProof/>
            <w:webHidden/>
          </w:rPr>
        </w:r>
        <w:r w:rsidRPr="00423092">
          <w:rPr>
            <w:noProof/>
            <w:webHidden/>
          </w:rPr>
          <w:fldChar w:fldCharType="separate"/>
        </w:r>
        <w:r w:rsidR="00BA08F0">
          <w:rPr>
            <w:noProof/>
            <w:webHidden/>
          </w:rPr>
          <w:t>123</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21" w:history="1">
        <w:r w:rsidR="00423092" w:rsidRPr="00423092">
          <w:rPr>
            <w:rStyle w:val="Hyperlink"/>
            <w:rFonts w:cs="Calibri"/>
            <w:noProof/>
            <w:lang w:val="en-US"/>
          </w:rPr>
          <w:t>Table 5</w:t>
        </w:r>
        <w:r w:rsidR="00423092" w:rsidRPr="00423092">
          <w:rPr>
            <w:rStyle w:val="Hyperlink"/>
            <w:rFonts w:cs="Calibri"/>
            <w:noProof/>
            <w:lang w:val="en-US"/>
          </w:rPr>
          <w:noBreakHyphen/>
          <w:t>5: CONSUMPTION PARAMETERS APPROVED BY THE COMMISSION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_Toc457604021 \h </w:instrText>
        </w:r>
        <w:r w:rsidRPr="00423092">
          <w:rPr>
            <w:noProof/>
            <w:webHidden/>
          </w:rPr>
        </w:r>
        <w:r w:rsidRPr="00423092">
          <w:rPr>
            <w:noProof/>
            <w:webHidden/>
          </w:rPr>
          <w:fldChar w:fldCharType="separate"/>
        </w:r>
        <w:r w:rsidR="00BA08F0">
          <w:rPr>
            <w:noProof/>
            <w:webHidden/>
          </w:rPr>
          <w:t>124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22" w:history="1">
        <w:r w:rsidR="00423092" w:rsidRPr="00423092">
          <w:rPr>
            <w:rStyle w:val="Hyperlink"/>
            <w:rFonts w:cs="Calibri"/>
            <w:noProof/>
            <w:lang w:val="en-US"/>
          </w:rPr>
          <w:t>Table 5</w:t>
        </w:r>
        <w:r w:rsidR="00423092" w:rsidRPr="00423092">
          <w:rPr>
            <w:rStyle w:val="Hyperlink"/>
            <w:rFonts w:cs="Calibri"/>
            <w:noProof/>
            <w:lang w:val="en-US"/>
          </w:rPr>
          <w:noBreakHyphen/>
          <w:t>6: NUMBER OF CONSUMERS: HISTORICAL TREND AND APPROVED VALUES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_Toc457604022 \h </w:instrText>
        </w:r>
        <w:r w:rsidRPr="00423092">
          <w:rPr>
            <w:noProof/>
            <w:webHidden/>
          </w:rPr>
        </w:r>
        <w:r w:rsidRPr="00423092">
          <w:rPr>
            <w:noProof/>
            <w:webHidden/>
          </w:rPr>
          <w:fldChar w:fldCharType="separate"/>
        </w:r>
        <w:r w:rsidR="00BA08F0">
          <w:rPr>
            <w:noProof/>
            <w:webHidden/>
          </w:rPr>
          <w:t>124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23" w:history="1">
        <w:r w:rsidR="00423092" w:rsidRPr="00423092">
          <w:rPr>
            <w:rStyle w:val="Hyperlink"/>
            <w:rFonts w:cs="Calibri"/>
            <w:noProof/>
            <w:lang w:val="en-US"/>
          </w:rPr>
          <w:t>Table 5</w:t>
        </w:r>
        <w:r w:rsidR="00423092" w:rsidRPr="00423092">
          <w:rPr>
            <w:rStyle w:val="Hyperlink"/>
            <w:rFonts w:cs="Calibri"/>
            <w:noProof/>
            <w:lang w:val="en-US"/>
          </w:rPr>
          <w:noBreakHyphen/>
          <w:t>7: CONNECTED LOAD (kW): HISTORICAL TREND AND APPROVED VALUES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_Toc457604023 \h </w:instrText>
        </w:r>
        <w:r w:rsidRPr="00423092">
          <w:rPr>
            <w:noProof/>
            <w:webHidden/>
          </w:rPr>
        </w:r>
        <w:r w:rsidRPr="00423092">
          <w:rPr>
            <w:noProof/>
            <w:webHidden/>
          </w:rPr>
          <w:fldChar w:fldCharType="separate"/>
        </w:r>
        <w:r w:rsidR="00BA08F0">
          <w:rPr>
            <w:noProof/>
            <w:webHidden/>
          </w:rPr>
          <w:t>125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24" w:history="1">
        <w:r w:rsidR="00423092" w:rsidRPr="00423092">
          <w:rPr>
            <w:rStyle w:val="Hyperlink"/>
            <w:rFonts w:cs="Calibri"/>
            <w:noProof/>
            <w:lang w:val="en-US"/>
          </w:rPr>
          <w:t>Table 5</w:t>
        </w:r>
        <w:r w:rsidR="00423092" w:rsidRPr="00423092">
          <w:rPr>
            <w:rStyle w:val="Hyperlink"/>
            <w:rFonts w:cs="Calibri"/>
            <w:noProof/>
            <w:lang w:val="en-US"/>
          </w:rPr>
          <w:noBreakHyphen/>
          <w:t>8: ENERGY SALES (MU): HISTORICAL TREND AND APPROVED VALUES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_Toc457604024 \h </w:instrText>
        </w:r>
        <w:r w:rsidRPr="00423092">
          <w:rPr>
            <w:noProof/>
            <w:webHidden/>
          </w:rPr>
        </w:r>
        <w:r w:rsidRPr="00423092">
          <w:rPr>
            <w:noProof/>
            <w:webHidden/>
          </w:rPr>
          <w:fldChar w:fldCharType="separate"/>
        </w:r>
        <w:r w:rsidR="00BA08F0">
          <w:rPr>
            <w:noProof/>
            <w:webHidden/>
          </w:rPr>
          <w:t>126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25" w:history="1">
        <w:r w:rsidR="00423092" w:rsidRPr="00423092">
          <w:rPr>
            <w:rStyle w:val="Hyperlink"/>
            <w:rFonts w:cs="Calibri"/>
            <w:noProof/>
            <w:lang w:val="en-US"/>
          </w:rPr>
          <w:t>TABLE 5</w:t>
        </w:r>
        <w:r w:rsidR="00423092" w:rsidRPr="00423092">
          <w:rPr>
            <w:rStyle w:val="Hyperlink"/>
            <w:rFonts w:cs="Calibri"/>
            <w:noProof/>
            <w:lang w:val="en-US"/>
          </w:rPr>
          <w:noBreakHyphen/>
          <w:t>9: NUMBER OF UN-METERED CONSUMERS AS SUBMITTED BY PETITIONER</w:t>
        </w:r>
        <w:r w:rsidR="00423092" w:rsidRPr="00423092">
          <w:rPr>
            <w:noProof/>
            <w:webHidden/>
          </w:rPr>
          <w:tab/>
        </w:r>
        <w:r w:rsidRPr="00423092">
          <w:rPr>
            <w:noProof/>
            <w:webHidden/>
          </w:rPr>
          <w:fldChar w:fldCharType="begin"/>
        </w:r>
        <w:r w:rsidR="00423092" w:rsidRPr="00423092">
          <w:rPr>
            <w:noProof/>
            <w:webHidden/>
          </w:rPr>
          <w:instrText xml:space="preserve"> PAGEREF _Toc457604025 \h </w:instrText>
        </w:r>
        <w:r w:rsidRPr="00423092">
          <w:rPr>
            <w:noProof/>
            <w:webHidden/>
          </w:rPr>
        </w:r>
        <w:r w:rsidRPr="00423092">
          <w:rPr>
            <w:noProof/>
            <w:webHidden/>
          </w:rPr>
          <w:fldChar w:fldCharType="separate"/>
        </w:r>
        <w:r w:rsidR="00BA08F0">
          <w:rPr>
            <w:noProof/>
            <w:webHidden/>
          </w:rPr>
          <w:t>130</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26" w:history="1">
        <w:r w:rsidR="00423092" w:rsidRPr="00423092">
          <w:rPr>
            <w:rStyle w:val="Hyperlink"/>
            <w:rFonts w:cs="Calibri"/>
            <w:noProof/>
            <w:lang w:val="en-US"/>
          </w:rPr>
          <w:t>TABLE 5</w:t>
        </w:r>
        <w:r w:rsidR="00423092" w:rsidRPr="00423092">
          <w:rPr>
            <w:rStyle w:val="Hyperlink"/>
            <w:rFonts w:cs="Calibri"/>
            <w:noProof/>
            <w:lang w:val="en-US"/>
          </w:rPr>
          <w:noBreakHyphen/>
          <w:t>10: NUMBER OF UN-METERED CONSUMERS AS SUBMITTED BY DVVNL</w:t>
        </w:r>
        <w:r w:rsidR="00423092" w:rsidRPr="00423092">
          <w:rPr>
            <w:noProof/>
            <w:webHidden/>
          </w:rPr>
          <w:tab/>
        </w:r>
        <w:r w:rsidRPr="00423092">
          <w:rPr>
            <w:noProof/>
            <w:webHidden/>
          </w:rPr>
          <w:fldChar w:fldCharType="begin"/>
        </w:r>
        <w:r w:rsidR="00423092" w:rsidRPr="00423092">
          <w:rPr>
            <w:noProof/>
            <w:webHidden/>
          </w:rPr>
          <w:instrText xml:space="preserve"> PAGEREF _Toc457604026 \h </w:instrText>
        </w:r>
        <w:r w:rsidRPr="00423092">
          <w:rPr>
            <w:noProof/>
            <w:webHidden/>
          </w:rPr>
        </w:r>
        <w:r w:rsidRPr="00423092">
          <w:rPr>
            <w:noProof/>
            <w:webHidden/>
          </w:rPr>
          <w:fldChar w:fldCharType="separate"/>
        </w:r>
        <w:r w:rsidR="00BA08F0">
          <w:rPr>
            <w:noProof/>
            <w:webHidden/>
          </w:rPr>
          <w:t>131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27" w:history="1">
        <w:r w:rsidR="00423092" w:rsidRPr="00423092">
          <w:rPr>
            <w:rStyle w:val="Hyperlink"/>
            <w:rFonts w:cs="Calibri"/>
            <w:noProof/>
            <w:lang w:val="en-US"/>
          </w:rPr>
          <w:t>TABLE 5</w:t>
        </w:r>
        <w:r w:rsidR="00423092" w:rsidRPr="00423092">
          <w:rPr>
            <w:rStyle w:val="Hyperlink"/>
            <w:rFonts w:cs="Calibri"/>
            <w:noProof/>
            <w:lang w:val="en-US"/>
          </w:rPr>
          <w:noBreakHyphen/>
          <w:t>11: NUMBER OF UN-METERED CONSUMERS OF FOUR DISCOMS (DVVNL, MVVNL, PUVVNL AND PVVNL)</w:t>
        </w:r>
        <w:r w:rsidR="00423092" w:rsidRPr="00423092">
          <w:rPr>
            <w:noProof/>
            <w:webHidden/>
          </w:rPr>
          <w:tab/>
        </w:r>
        <w:r w:rsidRPr="00423092">
          <w:rPr>
            <w:noProof/>
            <w:webHidden/>
          </w:rPr>
          <w:fldChar w:fldCharType="begin"/>
        </w:r>
        <w:r w:rsidR="00423092" w:rsidRPr="00423092">
          <w:rPr>
            <w:noProof/>
            <w:webHidden/>
          </w:rPr>
          <w:instrText xml:space="preserve"> PAGEREF _Toc457604027 \h </w:instrText>
        </w:r>
        <w:r w:rsidRPr="00423092">
          <w:rPr>
            <w:noProof/>
            <w:webHidden/>
          </w:rPr>
        </w:r>
        <w:r w:rsidRPr="00423092">
          <w:rPr>
            <w:noProof/>
            <w:webHidden/>
          </w:rPr>
          <w:fldChar w:fldCharType="separate"/>
        </w:r>
        <w:r w:rsidR="00BA08F0">
          <w:rPr>
            <w:noProof/>
            <w:webHidden/>
          </w:rPr>
          <w:t>132</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28" w:history="1">
        <w:r w:rsidR="00423092" w:rsidRPr="00423092">
          <w:rPr>
            <w:rStyle w:val="Hyperlink"/>
            <w:rFonts w:cs="Calibri"/>
            <w:noProof/>
          </w:rPr>
          <w:t>TABLE 5</w:t>
        </w:r>
        <w:r w:rsidR="00423092" w:rsidRPr="00423092">
          <w:rPr>
            <w:rStyle w:val="Hyperlink"/>
            <w:rFonts w:cs="Calibri"/>
            <w:noProof/>
          </w:rPr>
          <w:noBreakHyphen/>
          <w:t>12: ADDITIONAL CONSUMER ADDITION TARGET FOR FY 2015-16</w:t>
        </w:r>
        <w:r w:rsidR="00423092" w:rsidRPr="00423092">
          <w:rPr>
            <w:noProof/>
            <w:webHidden/>
          </w:rPr>
          <w:tab/>
        </w:r>
        <w:r w:rsidRPr="00423092">
          <w:rPr>
            <w:noProof/>
            <w:webHidden/>
          </w:rPr>
          <w:fldChar w:fldCharType="begin"/>
        </w:r>
        <w:r w:rsidR="00423092" w:rsidRPr="00423092">
          <w:rPr>
            <w:noProof/>
            <w:webHidden/>
          </w:rPr>
          <w:instrText xml:space="preserve"> PAGEREF _Toc457604028 \h </w:instrText>
        </w:r>
        <w:r w:rsidRPr="00423092">
          <w:rPr>
            <w:noProof/>
            <w:webHidden/>
          </w:rPr>
        </w:r>
        <w:r w:rsidRPr="00423092">
          <w:rPr>
            <w:noProof/>
            <w:webHidden/>
          </w:rPr>
          <w:fldChar w:fldCharType="separate"/>
        </w:r>
        <w:r w:rsidR="00BA08F0">
          <w:rPr>
            <w:noProof/>
            <w:webHidden/>
          </w:rPr>
          <w:t>135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29" w:history="1">
        <w:r w:rsidR="00423092" w:rsidRPr="00423092">
          <w:rPr>
            <w:rStyle w:val="Hyperlink"/>
            <w:rFonts w:cs="Calibri"/>
            <w:noProof/>
            <w:lang w:val="en-US"/>
          </w:rPr>
          <w:t>TABLE 5</w:t>
        </w:r>
        <w:r w:rsidR="00423092" w:rsidRPr="00423092">
          <w:rPr>
            <w:rStyle w:val="Hyperlink"/>
            <w:rFonts w:cs="Calibri"/>
            <w:noProof/>
            <w:lang w:val="en-US"/>
          </w:rPr>
          <w:noBreakHyphen/>
          <w:t>13: ADDITIONAL CONSUMER ADDITION AND LOAD ENHANCEMENT UNDERTAKEN BY THE LICENSEES THROUGH VARIOUS DRIVES IN FY 2014-15</w:t>
        </w:r>
        <w:r w:rsidR="00423092" w:rsidRPr="00423092">
          <w:rPr>
            <w:noProof/>
            <w:webHidden/>
          </w:rPr>
          <w:tab/>
        </w:r>
        <w:r w:rsidRPr="00423092">
          <w:rPr>
            <w:noProof/>
            <w:webHidden/>
          </w:rPr>
          <w:fldChar w:fldCharType="begin"/>
        </w:r>
        <w:r w:rsidR="00423092" w:rsidRPr="00423092">
          <w:rPr>
            <w:noProof/>
            <w:webHidden/>
          </w:rPr>
          <w:instrText xml:space="preserve"> PAGEREF _Toc457604029 \h </w:instrText>
        </w:r>
        <w:r w:rsidRPr="00423092">
          <w:rPr>
            <w:noProof/>
            <w:webHidden/>
          </w:rPr>
        </w:r>
        <w:r w:rsidRPr="00423092">
          <w:rPr>
            <w:noProof/>
            <w:webHidden/>
          </w:rPr>
          <w:fldChar w:fldCharType="separate"/>
        </w:r>
        <w:r w:rsidR="00BA08F0">
          <w:rPr>
            <w:noProof/>
            <w:webHidden/>
          </w:rPr>
          <w:t>135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30" w:history="1">
        <w:r w:rsidR="00423092" w:rsidRPr="00423092">
          <w:rPr>
            <w:rStyle w:val="Hyperlink"/>
            <w:rFonts w:cs="Calibri"/>
            <w:noProof/>
            <w:lang w:val="en-US"/>
          </w:rPr>
          <w:t>Table 5</w:t>
        </w:r>
        <w:r w:rsidR="00423092" w:rsidRPr="00423092">
          <w:rPr>
            <w:rStyle w:val="Hyperlink"/>
            <w:rFonts w:cs="Calibri"/>
            <w:noProof/>
            <w:lang w:val="en-US"/>
          </w:rPr>
          <w:noBreakHyphen/>
          <w:t>14: DISTRIBUTION LOSS PROJECTED BY THE DISTRIBUTION LICENSEES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_Toc457604030 \h </w:instrText>
        </w:r>
        <w:r w:rsidRPr="00423092">
          <w:rPr>
            <w:noProof/>
            <w:webHidden/>
          </w:rPr>
        </w:r>
        <w:r w:rsidRPr="00423092">
          <w:rPr>
            <w:noProof/>
            <w:webHidden/>
          </w:rPr>
          <w:fldChar w:fldCharType="separate"/>
        </w:r>
        <w:r w:rsidR="00BA08F0">
          <w:rPr>
            <w:noProof/>
            <w:webHidden/>
          </w:rPr>
          <w:t>137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31" w:history="1">
        <w:r w:rsidR="00423092" w:rsidRPr="00423092">
          <w:rPr>
            <w:rStyle w:val="Hyperlink"/>
            <w:rFonts w:cs="Calibri"/>
            <w:noProof/>
            <w:lang w:val="en-US"/>
          </w:rPr>
          <w:t>Table 5</w:t>
        </w:r>
        <w:r w:rsidR="00423092" w:rsidRPr="00423092">
          <w:rPr>
            <w:rStyle w:val="Hyperlink"/>
            <w:rFonts w:cs="Calibri"/>
            <w:noProof/>
            <w:lang w:val="en-US"/>
          </w:rPr>
          <w:noBreakHyphen/>
          <w:t>15: SUMMARY OF DISTRIBUTION LOSSES</w:t>
        </w:r>
        <w:r w:rsidR="00423092" w:rsidRPr="00423092">
          <w:rPr>
            <w:noProof/>
            <w:webHidden/>
          </w:rPr>
          <w:tab/>
        </w:r>
        <w:r w:rsidRPr="00423092">
          <w:rPr>
            <w:noProof/>
            <w:webHidden/>
          </w:rPr>
          <w:fldChar w:fldCharType="begin"/>
        </w:r>
        <w:r w:rsidR="00423092" w:rsidRPr="00423092">
          <w:rPr>
            <w:noProof/>
            <w:webHidden/>
          </w:rPr>
          <w:instrText xml:space="preserve"> PAGEREF _Toc457604031 \h </w:instrText>
        </w:r>
        <w:r w:rsidRPr="00423092">
          <w:rPr>
            <w:noProof/>
            <w:webHidden/>
          </w:rPr>
        </w:r>
        <w:r w:rsidRPr="00423092">
          <w:rPr>
            <w:noProof/>
            <w:webHidden/>
          </w:rPr>
          <w:fldChar w:fldCharType="separate"/>
        </w:r>
        <w:r w:rsidR="00BA08F0">
          <w:rPr>
            <w:noProof/>
            <w:webHidden/>
          </w:rPr>
          <w:t>138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32" w:history="1">
        <w:r w:rsidR="00423092" w:rsidRPr="00423092">
          <w:rPr>
            <w:rStyle w:val="Hyperlink"/>
            <w:rFonts w:cs="Calibri"/>
            <w:noProof/>
            <w:lang w:val="en-US"/>
          </w:rPr>
          <w:t>Table 5</w:t>
        </w:r>
        <w:r w:rsidR="00423092" w:rsidRPr="00423092">
          <w:rPr>
            <w:rStyle w:val="Hyperlink"/>
            <w:rFonts w:cs="Calibri"/>
            <w:noProof/>
            <w:lang w:val="en-US"/>
          </w:rPr>
          <w:noBreakHyphen/>
          <w:t>16: SUMMARY OF DISTRIBUTION LOSSES AS PER MOU SIGNED BY PETITIONER UNDER “UDAY SCHEME”</w:t>
        </w:r>
        <w:r w:rsidR="00423092" w:rsidRPr="00423092">
          <w:rPr>
            <w:noProof/>
            <w:webHidden/>
          </w:rPr>
          <w:tab/>
        </w:r>
        <w:r w:rsidRPr="00423092">
          <w:rPr>
            <w:noProof/>
            <w:webHidden/>
          </w:rPr>
          <w:fldChar w:fldCharType="begin"/>
        </w:r>
        <w:r w:rsidR="00423092" w:rsidRPr="00423092">
          <w:rPr>
            <w:noProof/>
            <w:webHidden/>
          </w:rPr>
          <w:instrText xml:space="preserve"> PAGEREF _Toc457604032 \h </w:instrText>
        </w:r>
        <w:r w:rsidRPr="00423092">
          <w:rPr>
            <w:noProof/>
            <w:webHidden/>
          </w:rPr>
        </w:r>
        <w:r w:rsidRPr="00423092">
          <w:rPr>
            <w:noProof/>
            <w:webHidden/>
          </w:rPr>
          <w:fldChar w:fldCharType="separate"/>
        </w:r>
        <w:r w:rsidR="00BA08F0">
          <w:rPr>
            <w:noProof/>
            <w:webHidden/>
          </w:rPr>
          <w:t>141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33" w:history="1">
        <w:r w:rsidR="00423092" w:rsidRPr="00423092">
          <w:rPr>
            <w:rStyle w:val="Hyperlink"/>
            <w:rFonts w:cs="Calibri"/>
            <w:noProof/>
            <w:lang w:val="en-US"/>
          </w:rPr>
          <w:t>Table 5</w:t>
        </w:r>
        <w:r w:rsidR="00423092" w:rsidRPr="00423092">
          <w:rPr>
            <w:rStyle w:val="Hyperlink"/>
            <w:rFonts w:cs="Calibri"/>
            <w:noProof/>
            <w:lang w:val="en-US"/>
          </w:rPr>
          <w:noBreakHyphen/>
          <w:t>17: APPROVED ENERGY BALANCE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_Toc457604033 \h </w:instrText>
        </w:r>
        <w:r w:rsidRPr="00423092">
          <w:rPr>
            <w:noProof/>
            <w:webHidden/>
          </w:rPr>
        </w:r>
        <w:r w:rsidRPr="00423092">
          <w:rPr>
            <w:noProof/>
            <w:webHidden/>
          </w:rPr>
          <w:fldChar w:fldCharType="separate"/>
        </w:r>
        <w:r w:rsidR="00BA08F0">
          <w:rPr>
            <w:noProof/>
            <w:webHidden/>
          </w:rPr>
          <w:t>143</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34" w:history="1">
        <w:r w:rsidR="00423092" w:rsidRPr="00423092">
          <w:rPr>
            <w:rStyle w:val="Hyperlink"/>
            <w:rFonts w:cs="Calibri"/>
            <w:noProof/>
            <w:lang w:val="en-US"/>
          </w:rPr>
          <w:t>Table 5</w:t>
        </w:r>
        <w:r w:rsidR="00423092" w:rsidRPr="00423092">
          <w:rPr>
            <w:rStyle w:val="Hyperlink"/>
            <w:rFonts w:cs="Calibri"/>
            <w:noProof/>
            <w:lang w:val="en-US"/>
          </w:rPr>
          <w:noBreakHyphen/>
          <w:t>18: ASSUMPTIONS FOR POWER PURCHASE FROM UPRVUNL AS CONSIDERED BY THE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_Toc457604034 \h </w:instrText>
        </w:r>
        <w:r w:rsidRPr="00423092">
          <w:rPr>
            <w:noProof/>
            <w:webHidden/>
          </w:rPr>
        </w:r>
        <w:r w:rsidRPr="00423092">
          <w:rPr>
            <w:noProof/>
            <w:webHidden/>
          </w:rPr>
          <w:fldChar w:fldCharType="separate"/>
        </w:r>
        <w:r w:rsidR="00BA08F0">
          <w:rPr>
            <w:noProof/>
            <w:webHidden/>
          </w:rPr>
          <w:t>148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35" w:history="1">
        <w:r w:rsidR="00423092" w:rsidRPr="00423092">
          <w:rPr>
            <w:rStyle w:val="Hyperlink"/>
            <w:rFonts w:cs="Calibri"/>
            <w:noProof/>
            <w:lang w:val="en-US"/>
          </w:rPr>
          <w:t>Table 5</w:t>
        </w:r>
        <w:r w:rsidR="00423092" w:rsidRPr="00423092">
          <w:rPr>
            <w:rStyle w:val="Hyperlink"/>
            <w:rFonts w:cs="Calibri"/>
            <w:noProof/>
            <w:lang w:val="en-US"/>
          </w:rPr>
          <w:noBreakHyphen/>
          <w:t>19: ASSUMPTIONS FOR POWER PURCHASE FROM UPJVNL AS CONSIDERED BY THE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_Toc457604035 \h </w:instrText>
        </w:r>
        <w:r w:rsidRPr="00423092">
          <w:rPr>
            <w:noProof/>
            <w:webHidden/>
          </w:rPr>
        </w:r>
        <w:r w:rsidRPr="00423092">
          <w:rPr>
            <w:noProof/>
            <w:webHidden/>
          </w:rPr>
          <w:fldChar w:fldCharType="separate"/>
        </w:r>
        <w:r w:rsidR="00BA08F0">
          <w:rPr>
            <w:noProof/>
            <w:webHidden/>
          </w:rPr>
          <w:t>148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36" w:history="1">
        <w:r w:rsidR="00423092" w:rsidRPr="00423092">
          <w:rPr>
            <w:rStyle w:val="Hyperlink"/>
            <w:rFonts w:cs="Calibri"/>
            <w:noProof/>
            <w:lang w:val="en-US"/>
          </w:rPr>
          <w:t>Table 5</w:t>
        </w:r>
        <w:r w:rsidR="00423092" w:rsidRPr="00423092">
          <w:rPr>
            <w:rStyle w:val="Hyperlink"/>
            <w:rFonts w:cs="Calibri"/>
            <w:noProof/>
            <w:lang w:val="en-US"/>
          </w:rPr>
          <w:noBreakHyphen/>
          <w:t>20: DETAILS OF POWER PURCHASE COST FROM UPRVUNL STATIONS FOR FY2016-17 AS SUBMITTED BY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_Toc457604036 \h </w:instrText>
        </w:r>
        <w:r w:rsidRPr="00423092">
          <w:rPr>
            <w:noProof/>
            <w:webHidden/>
          </w:rPr>
        </w:r>
        <w:r w:rsidRPr="00423092">
          <w:rPr>
            <w:noProof/>
            <w:webHidden/>
          </w:rPr>
          <w:fldChar w:fldCharType="separate"/>
        </w:r>
        <w:r w:rsidR="00BA08F0">
          <w:rPr>
            <w:noProof/>
            <w:webHidden/>
          </w:rPr>
          <w:t>149</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37" w:history="1">
        <w:r w:rsidR="00423092" w:rsidRPr="00423092">
          <w:rPr>
            <w:rStyle w:val="Hyperlink"/>
            <w:rFonts w:cs="Calibri"/>
            <w:noProof/>
            <w:lang w:val="en-US"/>
          </w:rPr>
          <w:t>Table 5</w:t>
        </w:r>
        <w:r w:rsidR="00423092" w:rsidRPr="00423092">
          <w:rPr>
            <w:rStyle w:val="Hyperlink"/>
            <w:rFonts w:cs="Calibri"/>
            <w:noProof/>
            <w:lang w:val="en-US"/>
          </w:rPr>
          <w:noBreakHyphen/>
          <w:t>21: DETAILS OF POWER PURCHASE COST FROM UPJVNL STATIONS FOR FY2016-17 AS SUBMITTED BY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_Toc457604037 \h </w:instrText>
        </w:r>
        <w:r w:rsidRPr="00423092">
          <w:rPr>
            <w:noProof/>
            <w:webHidden/>
          </w:rPr>
        </w:r>
        <w:r w:rsidRPr="00423092">
          <w:rPr>
            <w:noProof/>
            <w:webHidden/>
          </w:rPr>
          <w:fldChar w:fldCharType="separate"/>
        </w:r>
        <w:r w:rsidR="00BA08F0">
          <w:rPr>
            <w:noProof/>
            <w:webHidden/>
          </w:rPr>
          <w:t>149</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38" w:history="1">
        <w:r w:rsidR="00423092" w:rsidRPr="00423092">
          <w:rPr>
            <w:rStyle w:val="Hyperlink"/>
            <w:rFonts w:cs="Calibri"/>
            <w:noProof/>
            <w:lang w:val="en-US"/>
          </w:rPr>
          <w:t>Table 5</w:t>
        </w:r>
        <w:r w:rsidR="00423092" w:rsidRPr="00423092">
          <w:rPr>
            <w:rStyle w:val="Hyperlink"/>
            <w:rFonts w:cs="Calibri"/>
            <w:noProof/>
            <w:lang w:val="en-US"/>
          </w:rPr>
          <w:noBreakHyphen/>
          <w:t>22: ASSUMPTIONS FOR POWER PURCHASE FROM UPRVUNL AS CONSIDERED BY THE COMMISSION</w:t>
        </w:r>
        <w:r w:rsidR="00423092" w:rsidRPr="00423092">
          <w:rPr>
            <w:noProof/>
            <w:webHidden/>
          </w:rPr>
          <w:tab/>
        </w:r>
        <w:r w:rsidRPr="00423092">
          <w:rPr>
            <w:noProof/>
            <w:webHidden/>
          </w:rPr>
          <w:fldChar w:fldCharType="begin"/>
        </w:r>
        <w:r w:rsidR="00423092" w:rsidRPr="00423092">
          <w:rPr>
            <w:noProof/>
            <w:webHidden/>
          </w:rPr>
          <w:instrText xml:space="preserve"> PAGEREF _Toc457604038 \h </w:instrText>
        </w:r>
        <w:r w:rsidRPr="00423092">
          <w:rPr>
            <w:noProof/>
            <w:webHidden/>
          </w:rPr>
        </w:r>
        <w:r w:rsidRPr="00423092">
          <w:rPr>
            <w:noProof/>
            <w:webHidden/>
          </w:rPr>
          <w:fldChar w:fldCharType="separate"/>
        </w:r>
        <w:r w:rsidR="00BA08F0">
          <w:rPr>
            <w:noProof/>
            <w:webHidden/>
          </w:rPr>
          <w:t>150</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39" w:history="1">
        <w:r w:rsidR="00423092" w:rsidRPr="00423092">
          <w:rPr>
            <w:rStyle w:val="Hyperlink"/>
            <w:rFonts w:cs="Calibri"/>
            <w:noProof/>
            <w:lang w:val="en-US"/>
          </w:rPr>
          <w:t>Table 5</w:t>
        </w:r>
        <w:r w:rsidR="00423092" w:rsidRPr="00423092">
          <w:rPr>
            <w:rStyle w:val="Hyperlink"/>
            <w:rFonts w:cs="Calibri"/>
            <w:noProof/>
            <w:lang w:val="en-US"/>
          </w:rPr>
          <w:noBreakHyphen/>
          <w:t>23: ASSUMPTIONS FOR POWER PURCHASE FROM UPJVNL AS CONSIDERED BY THE COMMISSION</w:t>
        </w:r>
        <w:r w:rsidR="00423092" w:rsidRPr="00423092">
          <w:rPr>
            <w:noProof/>
            <w:webHidden/>
          </w:rPr>
          <w:tab/>
        </w:r>
        <w:r w:rsidRPr="00423092">
          <w:rPr>
            <w:noProof/>
            <w:webHidden/>
          </w:rPr>
          <w:fldChar w:fldCharType="begin"/>
        </w:r>
        <w:r w:rsidR="00423092" w:rsidRPr="00423092">
          <w:rPr>
            <w:noProof/>
            <w:webHidden/>
          </w:rPr>
          <w:instrText xml:space="preserve"> PAGEREF _Toc457604039 \h </w:instrText>
        </w:r>
        <w:r w:rsidRPr="00423092">
          <w:rPr>
            <w:noProof/>
            <w:webHidden/>
          </w:rPr>
        </w:r>
        <w:r w:rsidRPr="00423092">
          <w:rPr>
            <w:noProof/>
            <w:webHidden/>
          </w:rPr>
          <w:fldChar w:fldCharType="separate"/>
        </w:r>
        <w:r w:rsidR="00BA08F0">
          <w:rPr>
            <w:noProof/>
            <w:webHidden/>
          </w:rPr>
          <w:t>150</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40" w:history="1">
        <w:r w:rsidR="00423092" w:rsidRPr="00423092">
          <w:rPr>
            <w:rStyle w:val="Hyperlink"/>
            <w:rFonts w:cs="Calibri"/>
            <w:noProof/>
            <w:lang w:val="en-US"/>
          </w:rPr>
          <w:t>Table 5</w:t>
        </w:r>
        <w:r w:rsidR="00423092" w:rsidRPr="00423092">
          <w:rPr>
            <w:rStyle w:val="Hyperlink"/>
            <w:rFonts w:cs="Calibri"/>
            <w:noProof/>
            <w:lang w:val="en-US"/>
          </w:rPr>
          <w:noBreakHyphen/>
          <w:t>24: APPROVED COST OF POWER PURCHASE FROM UPRVUNL STATIONS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_Toc457604040 \h </w:instrText>
        </w:r>
        <w:r w:rsidRPr="00423092">
          <w:rPr>
            <w:noProof/>
            <w:webHidden/>
          </w:rPr>
        </w:r>
        <w:r w:rsidRPr="00423092">
          <w:rPr>
            <w:noProof/>
            <w:webHidden/>
          </w:rPr>
          <w:fldChar w:fldCharType="separate"/>
        </w:r>
        <w:r w:rsidR="00BA08F0">
          <w:rPr>
            <w:noProof/>
            <w:webHidden/>
          </w:rPr>
          <w:t>150</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41" w:history="1">
        <w:r w:rsidR="00423092" w:rsidRPr="00423092">
          <w:rPr>
            <w:rStyle w:val="Hyperlink"/>
            <w:rFonts w:cs="Calibri"/>
            <w:noProof/>
            <w:lang w:val="en-US"/>
          </w:rPr>
          <w:t>Table 5</w:t>
        </w:r>
        <w:r w:rsidR="00423092" w:rsidRPr="00423092">
          <w:rPr>
            <w:rStyle w:val="Hyperlink"/>
            <w:rFonts w:cs="Calibri"/>
            <w:noProof/>
            <w:lang w:val="en-US"/>
          </w:rPr>
          <w:noBreakHyphen/>
          <w:t>25: APPROVED COST OF POWER PURCHASE FROM UPJVNL STATIONS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_Toc457604041 \h </w:instrText>
        </w:r>
        <w:r w:rsidRPr="00423092">
          <w:rPr>
            <w:noProof/>
            <w:webHidden/>
          </w:rPr>
        </w:r>
        <w:r w:rsidRPr="00423092">
          <w:rPr>
            <w:noProof/>
            <w:webHidden/>
          </w:rPr>
          <w:fldChar w:fldCharType="separate"/>
        </w:r>
        <w:r w:rsidR="00BA08F0">
          <w:rPr>
            <w:noProof/>
            <w:webHidden/>
          </w:rPr>
          <w:t>151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42" w:history="1">
        <w:r w:rsidR="00423092" w:rsidRPr="00423092">
          <w:rPr>
            <w:rStyle w:val="Hyperlink"/>
            <w:rFonts w:cs="Calibri"/>
            <w:noProof/>
            <w:lang w:val="en-US"/>
          </w:rPr>
          <w:t>Table 5</w:t>
        </w:r>
        <w:r w:rsidR="00423092" w:rsidRPr="00423092">
          <w:rPr>
            <w:rStyle w:val="Hyperlink"/>
            <w:rFonts w:cs="Calibri"/>
            <w:noProof/>
            <w:lang w:val="en-US"/>
          </w:rPr>
          <w:noBreakHyphen/>
          <w:t>26: ASSUMPTIONS FOR POWER PURCHASE FROM NTPC STATIONS AS CONSIDERED BY THE DISTRIBUTION LICENSEES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_Toc457604042 \h </w:instrText>
        </w:r>
        <w:r w:rsidRPr="00423092">
          <w:rPr>
            <w:noProof/>
            <w:webHidden/>
          </w:rPr>
        </w:r>
        <w:r w:rsidRPr="00423092">
          <w:rPr>
            <w:noProof/>
            <w:webHidden/>
          </w:rPr>
          <w:fldChar w:fldCharType="separate"/>
        </w:r>
        <w:r w:rsidR="00BA08F0">
          <w:rPr>
            <w:noProof/>
            <w:webHidden/>
          </w:rPr>
          <w:t>152</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43" w:history="1">
        <w:r w:rsidR="00423092" w:rsidRPr="00423092">
          <w:rPr>
            <w:rStyle w:val="Hyperlink"/>
            <w:rFonts w:cs="Calibri"/>
            <w:noProof/>
            <w:lang w:val="en-US"/>
          </w:rPr>
          <w:t>Table 5</w:t>
        </w:r>
        <w:r w:rsidR="00423092" w:rsidRPr="00423092">
          <w:rPr>
            <w:rStyle w:val="Hyperlink"/>
            <w:rFonts w:cs="Calibri"/>
            <w:noProof/>
            <w:lang w:val="en-US"/>
          </w:rPr>
          <w:noBreakHyphen/>
          <w:t>27: ASSUMPTIONS FOR POWER PURCHASE FROM NHPC STATIONS AS CONSIDERED BY THE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_Toc457604043 \h </w:instrText>
        </w:r>
        <w:r w:rsidRPr="00423092">
          <w:rPr>
            <w:noProof/>
            <w:webHidden/>
          </w:rPr>
        </w:r>
        <w:r w:rsidRPr="00423092">
          <w:rPr>
            <w:noProof/>
            <w:webHidden/>
          </w:rPr>
          <w:fldChar w:fldCharType="separate"/>
        </w:r>
        <w:r w:rsidR="00BA08F0">
          <w:rPr>
            <w:noProof/>
            <w:webHidden/>
          </w:rPr>
          <w:t>152</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44" w:history="1">
        <w:r w:rsidR="00423092" w:rsidRPr="00423092">
          <w:rPr>
            <w:rStyle w:val="Hyperlink"/>
            <w:rFonts w:cs="Calibri"/>
            <w:noProof/>
            <w:lang w:val="en-US"/>
          </w:rPr>
          <w:t>Table 5</w:t>
        </w:r>
        <w:r w:rsidR="00423092" w:rsidRPr="00423092">
          <w:rPr>
            <w:rStyle w:val="Hyperlink"/>
            <w:rFonts w:cs="Calibri"/>
            <w:noProof/>
            <w:lang w:val="en-US"/>
          </w:rPr>
          <w:noBreakHyphen/>
          <w:t>28: ASSUMPTIONS FOR POWER PURCHASE FROM NPCIL STATIONS AS CONSIDERED BY THE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_Toc457604044 \h </w:instrText>
        </w:r>
        <w:r w:rsidRPr="00423092">
          <w:rPr>
            <w:noProof/>
            <w:webHidden/>
          </w:rPr>
        </w:r>
        <w:r w:rsidRPr="00423092">
          <w:rPr>
            <w:noProof/>
            <w:webHidden/>
          </w:rPr>
          <w:fldChar w:fldCharType="separate"/>
        </w:r>
        <w:r w:rsidR="00BA08F0">
          <w:rPr>
            <w:noProof/>
            <w:webHidden/>
          </w:rPr>
          <w:t>153</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45" w:history="1">
        <w:r w:rsidR="00423092" w:rsidRPr="00423092">
          <w:rPr>
            <w:rStyle w:val="Hyperlink"/>
            <w:rFonts w:cs="Calibri"/>
            <w:noProof/>
            <w:lang w:val="en-US"/>
          </w:rPr>
          <w:t>Table 5</w:t>
        </w:r>
        <w:r w:rsidR="00423092" w:rsidRPr="00423092">
          <w:rPr>
            <w:rStyle w:val="Hyperlink"/>
            <w:rFonts w:cs="Calibri"/>
            <w:noProof/>
            <w:lang w:val="en-US"/>
          </w:rPr>
          <w:noBreakHyphen/>
          <w:t>29: DETAILS OF POWER PURCHASE COST FROM NTPC STATIONS FOR FY2016-17 AS SUBMITTED BY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_Toc457604045 \h </w:instrText>
        </w:r>
        <w:r w:rsidRPr="00423092">
          <w:rPr>
            <w:noProof/>
            <w:webHidden/>
          </w:rPr>
        </w:r>
        <w:r w:rsidRPr="00423092">
          <w:rPr>
            <w:noProof/>
            <w:webHidden/>
          </w:rPr>
          <w:fldChar w:fldCharType="separate"/>
        </w:r>
        <w:r w:rsidR="00BA08F0">
          <w:rPr>
            <w:noProof/>
            <w:webHidden/>
          </w:rPr>
          <w:t>153</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46" w:history="1">
        <w:r w:rsidR="00423092" w:rsidRPr="00423092">
          <w:rPr>
            <w:rStyle w:val="Hyperlink"/>
            <w:rFonts w:cs="Calibri"/>
            <w:noProof/>
            <w:lang w:val="en-US"/>
          </w:rPr>
          <w:t>Table 5</w:t>
        </w:r>
        <w:r w:rsidR="00423092" w:rsidRPr="00423092">
          <w:rPr>
            <w:rStyle w:val="Hyperlink"/>
            <w:rFonts w:cs="Calibri"/>
            <w:noProof/>
            <w:lang w:val="en-US"/>
          </w:rPr>
          <w:noBreakHyphen/>
          <w:t>30: DETAILS OF POWER PURCHASE COST FROM NHPC STATIONS FOR FY2016-17 AS SUBMITTED BY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_Toc457604046 \h </w:instrText>
        </w:r>
        <w:r w:rsidRPr="00423092">
          <w:rPr>
            <w:noProof/>
            <w:webHidden/>
          </w:rPr>
        </w:r>
        <w:r w:rsidRPr="00423092">
          <w:rPr>
            <w:noProof/>
            <w:webHidden/>
          </w:rPr>
          <w:fldChar w:fldCharType="separate"/>
        </w:r>
        <w:r w:rsidR="00BA08F0">
          <w:rPr>
            <w:noProof/>
            <w:webHidden/>
          </w:rPr>
          <w:t>154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47" w:history="1">
        <w:r w:rsidR="00423092" w:rsidRPr="00423092">
          <w:rPr>
            <w:rStyle w:val="Hyperlink"/>
            <w:rFonts w:cs="Calibri"/>
            <w:noProof/>
            <w:lang w:val="en-US"/>
          </w:rPr>
          <w:t>Table 5</w:t>
        </w:r>
        <w:r w:rsidR="00423092" w:rsidRPr="00423092">
          <w:rPr>
            <w:rStyle w:val="Hyperlink"/>
            <w:rFonts w:cs="Calibri"/>
            <w:noProof/>
            <w:lang w:val="en-US"/>
          </w:rPr>
          <w:noBreakHyphen/>
          <w:t>31: DETAILS OF POWER PURCHASE COST FROM NPCIL STATIONS FOR FY2016-17 AS SUBMITTED BY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_Toc457604047 \h </w:instrText>
        </w:r>
        <w:r w:rsidRPr="00423092">
          <w:rPr>
            <w:noProof/>
            <w:webHidden/>
          </w:rPr>
        </w:r>
        <w:r w:rsidRPr="00423092">
          <w:rPr>
            <w:noProof/>
            <w:webHidden/>
          </w:rPr>
          <w:fldChar w:fldCharType="separate"/>
        </w:r>
        <w:r w:rsidR="00BA08F0">
          <w:rPr>
            <w:noProof/>
            <w:webHidden/>
          </w:rPr>
          <w:t>154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48" w:history="1">
        <w:r w:rsidR="00423092" w:rsidRPr="00423092">
          <w:rPr>
            <w:rStyle w:val="Hyperlink"/>
            <w:rFonts w:cs="Calibri"/>
            <w:noProof/>
            <w:lang w:val="en-US"/>
          </w:rPr>
          <w:t>Table 5</w:t>
        </w:r>
        <w:r w:rsidR="00423092" w:rsidRPr="00423092">
          <w:rPr>
            <w:rStyle w:val="Hyperlink"/>
            <w:rFonts w:cs="Calibri"/>
            <w:noProof/>
            <w:lang w:val="en-US"/>
          </w:rPr>
          <w:noBreakHyphen/>
          <w:t>32: ASSUMPTIONS OF POWER PURCHASE FROM NTPC AS CONSIDERED BY THE COMMISSION</w:t>
        </w:r>
        <w:r w:rsidR="00423092" w:rsidRPr="00423092">
          <w:rPr>
            <w:noProof/>
            <w:webHidden/>
          </w:rPr>
          <w:tab/>
        </w:r>
        <w:r w:rsidRPr="00423092">
          <w:rPr>
            <w:noProof/>
            <w:webHidden/>
          </w:rPr>
          <w:fldChar w:fldCharType="begin"/>
        </w:r>
        <w:r w:rsidR="00423092" w:rsidRPr="00423092">
          <w:rPr>
            <w:noProof/>
            <w:webHidden/>
          </w:rPr>
          <w:instrText xml:space="preserve"> PAGEREF _Toc457604048 \h </w:instrText>
        </w:r>
        <w:r w:rsidRPr="00423092">
          <w:rPr>
            <w:noProof/>
            <w:webHidden/>
          </w:rPr>
        </w:r>
        <w:r w:rsidRPr="00423092">
          <w:rPr>
            <w:noProof/>
            <w:webHidden/>
          </w:rPr>
          <w:fldChar w:fldCharType="separate"/>
        </w:r>
        <w:r w:rsidR="00BA08F0">
          <w:rPr>
            <w:noProof/>
            <w:webHidden/>
          </w:rPr>
          <w:t>155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49" w:history="1">
        <w:r w:rsidR="00423092" w:rsidRPr="00423092">
          <w:rPr>
            <w:rStyle w:val="Hyperlink"/>
            <w:rFonts w:cs="Calibri"/>
            <w:noProof/>
            <w:lang w:val="en-US"/>
          </w:rPr>
          <w:t>Table 5</w:t>
        </w:r>
        <w:r w:rsidR="00423092" w:rsidRPr="00423092">
          <w:rPr>
            <w:rStyle w:val="Hyperlink"/>
            <w:rFonts w:cs="Calibri"/>
            <w:noProof/>
            <w:lang w:val="en-US"/>
          </w:rPr>
          <w:noBreakHyphen/>
          <w:t>33: ASSUMPTIONS FOR POWER PURCHASE FROM NHPC STATIONS AS CONSIDERED BY THE COMMISSION</w:t>
        </w:r>
        <w:r w:rsidR="00423092" w:rsidRPr="00423092">
          <w:rPr>
            <w:noProof/>
            <w:webHidden/>
          </w:rPr>
          <w:tab/>
        </w:r>
        <w:r w:rsidRPr="00423092">
          <w:rPr>
            <w:noProof/>
            <w:webHidden/>
          </w:rPr>
          <w:fldChar w:fldCharType="begin"/>
        </w:r>
        <w:r w:rsidR="00423092" w:rsidRPr="00423092">
          <w:rPr>
            <w:noProof/>
            <w:webHidden/>
          </w:rPr>
          <w:instrText xml:space="preserve"> PAGEREF _Toc457604049 \h </w:instrText>
        </w:r>
        <w:r w:rsidRPr="00423092">
          <w:rPr>
            <w:noProof/>
            <w:webHidden/>
          </w:rPr>
        </w:r>
        <w:r w:rsidRPr="00423092">
          <w:rPr>
            <w:noProof/>
            <w:webHidden/>
          </w:rPr>
          <w:fldChar w:fldCharType="separate"/>
        </w:r>
        <w:r w:rsidR="00BA08F0">
          <w:rPr>
            <w:noProof/>
            <w:webHidden/>
          </w:rPr>
          <w:t>155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50" w:history="1">
        <w:r w:rsidR="00423092" w:rsidRPr="00423092">
          <w:rPr>
            <w:rStyle w:val="Hyperlink"/>
            <w:rFonts w:cs="Calibri"/>
            <w:noProof/>
            <w:lang w:val="en-US"/>
          </w:rPr>
          <w:t>Table 5</w:t>
        </w:r>
        <w:r w:rsidR="00423092" w:rsidRPr="00423092">
          <w:rPr>
            <w:rStyle w:val="Hyperlink"/>
            <w:rFonts w:cs="Calibri"/>
            <w:noProof/>
            <w:lang w:val="en-US"/>
          </w:rPr>
          <w:noBreakHyphen/>
          <w:t>34: ASSUMPTIONS FOR POWER PURCHASE FROM NPCIL STATIONS AS CONSIDERED BY THE COMMISSION</w:t>
        </w:r>
        <w:r w:rsidR="00423092" w:rsidRPr="00423092">
          <w:rPr>
            <w:noProof/>
            <w:webHidden/>
          </w:rPr>
          <w:tab/>
        </w:r>
        <w:r w:rsidRPr="00423092">
          <w:rPr>
            <w:noProof/>
            <w:webHidden/>
          </w:rPr>
          <w:fldChar w:fldCharType="begin"/>
        </w:r>
        <w:r w:rsidR="00423092" w:rsidRPr="00423092">
          <w:rPr>
            <w:noProof/>
            <w:webHidden/>
          </w:rPr>
          <w:instrText xml:space="preserve"> PAGEREF _Toc457604050 \h </w:instrText>
        </w:r>
        <w:r w:rsidRPr="00423092">
          <w:rPr>
            <w:noProof/>
            <w:webHidden/>
          </w:rPr>
        </w:r>
        <w:r w:rsidRPr="00423092">
          <w:rPr>
            <w:noProof/>
            <w:webHidden/>
          </w:rPr>
          <w:fldChar w:fldCharType="separate"/>
        </w:r>
        <w:r w:rsidR="00BA08F0">
          <w:rPr>
            <w:noProof/>
            <w:webHidden/>
          </w:rPr>
          <w:t>156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51" w:history="1">
        <w:r w:rsidR="00423092" w:rsidRPr="00423092">
          <w:rPr>
            <w:rStyle w:val="Hyperlink"/>
            <w:rFonts w:cs="Calibri"/>
            <w:noProof/>
            <w:lang w:val="en-US"/>
          </w:rPr>
          <w:t>Table 5</w:t>
        </w:r>
        <w:r w:rsidR="00423092" w:rsidRPr="00423092">
          <w:rPr>
            <w:rStyle w:val="Hyperlink"/>
            <w:rFonts w:cs="Calibri"/>
            <w:noProof/>
            <w:lang w:val="en-US"/>
          </w:rPr>
          <w:noBreakHyphen/>
          <w:t>35: APPROVED COST OF POWER PURCHASE FROM NTPC STATIONS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_Toc457604051 \h </w:instrText>
        </w:r>
        <w:r w:rsidRPr="00423092">
          <w:rPr>
            <w:noProof/>
            <w:webHidden/>
          </w:rPr>
        </w:r>
        <w:r w:rsidRPr="00423092">
          <w:rPr>
            <w:noProof/>
            <w:webHidden/>
          </w:rPr>
          <w:fldChar w:fldCharType="separate"/>
        </w:r>
        <w:r w:rsidR="00BA08F0">
          <w:rPr>
            <w:noProof/>
            <w:webHidden/>
          </w:rPr>
          <w:t>156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52" w:history="1">
        <w:r w:rsidR="00423092" w:rsidRPr="00423092">
          <w:rPr>
            <w:rStyle w:val="Hyperlink"/>
            <w:rFonts w:cs="Calibri"/>
            <w:noProof/>
            <w:lang w:val="en-US"/>
          </w:rPr>
          <w:t>Table 5</w:t>
        </w:r>
        <w:r w:rsidR="00423092" w:rsidRPr="00423092">
          <w:rPr>
            <w:rStyle w:val="Hyperlink"/>
            <w:rFonts w:cs="Calibri"/>
            <w:noProof/>
            <w:lang w:val="en-US"/>
          </w:rPr>
          <w:noBreakHyphen/>
          <w:t>36: APPROVED COST OF POWER PURCHASE FROM NHPC STATIONS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_Toc457604052 \h </w:instrText>
        </w:r>
        <w:r w:rsidRPr="00423092">
          <w:rPr>
            <w:noProof/>
            <w:webHidden/>
          </w:rPr>
        </w:r>
        <w:r w:rsidRPr="00423092">
          <w:rPr>
            <w:noProof/>
            <w:webHidden/>
          </w:rPr>
          <w:fldChar w:fldCharType="separate"/>
        </w:r>
        <w:r w:rsidR="00BA08F0">
          <w:rPr>
            <w:noProof/>
            <w:webHidden/>
          </w:rPr>
          <w:t>157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53" w:history="1">
        <w:r w:rsidR="00423092" w:rsidRPr="00423092">
          <w:rPr>
            <w:rStyle w:val="Hyperlink"/>
            <w:rFonts w:cs="Calibri"/>
            <w:noProof/>
            <w:lang w:val="en-US"/>
          </w:rPr>
          <w:t>Table 5</w:t>
        </w:r>
        <w:r w:rsidR="00423092" w:rsidRPr="00423092">
          <w:rPr>
            <w:rStyle w:val="Hyperlink"/>
            <w:rFonts w:cs="Calibri"/>
            <w:noProof/>
            <w:lang w:val="en-US"/>
          </w:rPr>
          <w:noBreakHyphen/>
          <w:t>37: APPROVED COST OF POWER PURCHASE FROM NPCIL STATIONS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_Toc457604053 \h </w:instrText>
        </w:r>
        <w:r w:rsidRPr="00423092">
          <w:rPr>
            <w:noProof/>
            <w:webHidden/>
          </w:rPr>
        </w:r>
        <w:r w:rsidRPr="00423092">
          <w:rPr>
            <w:noProof/>
            <w:webHidden/>
          </w:rPr>
          <w:fldChar w:fldCharType="separate"/>
        </w:r>
        <w:r w:rsidR="00BA08F0">
          <w:rPr>
            <w:noProof/>
            <w:webHidden/>
          </w:rPr>
          <w:t>158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54" w:history="1">
        <w:r w:rsidR="00423092" w:rsidRPr="00423092">
          <w:rPr>
            <w:rStyle w:val="Hyperlink"/>
            <w:rFonts w:cs="Calibri"/>
            <w:noProof/>
            <w:lang w:val="en-US"/>
          </w:rPr>
          <w:t>Table 5</w:t>
        </w:r>
        <w:r w:rsidR="00423092" w:rsidRPr="00423092">
          <w:rPr>
            <w:rStyle w:val="Hyperlink"/>
            <w:rFonts w:cs="Calibri"/>
            <w:noProof/>
            <w:lang w:val="en-US"/>
          </w:rPr>
          <w:noBreakHyphen/>
          <w:t>38: ASSUMPTIONS FOR POWER PURCHASE FROM IPPS / JVs AS CONSIDERED BY THE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_Toc457604054 \h </w:instrText>
        </w:r>
        <w:r w:rsidRPr="00423092">
          <w:rPr>
            <w:noProof/>
            <w:webHidden/>
          </w:rPr>
        </w:r>
        <w:r w:rsidRPr="00423092">
          <w:rPr>
            <w:noProof/>
            <w:webHidden/>
          </w:rPr>
          <w:fldChar w:fldCharType="separate"/>
        </w:r>
        <w:r w:rsidR="00BA08F0">
          <w:rPr>
            <w:noProof/>
            <w:webHidden/>
          </w:rPr>
          <w:t>158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55" w:history="1">
        <w:r w:rsidR="00423092" w:rsidRPr="00423092">
          <w:rPr>
            <w:rStyle w:val="Hyperlink"/>
            <w:rFonts w:cs="Calibri"/>
            <w:noProof/>
            <w:lang w:val="en-US"/>
          </w:rPr>
          <w:t>Table 5</w:t>
        </w:r>
        <w:r w:rsidR="00423092" w:rsidRPr="00423092">
          <w:rPr>
            <w:rStyle w:val="Hyperlink"/>
            <w:rFonts w:cs="Calibri"/>
            <w:noProof/>
            <w:lang w:val="en-US"/>
          </w:rPr>
          <w:noBreakHyphen/>
          <w:t>39: DETAILS OF POWER PURCHASE COST FROM IPPS / JVs STATIONS FOR FY2016-17 AS SUBMITTED BY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_Toc457604055 \h </w:instrText>
        </w:r>
        <w:r w:rsidRPr="00423092">
          <w:rPr>
            <w:noProof/>
            <w:webHidden/>
          </w:rPr>
        </w:r>
        <w:r w:rsidRPr="00423092">
          <w:rPr>
            <w:noProof/>
            <w:webHidden/>
          </w:rPr>
          <w:fldChar w:fldCharType="separate"/>
        </w:r>
        <w:r w:rsidR="00BA08F0">
          <w:rPr>
            <w:noProof/>
            <w:webHidden/>
          </w:rPr>
          <w:t>159</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56" w:history="1">
        <w:r w:rsidR="00423092" w:rsidRPr="00423092">
          <w:rPr>
            <w:rStyle w:val="Hyperlink"/>
            <w:rFonts w:cs="Calibri"/>
            <w:noProof/>
            <w:lang w:val="en-US"/>
          </w:rPr>
          <w:t>Table 5</w:t>
        </w:r>
        <w:r w:rsidR="00423092" w:rsidRPr="00423092">
          <w:rPr>
            <w:rStyle w:val="Hyperlink"/>
            <w:rFonts w:cs="Calibri"/>
            <w:noProof/>
            <w:lang w:val="en-US"/>
          </w:rPr>
          <w:noBreakHyphen/>
          <w:t>40: ASSUMPTIONS FOR POWER PURCHASE FROM IPPS / JVs AS CONSIDERED BY THE COMMISSION</w:t>
        </w:r>
        <w:r w:rsidR="00423092" w:rsidRPr="00423092">
          <w:rPr>
            <w:noProof/>
            <w:webHidden/>
          </w:rPr>
          <w:tab/>
        </w:r>
        <w:r w:rsidRPr="00423092">
          <w:rPr>
            <w:noProof/>
            <w:webHidden/>
          </w:rPr>
          <w:fldChar w:fldCharType="begin"/>
        </w:r>
        <w:r w:rsidR="00423092" w:rsidRPr="00423092">
          <w:rPr>
            <w:noProof/>
            <w:webHidden/>
          </w:rPr>
          <w:instrText xml:space="preserve"> PAGEREF _Toc457604056 \h </w:instrText>
        </w:r>
        <w:r w:rsidRPr="00423092">
          <w:rPr>
            <w:noProof/>
            <w:webHidden/>
          </w:rPr>
        </w:r>
        <w:r w:rsidRPr="00423092">
          <w:rPr>
            <w:noProof/>
            <w:webHidden/>
          </w:rPr>
          <w:fldChar w:fldCharType="separate"/>
        </w:r>
        <w:r w:rsidR="00BA08F0">
          <w:rPr>
            <w:noProof/>
            <w:webHidden/>
          </w:rPr>
          <w:t>160</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57" w:history="1">
        <w:r w:rsidR="00423092" w:rsidRPr="00423092">
          <w:rPr>
            <w:rStyle w:val="Hyperlink"/>
            <w:rFonts w:cs="Calibri"/>
            <w:noProof/>
            <w:lang w:val="en-US"/>
          </w:rPr>
          <w:t>Table 5</w:t>
        </w:r>
        <w:r w:rsidR="00423092" w:rsidRPr="00423092">
          <w:rPr>
            <w:rStyle w:val="Hyperlink"/>
            <w:rFonts w:cs="Calibri"/>
            <w:noProof/>
            <w:lang w:val="en-US"/>
          </w:rPr>
          <w:noBreakHyphen/>
          <w:t>41: APPROVED COST OF POWER PURCHASE FROM IPPS / JVs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_Toc457604057 \h </w:instrText>
        </w:r>
        <w:r w:rsidRPr="00423092">
          <w:rPr>
            <w:noProof/>
            <w:webHidden/>
          </w:rPr>
        </w:r>
        <w:r w:rsidRPr="00423092">
          <w:rPr>
            <w:noProof/>
            <w:webHidden/>
          </w:rPr>
          <w:fldChar w:fldCharType="separate"/>
        </w:r>
        <w:r w:rsidR="00BA08F0">
          <w:rPr>
            <w:noProof/>
            <w:webHidden/>
          </w:rPr>
          <w:t>160</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58" w:history="1">
        <w:r w:rsidR="00423092" w:rsidRPr="00423092">
          <w:rPr>
            <w:rStyle w:val="Hyperlink"/>
            <w:rFonts w:cs="Calibri"/>
            <w:noProof/>
            <w:lang w:val="en-US"/>
          </w:rPr>
          <w:t>Table 5</w:t>
        </w:r>
        <w:r w:rsidR="00423092" w:rsidRPr="00423092">
          <w:rPr>
            <w:rStyle w:val="Hyperlink"/>
            <w:rFonts w:cs="Calibri"/>
            <w:noProof/>
            <w:lang w:val="en-US"/>
          </w:rPr>
          <w:noBreakHyphen/>
          <w:t xml:space="preserve">42: </w:t>
        </w:r>
        <w:r w:rsidR="00423092" w:rsidRPr="00423092">
          <w:rPr>
            <w:rStyle w:val="Hyperlink"/>
            <w:rFonts w:cs="Calibri"/>
            <w:bCs/>
            <w:noProof/>
          </w:rPr>
          <w:t>POWER PURCHASE COST: STATE CO-GENERATION FACILITIES, SOLAR AND OTHER SOURCES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_Toc457604058 \h </w:instrText>
        </w:r>
        <w:r w:rsidRPr="00423092">
          <w:rPr>
            <w:noProof/>
            <w:webHidden/>
          </w:rPr>
        </w:r>
        <w:r w:rsidRPr="00423092">
          <w:rPr>
            <w:noProof/>
            <w:webHidden/>
          </w:rPr>
          <w:fldChar w:fldCharType="separate"/>
        </w:r>
        <w:r w:rsidR="00BA08F0">
          <w:rPr>
            <w:noProof/>
            <w:webHidden/>
          </w:rPr>
          <w:t>161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59" w:history="1">
        <w:r w:rsidR="00423092" w:rsidRPr="00423092">
          <w:rPr>
            <w:rStyle w:val="Hyperlink"/>
            <w:rFonts w:cs="Calibri"/>
            <w:noProof/>
            <w:lang w:val="en-US"/>
          </w:rPr>
          <w:t>Table 5</w:t>
        </w:r>
        <w:r w:rsidR="00423092" w:rsidRPr="00423092">
          <w:rPr>
            <w:rStyle w:val="Hyperlink"/>
            <w:rFonts w:cs="Calibri"/>
            <w:noProof/>
            <w:lang w:val="en-US"/>
          </w:rPr>
          <w:noBreakHyphen/>
          <w:t>43: APPROVED COST OF POWER PURCHASE FROM STATE CO-GENERATION FACILITIES AND SOLAR ENERGY SOURCES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_Toc457604059 \h </w:instrText>
        </w:r>
        <w:r w:rsidRPr="00423092">
          <w:rPr>
            <w:noProof/>
            <w:webHidden/>
          </w:rPr>
        </w:r>
        <w:r w:rsidRPr="00423092">
          <w:rPr>
            <w:noProof/>
            <w:webHidden/>
          </w:rPr>
          <w:fldChar w:fldCharType="separate"/>
        </w:r>
        <w:r w:rsidR="00BA08F0">
          <w:rPr>
            <w:noProof/>
            <w:webHidden/>
          </w:rPr>
          <w:t>162</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60" w:history="1">
        <w:r w:rsidR="00423092" w:rsidRPr="00423092">
          <w:rPr>
            <w:rStyle w:val="Hyperlink"/>
            <w:rFonts w:cs="Calibri"/>
            <w:noProof/>
            <w:lang w:val="en-US"/>
          </w:rPr>
          <w:t>Table 5</w:t>
        </w:r>
        <w:r w:rsidR="00423092" w:rsidRPr="00423092">
          <w:rPr>
            <w:rStyle w:val="Hyperlink"/>
            <w:rFonts w:cs="Calibri"/>
            <w:noProof/>
            <w:lang w:val="en-US"/>
          </w:rPr>
          <w:noBreakHyphen/>
          <w:t>44: DETAILS OF POWER PURCHASE COST FROM INTER SYSTEM EXCHANGE (BILATERAL &amp; PXIL) / UI AS SUBMITTED BY DISTRIBUTION LICENSEES</w:t>
        </w:r>
        <w:r w:rsidR="00423092" w:rsidRPr="00423092">
          <w:rPr>
            <w:noProof/>
            <w:webHidden/>
          </w:rPr>
          <w:tab/>
        </w:r>
        <w:r w:rsidRPr="00423092">
          <w:rPr>
            <w:noProof/>
            <w:webHidden/>
          </w:rPr>
          <w:fldChar w:fldCharType="begin"/>
        </w:r>
        <w:r w:rsidR="00423092" w:rsidRPr="00423092">
          <w:rPr>
            <w:noProof/>
            <w:webHidden/>
          </w:rPr>
          <w:instrText xml:space="preserve"> PAGEREF _Toc457604060 \h </w:instrText>
        </w:r>
        <w:r w:rsidRPr="00423092">
          <w:rPr>
            <w:noProof/>
            <w:webHidden/>
          </w:rPr>
        </w:r>
        <w:r w:rsidRPr="00423092">
          <w:rPr>
            <w:noProof/>
            <w:webHidden/>
          </w:rPr>
          <w:fldChar w:fldCharType="separate"/>
        </w:r>
        <w:r w:rsidR="00BA08F0">
          <w:rPr>
            <w:noProof/>
            <w:webHidden/>
          </w:rPr>
          <w:t>163</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61" w:history="1">
        <w:r w:rsidR="00423092" w:rsidRPr="00423092">
          <w:rPr>
            <w:rStyle w:val="Hyperlink"/>
            <w:rFonts w:cs="Calibri"/>
            <w:noProof/>
            <w:lang w:val="en-US"/>
          </w:rPr>
          <w:t>Table 5</w:t>
        </w:r>
        <w:r w:rsidR="00423092" w:rsidRPr="00423092">
          <w:rPr>
            <w:rStyle w:val="Hyperlink"/>
            <w:rFonts w:cs="Calibri"/>
            <w:noProof/>
            <w:lang w:val="en-US"/>
          </w:rPr>
          <w:noBreakHyphen/>
          <w:t>45: APPROVED COST OF POWER PURCHASE FROM INTER SYSTEM EXCHANGE (BILATERAL &amp; PXIL) / UI</w:t>
        </w:r>
        <w:r w:rsidR="00423092" w:rsidRPr="00423092">
          <w:rPr>
            <w:noProof/>
            <w:webHidden/>
          </w:rPr>
          <w:tab/>
        </w:r>
        <w:r w:rsidRPr="00423092">
          <w:rPr>
            <w:noProof/>
            <w:webHidden/>
          </w:rPr>
          <w:fldChar w:fldCharType="begin"/>
        </w:r>
        <w:r w:rsidR="00423092" w:rsidRPr="00423092">
          <w:rPr>
            <w:noProof/>
            <w:webHidden/>
          </w:rPr>
          <w:instrText xml:space="preserve"> PAGEREF _Toc457604061 \h </w:instrText>
        </w:r>
        <w:r w:rsidRPr="00423092">
          <w:rPr>
            <w:noProof/>
            <w:webHidden/>
          </w:rPr>
        </w:r>
        <w:r w:rsidRPr="00423092">
          <w:rPr>
            <w:noProof/>
            <w:webHidden/>
          </w:rPr>
          <w:fldChar w:fldCharType="separate"/>
        </w:r>
        <w:r w:rsidR="00BA08F0">
          <w:rPr>
            <w:noProof/>
            <w:webHidden/>
          </w:rPr>
          <w:t>164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62" w:history="1">
        <w:r w:rsidR="00423092" w:rsidRPr="00423092">
          <w:rPr>
            <w:rStyle w:val="Hyperlink"/>
            <w:rFonts w:cs="Calibri"/>
            <w:noProof/>
            <w:lang w:val="en-US"/>
          </w:rPr>
          <w:t>Table 5</w:t>
        </w:r>
        <w:r w:rsidR="00423092" w:rsidRPr="00423092">
          <w:rPr>
            <w:rStyle w:val="Hyperlink"/>
            <w:rFonts w:cs="Calibri"/>
            <w:noProof/>
            <w:lang w:val="en-US"/>
          </w:rPr>
          <w:noBreakHyphen/>
          <w:t>46: SUMMARY OF POWER PURCHASE COST FOR FY 2016-17 AS SUBMITTED BY THE DISTRIBUTION LICENSEES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_Toc457604062 \h </w:instrText>
        </w:r>
        <w:r w:rsidRPr="00423092">
          <w:rPr>
            <w:noProof/>
            <w:webHidden/>
          </w:rPr>
        </w:r>
        <w:r w:rsidRPr="00423092">
          <w:rPr>
            <w:noProof/>
            <w:webHidden/>
          </w:rPr>
          <w:fldChar w:fldCharType="separate"/>
        </w:r>
        <w:r w:rsidR="00BA08F0">
          <w:rPr>
            <w:noProof/>
            <w:webHidden/>
          </w:rPr>
          <w:t>175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63" w:history="1">
        <w:r w:rsidR="00423092" w:rsidRPr="00423092">
          <w:rPr>
            <w:rStyle w:val="Hyperlink"/>
            <w:rFonts w:cs="Calibri"/>
            <w:noProof/>
            <w:lang w:val="en-US"/>
          </w:rPr>
          <w:t>Table 5</w:t>
        </w:r>
        <w:r w:rsidR="00423092" w:rsidRPr="00423092">
          <w:rPr>
            <w:rStyle w:val="Hyperlink"/>
            <w:rFonts w:cs="Calibri"/>
            <w:noProof/>
            <w:lang w:val="en-US"/>
          </w:rPr>
          <w:noBreakHyphen/>
          <w:t>47: SUMMARY OF APPROVED POWER PURCHASE COST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_Toc457604063 \h </w:instrText>
        </w:r>
        <w:r w:rsidRPr="00423092">
          <w:rPr>
            <w:noProof/>
            <w:webHidden/>
          </w:rPr>
        </w:r>
        <w:r w:rsidRPr="00423092">
          <w:rPr>
            <w:noProof/>
            <w:webHidden/>
          </w:rPr>
          <w:fldChar w:fldCharType="separate"/>
        </w:r>
        <w:r w:rsidR="00BA08F0">
          <w:rPr>
            <w:noProof/>
            <w:webHidden/>
          </w:rPr>
          <w:t>178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64" w:history="1">
        <w:r w:rsidR="00423092" w:rsidRPr="00423092">
          <w:rPr>
            <w:rStyle w:val="Hyperlink"/>
            <w:rFonts w:cs="Calibri"/>
            <w:noProof/>
            <w:lang w:val="en-US"/>
          </w:rPr>
          <w:t>Table 5</w:t>
        </w:r>
        <w:r w:rsidR="00423092" w:rsidRPr="00423092">
          <w:rPr>
            <w:rStyle w:val="Hyperlink"/>
            <w:rFonts w:cs="Calibri"/>
            <w:noProof/>
            <w:lang w:val="en-US"/>
          </w:rPr>
          <w:noBreakHyphen/>
          <w:t>48: APPROVED MERIT ORDER DISPATCH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_Toc457604064 \h </w:instrText>
        </w:r>
        <w:r w:rsidRPr="00423092">
          <w:rPr>
            <w:noProof/>
            <w:webHidden/>
          </w:rPr>
        </w:r>
        <w:r w:rsidRPr="00423092">
          <w:rPr>
            <w:noProof/>
            <w:webHidden/>
          </w:rPr>
          <w:fldChar w:fldCharType="separate"/>
        </w:r>
        <w:r w:rsidR="00BA08F0">
          <w:rPr>
            <w:noProof/>
            <w:webHidden/>
          </w:rPr>
          <w:t>181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65" w:history="1">
        <w:r w:rsidR="00423092" w:rsidRPr="00423092">
          <w:rPr>
            <w:rStyle w:val="Hyperlink"/>
            <w:rFonts w:cs="Calibri"/>
            <w:noProof/>
            <w:lang w:val="en-US"/>
          </w:rPr>
          <w:t>TABLE 5</w:t>
        </w:r>
        <w:r w:rsidR="00423092" w:rsidRPr="00423092">
          <w:rPr>
            <w:rStyle w:val="Hyperlink"/>
            <w:rFonts w:cs="Calibri"/>
            <w:noProof/>
            <w:lang w:val="en-US"/>
          </w:rPr>
          <w:noBreakHyphen/>
          <w:t>49: APPROVED PGCIL CHARGES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_Toc457604065 \h </w:instrText>
        </w:r>
        <w:r w:rsidRPr="00423092">
          <w:rPr>
            <w:noProof/>
            <w:webHidden/>
          </w:rPr>
        </w:r>
        <w:r w:rsidRPr="00423092">
          <w:rPr>
            <w:noProof/>
            <w:webHidden/>
          </w:rPr>
          <w:fldChar w:fldCharType="separate"/>
        </w:r>
        <w:r w:rsidR="00BA08F0">
          <w:rPr>
            <w:noProof/>
            <w:webHidden/>
          </w:rPr>
          <w:t>186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66" w:history="1">
        <w:r w:rsidR="00423092" w:rsidRPr="00423092">
          <w:rPr>
            <w:rStyle w:val="Hyperlink"/>
            <w:rFonts w:cs="Calibri"/>
            <w:noProof/>
            <w:lang w:val="en-US"/>
          </w:rPr>
          <w:t>Table 5</w:t>
        </w:r>
        <w:r w:rsidR="00423092" w:rsidRPr="00423092">
          <w:rPr>
            <w:rStyle w:val="Hyperlink"/>
            <w:rFonts w:cs="Calibri"/>
            <w:noProof/>
            <w:lang w:val="en-US"/>
          </w:rPr>
          <w:noBreakHyphen/>
          <w:t>50: APPROVED CONSOLIDATED BULK SUPPLY TARIFF</w:t>
        </w:r>
        <w:r w:rsidR="00423092" w:rsidRPr="00423092">
          <w:rPr>
            <w:noProof/>
            <w:webHidden/>
          </w:rPr>
          <w:tab/>
        </w:r>
        <w:r w:rsidRPr="00423092">
          <w:rPr>
            <w:noProof/>
            <w:webHidden/>
          </w:rPr>
          <w:fldChar w:fldCharType="begin"/>
        </w:r>
        <w:r w:rsidR="00423092" w:rsidRPr="00423092">
          <w:rPr>
            <w:noProof/>
            <w:webHidden/>
          </w:rPr>
          <w:instrText xml:space="preserve"> PAGEREF _Toc457604066 \h </w:instrText>
        </w:r>
        <w:r w:rsidRPr="00423092">
          <w:rPr>
            <w:noProof/>
            <w:webHidden/>
          </w:rPr>
        </w:r>
        <w:r w:rsidRPr="00423092">
          <w:rPr>
            <w:noProof/>
            <w:webHidden/>
          </w:rPr>
          <w:fldChar w:fldCharType="separate"/>
        </w:r>
        <w:r w:rsidR="00BA08F0">
          <w:rPr>
            <w:noProof/>
            <w:webHidden/>
          </w:rPr>
          <w:t>186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67" w:history="1">
        <w:r w:rsidR="00423092" w:rsidRPr="00423092">
          <w:rPr>
            <w:rStyle w:val="Hyperlink"/>
            <w:rFonts w:cs="Calibri"/>
            <w:noProof/>
            <w:lang w:val="en-US"/>
          </w:rPr>
          <w:t>Table 5</w:t>
        </w:r>
        <w:r w:rsidR="00423092" w:rsidRPr="00423092">
          <w:rPr>
            <w:rStyle w:val="Hyperlink"/>
            <w:rFonts w:cs="Calibri"/>
            <w:noProof/>
            <w:lang w:val="en-US"/>
          </w:rPr>
          <w:noBreakHyphen/>
          <w:t>51: POWER PROCUREMENT COST FOR DVVNL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_Toc457604067 \h </w:instrText>
        </w:r>
        <w:r w:rsidRPr="00423092">
          <w:rPr>
            <w:noProof/>
            <w:webHidden/>
          </w:rPr>
        </w:r>
        <w:r w:rsidRPr="00423092">
          <w:rPr>
            <w:noProof/>
            <w:webHidden/>
          </w:rPr>
          <w:fldChar w:fldCharType="separate"/>
        </w:r>
        <w:r w:rsidR="00BA08F0">
          <w:rPr>
            <w:noProof/>
            <w:webHidden/>
          </w:rPr>
          <w:t>187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68" w:history="1">
        <w:r w:rsidR="00423092" w:rsidRPr="00423092">
          <w:rPr>
            <w:rStyle w:val="Hyperlink"/>
            <w:rFonts w:cs="Calibri"/>
            <w:noProof/>
            <w:lang w:val="en-US"/>
          </w:rPr>
          <w:t>Table 5</w:t>
        </w:r>
        <w:r w:rsidR="00423092" w:rsidRPr="00423092">
          <w:rPr>
            <w:rStyle w:val="Hyperlink"/>
            <w:rFonts w:cs="Calibri"/>
            <w:noProof/>
            <w:lang w:val="en-US"/>
          </w:rPr>
          <w:noBreakHyphen/>
          <w:t>52: INTRA STATE TRANSMISSION CHARGES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_Toc457604068 \h </w:instrText>
        </w:r>
        <w:r w:rsidRPr="00423092">
          <w:rPr>
            <w:noProof/>
            <w:webHidden/>
          </w:rPr>
        </w:r>
        <w:r w:rsidRPr="00423092">
          <w:rPr>
            <w:noProof/>
            <w:webHidden/>
          </w:rPr>
          <w:fldChar w:fldCharType="separate"/>
        </w:r>
        <w:r w:rsidR="00BA08F0">
          <w:rPr>
            <w:noProof/>
            <w:webHidden/>
          </w:rPr>
          <w:t>188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69" w:history="1">
        <w:r w:rsidR="00423092" w:rsidRPr="00423092">
          <w:rPr>
            <w:rStyle w:val="Hyperlink"/>
            <w:rFonts w:cs="Calibri"/>
            <w:noProof/>
            <w:lang w:val="en-US"/>
          </w:rPr>
          <w:t>Table 5</w:t>
        </w:r>
        <w:r w:rsidR="00423092" w:rsidRPr="00423092">
          <w:rPr>
            <w:rStyle w:val="Hyperlink"/>
            <w:rFonts w:cs="Calibri"/>
            <w:noProof/>
            <w:lang w:val="en-US"/>
          </w:rPr>
          <w:noBreakHyphen/>
          <w:t>53: O&amp;M EXPENSES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_Toc457604069 \h </w:instrText>
        </w:r>
        <w:r w:rsidRPr="00423092">
          <w:rPr>
            <w:noProof/>
            <w:webHidden/>
          </w:rPr>
        </w:r>
        <w:r w:rsidRPr="00423092">
          <w:rPr>
            <w:noProof/>
            <w:webHidden/>
          </w:rPr>
          <w:fldChar w:fldCharType="separate"/>
        </w:r>
        <w:r w:rsidR="00BA08F0">
          <w:rPr>
            <w:noProof/>
            <w:webHidden/>
          </w:rPr>
          <w:t>191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70" w:history="1">
        <w:r w:rsidR="00423092" w:rsidRPr="00423092">
          <w:rPr>
            <w:rStyle w:val="Hyperlink"/>
            <w:rFonts w:cs="Calibri"/>
            <w:noProof/>
            <w:lang w:val="en-US"/>
          </w:rPr>
          <w:t>TABLE 5</w:t>
        </w:r>
        <w:r w:rsidR="00423092" w:rsidRPr="00423092">
          <w:rPr>
            <w:rStyle w:val="Hyperlink"/>
            <w:rFonts w:cs="Calibri"/>
            <w:noProof/>
            <w:lang w:val="en-US"/>
          </w:rPr>
          <w:noBreakHyphen/>
          <w:t>54: CAPITAL INVESTMENT PLAN PROPOSED BY THE PETITIONER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_Toc457604070 \h </w:instrText>
        </w:r>
        <w:r w:rsidRPr="00423092">
          <w:rPr>
            <w:noProof/>
            <w:webHidden/>
          </w:rPr>
        </w:r>
        <w:r w:rsidRPr="00423092">
          <w:rPr>
            <w:noProof/>
            <w:webHidden/>
          </w:rPr>
          <w:fldChar w:fldCharType="separate"/>
        </w:r>
        <w:r w:rsidR="00BA08F0">
          <w:rPr>
            <w:noProof/>
            <w:webHidden/>
          </w:rPr>
          <w:t>191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71" w:history="1">
        <w:r w:rsidR="00423092" w:rsidRPr="00423092">
          <w:rPr>
            <w:rStyle w:val="Hyperlink"/>
            <w:rFonts w:cs="Calibri"/>
            <w:noProof/>
            <w:lang w:val="en-US"/>
          </w:rPr>
          <w:t>TABLE 5</w:t>
        </w:r>
        <w:r w:rsidR="00423092" w:rsidRPr="00423092">
          <w:rPr>
            <w:rStyle w:val="Hyperlink"/>
            <w:rFonts w:cs="Calibri"/>
            <w:noProof/>
            <w:lang w:val="en-US"/>
          </w:rPr>
          <w:noBreakHyphen/>
          <w:t>55: CAPITALISATION &amp; WIP UP TO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_Toc457604071 \h </w:instrText>
        </w:r>
        <w:r w:rsidRPr="00423092">
          <w:rPr>
            <w:noProof/>
            <w:webHidden/>
          </w:rPr>
        </w:r>
        <w:r w:rsidRPr="00423092">
          <w:rPr>
            <w:noProof/>
            <w:webHidden/>
          </w:rPr>
          <w:fldChar w:fldCharType="separate"/>
        </w:r>
        <w:r w:rsidR="00BA08F0">
          <w:rPr>
            <w:noProof/>
            <w:webHidden/>
          </w:rPr>
          <w:t>196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72" w:history="1">
        <w:r w:rsidR="00423092" w:rsidRPr="00423092">
          <w:rPr>
            <w:rStyle w:val="Hyperlink"/>
            <w:noProof/>
          </w:rPr>
          <w:t>Table 5</w:t>
        </w:r>
        <w:r w:rsidR="00423092" w:rsidRPr="00423092">
          <w:rPr>
            <w:rStyle w:val="Hyperlink"/>
            <w:noProof/>
          </w:rPr>
          <w:noBreakHyphen/>
          <w:t>56: CONSUMER CONTRIBUTIONS, CAPITAL GRANTS AND SUBSIDIES CONSIDERED UP TO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_Toc457604072 \h </w:instrText>
        </w:r>
        <w:r w:rsidRPr="00423092">
          <w:rPr>
            <w:noProof/>
            <w:webHidden/>
          </w:rPr>
        </w:r>
        <w:r w:rsidRPr="00423092">
          <w:rPr>
            <w:noProof/>
            <w:webHidden/>
          </w:rPr>
          <w:fldChar w:fldCharType="separate"/>
        </w:r>
        <w:r w:rsidR="00BA08F0">
          <w:rPr>
            <w:noProof/>
            <w:webHidden/>
          </w:rPr>
          <w:t>198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73" w:history="1">
        <w:r w:rsidR="00423092" w:rsidRPr="00423092">
          <w:rPr>
            <w:rStyle w:val="Hyperlink"/>
            <w:noProof/>
          </w:rPr>
          <w:t>Table 5</w:t>
        </w:r>
        <w:r w:rsidR="00423092" w:rsidRPr="00423092">
          <w:rPr>
            <w:rStyle w:val="Hyperlink"/>
            <w:noProof/>
          </w:rPr>
          <w:noBreakHyphen/>
          <w:t>57: FINANCING OF THE CAPITAL INVESTMENTS UP TO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_Toc457604073 \h </w:instrText>
        </w:r>
        <w:r w:rsidRPr="00423092">
          <w:rPr>
            <w:noProof/>
            <w:webHidden/>
          </w:rPr>
        </w:r>
        <w:r w:rsidRPr="00423092">
          <w:rPr>
            <w:noProof/>
            <w:webHidden/>
          </w:rPr>
          <w:fldChar w:fldCharType="separate"/>
        </w:r>
        <w:r w:rsidR="00BA08F0">
          <w:rPr>
            <w:noProof/>
            <w:webHidden/>
          </w:rPr>
          <w:t>198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74" w:history="1">
        <w:r w:rsidR="00423092" w:rsidRPr="00423092">
          <w:rPr>
            <w:rStyle w:val="Hyperlink"/>
            <w:noProof/>
          </w:rPr>
          <w:t>Table 5</w:t>
        </w:r>
        <w:r w:rsidR="00423092" w:rsidRPr="00423092">
          <w:rPr>
            <w:rStyle w:val="Hyperlink"/>
            <w:noProof/>
          </w:rPr>
          <w:noBreakHyphen/>
          <w:t>58: GROSS FIXED ASSETS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_Toc457604074 \h </w:instrText>
        </w:r>
        <w:r w:rsidRPr="00423092">
          <w:rPr>
            <w:noProof/>
            <w:webHidden/>
          </w:rPr>
        </w:r>
        <w:r w:rsidRPr="00423092">
          <w:rPr>
            <w:noProof/>
            <w:webHidden/>
          </w:rPr>
          <w:fldChar w:fldCharType="separate"/>
        </w:r>
        <w:r w:rsidR="00BA08F0">
          <w:rPr>
            <w:noProof/>
            <w:webHidden/>
          </w:rPr>
          <w:t>201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75" w:history="1">
        <w:r w:rsidR="00423092" w:rsidRPr="00423092">
          <w:rPr>
            <w:rStyle w:val="Hyperlink"/>
            <w:noProof/>
          </w:rPr>
          <w:t>Table 5</w:t>
        </w:r>
        <w:r w:rsidR="00423092" w:rsidRPr="00423092">
          <w:rPr>
            <w:rStyle w:val="Hyperlink"/>
            <w:noProof/>
          </w:rPr>
          <w:noBreakHyphen/>
          <w:t>59: APPROVED DEPRECIATION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_Toc457604075 \h </w:instrText>
        </w:r>
        <w:r w:rsidRPr="00423092">
          <w:rPr>
            <w:noProof/>
            <w:webHidden/>
          </w:rPr>
        </w:r>
        <w:r w:rsidRPr="00423092">
          <w:rPr>
            <w:noProof/>
            <w:webHidden/>
          </w:rPr>
          <w:fldChar w:fldCharType="separate"/>
        </w:r>
        <w:r w:rsidR="00BA08F0">
          <w:rPr>
            <w:noProof/>
            <w:webHidden/>
          </w:rPr>
          <w:t>202</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76" w:history="1">
        <w:r w:rsidR="00423092" w:rsidRPr="00423092">
          <w:rPr>
            <w:rStyle w:val="Hyperlink"/>
            <w:noProof/>
          </w:rPr>
          <w:t>Table 5</w:t>
        </w:r>
        <w:r w:rsidR="00423092" w:rsidRPr="00423092">
          <w:rPr>
            <w:rStyle w:val="Hyperlink"/>
            <w:noProof/>
          </w:rPr>
          <w:noBreakHyphen/>
          <w:t>60: INTEREST ON LONG TERM LOANS UP TO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_Toc457604076 \h </w:instrText>
        </w:r>
        <w:r w:rsidRPr="00423092">
          <w:rPr>
            <w:noProof/>
            <w:webHidden/>
          </w:rPr>
        </w:r>
        <w:r w:rsidRPr="00423092">
          <w:rPr>
            <w:noProof/>
            <w:webHidden/>
          </w:rPr>
          <w:fldChar w:fldCharType="separate"/>
        </w:r>
        <w:r w:rsidR="00BA08F0">
          <w:rPr>
            <w:noProof/>
            <w:webHidden/>
          </w:rPr>
          <w:t>204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77" w:history="1">
        <w:r w:rsidR="00423092" w:rsidRPr="00423092">
          <w:rPr>
            <w:rStyle w:val="Hyperlink"/>
            <w:noProof/>
          </w:rPr>
          <w:t>Table 5</w:t>
        </w:r>
        <w:r w:rsidR="00423092" w:rsidRPr="00423092">
          <w:rPr>
            <w:rStyle w:val="Hyperlink"/>
            <w:noProof/>
          </w:rPr>
          <w:noBreakHyphen/>
          <w:t>61: INTEREST COST ON WORKING CAPITAL LOANS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_Toc457604077 \h </w:instrText>
        </w:r>
        <w:r w:rsidRPr="00423092">
          <w:rPr>
            <w:noProof/>
            <w:webHidden/>
          </w:rPr>
        </w:r>
        <w:r w:rsidRPr="00423092">
          <w:rPr>
            <w:noProof/>
            <w:webHidden/>
          </w:rPr>
          <w:fldChar w:fldCharType="separate"/>
        </w:r>
        <w:r w:rsidR="00BA08F0">
          <w:rPr>
            <w:noProof/>
            <w:webHidden/>
          </w:rPr>
          <w:t>205</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78" w:history="1">
        <w:r w:rsidR="00423092" w:rsidRPr="00423092">
          <w:rPr>
            <w:rStyle w:val="Hyperlink"/>
            <w:noProof/>
          </w:rPr>
          <w:t>Table 5</w:t>
        </w:r>
        <w:r w:rsidR="00423092" w:rsidRPr="00423092">
          <w:rPr>
            <w:rStyle w:val="Hyperlink"/>
            <w:noProof/>
          </w:rPr>
          <w:noBreakHyphen/>
          <w:t>62: INTEREST ON SECURITY DEPOSITS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_Toc457604078 \h </w:instrText>
        </w:r>
        <w:r w:rsidRPr="00423092">
          <w:rPr>
            <w:noProof/>
            <w:webHidden/>
          </w:rPr>
        </w:r>
        <w:r w:rsidRPr="00423092">
          <w:rPr>
            <w:noProof/>
            <w:webHidden/>
          </w:rPr>
          <w:fldChar w:fldCharType="separate"/>
        </w:r>
        <w:r w:rsidR="00BA08F0">
          <w:rPr>
            <w:noProof/>
            <w:webHidden/>
          </w:rPr>
          <w:t>207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79" w:history="1">
        <w:r w:rsidR="00423092" w:rsidRPr="00423092">
          <w:rPr>
            <w:rStyle w:val="Hyperlink"/>
            <w:noProof/>
          </w:rPr>
          <w:t>TABLE 5</w:t>
        </w:r>
        <w:r w:rsidR="00423092" w:rsidRPr="00423092">
          <w:rPr>
            <w:rStyle w:val="Hyperlink"/>
            <w:noProof/>
          </w:rPr>
          <w:noBreakHyphen/>
          <w:t>63: INTEREST AND FINANCE CHARGES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_Toc457604079 \h </w:instrText>
        </w:r>
        <w:r w:rsidRPr="00423092">
          <w:rPr>
            <w:noProof/>
            <w:webHidden/>
          </w:rPr>
        </w:r>
        <w:r w:rsidRPr="00423092">
          <w:rPr>
            <w:noProof/>
            <w:webHidden/>
          </w:rPr>
          <w:fldChar w:fldCharType="separate"/>
        </w:r>
        <w:r w:rsidR="00BA08F0">
          <w:rPr>
            <w:noProof/>
            <w:webHidden/>
          </w:rPr>
          <w:t>207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80" w:history="1">
        <w:r w:rsidR="00423092" w:rsidRPr="00423092">
          <w:rPr>
            <w:rStyle w:val="Hyperlink"/>
            <w:noProof/>
          </w:rPr>
          <w:t>Table 5</w:t>
        </w:r>
        <w:r w:rsidR="00423092" w:rsidRPr="00423092">
          <w:rPr>
            <w:rStyle w:val="Hyperlink"/>
            <w:noProof/>
          </w:rPr>
          <w:noBreakHyphen/>
          <w:t>64: OTHER INCOME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_Toc457604080 \h </w:instrText>
        </w:r>
        <w:r w:rsidRPr="00423092">
          <w:rPr>
            <w:noProof/>
            <w:webHidden/>
          </w:rPr>
        </w:r>
        <w:r w:rsidRPr="00423092">
          <w:rPr>
            <w:noProof/>
            <w:webHidden/>
          </w:rPr>
          <w:fldChar w:fldCharType="separate"/>
        </w:r>
        <w:r w:rsidR="00BA08F0">
          <w:rPr>
            <w:noProof/>
            <w:webHidden/>
          </w:rPr>
          <w:t>211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81" w:history="1">
        <w:r w:rsidR="00423092" w:rsidRPr="00423092">
          <w:rPr>
            <w:rStyle w:val="Hyperlink"/>
            <w:noProof/>
          </w:rPr>
          <w:t>Table 5</w:t>
        </w:r>
        <w:r w:rsidR="00423092" w:rsidRPr="00423092">
          <w:rPr>
            <w:rStyle w:val="Hyperlink"/>
            <w:noProof/>
          </w:rPr>
          <w:noBreakHyphen/>
          <w:t>65: EXISTING &amp; APPROVED TARIFF REVENUES: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_Toc457604081 \h </w:instrText>
        </w:r>
        <w:r w:rsidRPr="00423092">
          <w:rPr>
            <w:noProof/>
            <w:webHidden/>
          </w:rPr>
        </w:r>
        <w:r w:rsidRPr="00423092">
          <w:rPr>
            <w:noProof/>
            <w:webHidden/>
          </w:rPr>
          <w:fldChar w:fldCharType="separate"/>
        </w:r>
        <w:r w:rsidR="00BA08F0">
          <w:rPr>
            <w:noProof/>
            <w:webHidden/>
          </w:rPr>
          <w:t>217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82" w:history="1">
        <w:r w:rsidR="00423092" w:rsidRPr="00423092">
          <w:rPr>
            <w:rStyle w:val="Hyperlink"/>
            <w:noProof/>
          </w:rPr>
          <w:t>Table 5</w:t>
        </w:r>
        <w:r w:rsidR="00423092" w:rsidRPr="00423092">
          <w:rPr>
            <w:rStyle w:val="Hyperlink"/>
            <w:noProof/>
          </w:rPr>
          <w:noBreakHyphen/>
          <w:t>66: ARR, REVENUE AND GAP SUMMARY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_Toc457604082 \h </w:instrText>
        </w:r>
        <w:r w:rsidRPr="00423092">
          <w:rPr>
            <w:noProof/>
            <w:webHidden/>
          </w:rPr>
        </w:r>
        <w:r w:rsidRPr="00423092">
          <w:rPr>
            <w:noProof/>
            <w:webHidden/>
          </w:rPr>
          <w:fldChar w:fldCharType="separate"/>
        </w:r>
        <w:r w:rsidR="00BA08F0">
          <w:rPr>
            <w:noProof/>
            <w:webHidden/>
          </w:rPr>
          <w:t>217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83" w:history="1">
        <w:r w:rsidR="00423092" w:rsidRPr="00423092">
          <w:rPr>
            <w:rStyle w:val="Hyperlink"/>
            <w:noProof/>
          </w:rPr>
          <w:t>Table 6</w:t>
        </w:r>
        <w:r w:rsidR="00423092" w:rsidRPr="00423092">
          <w:rPr>
            <w:rStyle w:val="Hyperlink"/>
            <w:noProof/>
          </w:rPr>
          <w:noBreakHyphen/>
          <w:t>1: WHEELING &amp; RETAIL SUPPLY ARR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_Toc457604083 \h </w:instrText>
        </w:r>
        <w:r w:rsidRPr="00423092">
          <w:rPr>
            <w:noProof/>
            <w:webHidden/>
          </w:rPr>
        </w:r>
        <w:r w:rsidRPr="00423092">
          <w:rPr>
            <w:noProof/>
            <w:webHidden/>
          </w:rPr>
          <w:fldChar w:fldCharType="separate"/>
        </w:r>
        <w:r w:rsidR="00BA08F0">
          <w:rPr>
            <w:noProof/>
            <w:webHidden/>
          </w:rPr>
          <w:t>223</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84" w:history="1">
        <w:r w:rsidR="00423092" w:rsidRPr="00423092">
          <w:rPr>
            <w:rStyle w:val="Hyperlink"/>
            <w:noProof/>
          </w:rPr>
          <w:t>Table 6</w:t>
        </w:r>
        <w:r w:rsidR="00423092" w:rsidRPr="00423092">
          <w:rPr>
            <w:rStyle w:val="Hyperlink"/>
            <w:noProof/>
          </w:rPr>
          <w:noBreakHyphen/>
          <w:t>2: W</w:t>
        </w:r>
        <w:r w:rsidR="00423092" w:rsidRPr="00423092">
          <w:rPr>
            <w:rStyle w:val="Hyperlink"/>
            <w:rFonts w:cs="Calibri"/>
            <w:noProof/>
          </w:rPr>
          <w:t>HEELING CHARGES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_Toc457604084 \h </w:instrText>
        </w:r>
        <w:r w:rsidRPr="00423092">
          <w:rPr>
            <w:noProof/>
            <w:webHidden/>
          </w:rPr>
        </w:r>
        <w:r w:rsidRPr="00423092">
          <w:rPr>
            <w:noProof/>
            <w:webHidden/>
          </w:rPr>
          <w:fldChar w:fldCharType="separate"/>
        </w:r>
        <w:r w:rsidR="00BA08F0">
          <w:rPr>
            <w:noProof/>
            <w:webHidden/>
          </w:rPr>
          <w:t>224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85" w:history="1">
        <w:r w:rsidR="00423092" w:rsidRPr="00423092">
          <w:rPr>
            <w:rStyle w:val="Hyperlink"/>
            <w:noProof/>
          </w:rPr>
          <w:t>Table 6</w:t>
        </w:r>
        <w:r w:rsidR="00423092" w:rsidRPr="00423092">
          <w:rPr>
            <w:rStyle w:val="Hyperlink"/>
            <w:noProof/>
          </w:rPr>
          <w:noBreakHyphen/>
          <w:t>3: A</w:t>
        </w:r>
        <w:r w:rsidR="00423092" w:rsidRPr="00423092">
          <w:rPr>
            <w:rStyle w:val="Hyperlink"/>
            <w:rFonts w:cs="Calibri"/>
            <w:noProof/>
          </w:rPr>
          <w:t>PPROVED VOLTAGE-WISE WHEELING CHARGES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_Toc457604085 \h </w:instrText>
        </w:r>
        <w:r w:rsidRPr="00423092">
          <w:rPr>
            <w:noProof/>
            <w:webHidden/>
          </w:rPr>
        </w:r>
        <w:r w:rsidRPr="00423092">
          <w:rPr>
            <w:noProof/>
            <w:webHidden/>
          </w:rPr>
          <w:fldChar w:fldCharType="separate"/>
        </w:r>
        <w:r w:rsidR="00BA08F0">
          <w:rPr>
            <w:noProof/>
            <w:webHidden/>
          </w:rPr>
          <w:t>224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86" w:history="1">
        <w:r w:rsidR="00423092" w:rsidRPr="00423092">
          <w:rPr>
            <w:rStyle w:val="Hyperlink"/>
            <w:noProof/>
          </w:rPr>
          <w:t>Table 6</w:t>
        </w:r>
        <w:r w:rsidR="00423092" w:rsidRPr="00423092">
          <w:rPr>
            <w:rStyle w:val="Hyperlink"/>
            <w:noProof/>
          </w:rPr>
          <w:noBreakHyphen/>
          <w:t>4: COST OF SUPPLY APPROVED BY THE COMMISSION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_Toc457604086 \h </w:instrText>
        </w:r>
        <w:r w:rsidRPr="00423092">
          <w:rPr>
            <w:noProof/>
            <w:webHidden/>
          </w:rPr>
        </w:r>
        <w:r w:rsidRPr="00423092">
          <w:rPr>
            <w:noProof/>
            <w:webHidden/>
          </w:rPr>
          <w:fldChar w:fldCharType="separate"/>
        </w:r>
        <w:r w:rsidR="00BA08F0">
          <w:rPr>
            <w:noProof/>
            <w:webHidden/>
          </w:rPr>
          <w:t>228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87" w:history="1">
        <w:r w:rsidR="00423092" w:rsidRPr="00423092">
          <w:rPr>
            <w:rStyle w:val="Hyperlink"/>
            <w:noProof/>
          </w:rPr>
          <w:t>Table 6</w:t>
        </w:r>
        <w:r w:rsidR="00423092" w:rsidRPr="00423092">
          <w:rPr>
            <w:rStyle w:val="Hyperlink"/>
            <w:noProof/>
          </w:rPr>
          <w:noBreakHyphen/>
          <w:t>5: CROSS SUBSIDY SURCHARGE APROVED BY THE COMMISSION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_Toc457604087 \h </w:instrText>
        </w:r>
        <w:r w:rsidRPr="00423092">
          <w:rPr>
            <w:noProof/>
            <w:webHidden/>
          </w:rPr>
        </w:r>
        <w:r w:rsidRPr="00423092">
          <w:rPr>
            <w:noProof/>
            <w:webHidden/>
          </w:rPr>
          <w:fldChar w:fldCharType="separate"/>
        </w:r>
        <w:r w:rsidR="00BA08F0">
          <w:rPr>
            <w:noProof/>
            <w:webHidden/>
          </w:rPr>
          <w:t>228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88" w:history="1">
        <w:r w:rsidR="00423092" w:rsidRPr="00423092">
          <w:rPr>
            <w:rStyle w:val="Hyperlink"/>
            <w:noProof/>
          </w:rPr>
          <w:t>Table 8</w:t>
        </w:r>
        <w:r w:rsidR="00423092" w:rsidRPr="00423092">
          <w:rPr>
            <w:rStyle w:val="Hyperlink"/>
            <w:noProof/>
          </w:rPr>
          <w:noBreakHyphen/>
          <w:t>1: REVENUE FROM SALE OF POWER AT APPROVED TARIFF FOR FY 2016-17 FOR DVVNL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_Toc457604088 \h </w:instrText>
        </w:r>
        <w:r w:rsidRPr="00423092">
          <w:rPr>
            <w:noProof/>
            <w:webHidden/>
          </w:rPr>
        </w:r>
        <w:r w:rsidRPr="00423092">
          <w:rPr>
            <w:noProof/>
            <w:webHidden/>
          </w:rPr>
          <w:fldChar w:fldCharType="separate"/>
        </w:r>
        <w:r w:rsidR="00BA08F0">
          <w:rPr>
            <w:noProof/>
            <w:webHidden/>
          </w:rPr>
          <w:t>241</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89" w:history="1">
        <w:r w:rsidR="00423092" w:rsidRPr="00423092">
          <w:rPr>
            <w:rStyle w:val="Hyperlink"/>
            <w:noProof/>
          </w:rPr>
          <w:t>Table 8</w:t>
        </w:r>
        <w:r w:rsidR="00423092" w:rsidRPr="00423092">
          <w:rPr>
            <w:rStyle w:val="Hyperlink"/>
            <w:noProof/>
          </w:rPr>
          <w:noBreakHyphen/>
          <w:t>2: ESTIMATION OF ARR GAP/SURPLUS AT REVISED TARIFF FOR FY 2016-17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_Toc457604089 \h </w:instrText>
        </w:r>
        <w:r w:rsidRPr="00423092">
          <w:rPr>
            <w:noProof/>
            <w:webHidden/>
          </w:rPr>
        </w:r>
        <w:r w:rsidRPr="00423092">
          <w:rPr>
            <w:noProof/>
            <w:webHidden/>
          </w:rPr>
          <w:fldChar w:fldCharType="separate"/>
        </w:r>
        <w:r w:rsidR="00BA08F0">
          <w:rPr>
            <w:noProof/>
            <w:webHidden/>
          </w:rPr>
          <w:t>242</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90" w:history="1">
        <w:r w:rsidR="00423092" w:rsidRPr="00423092">
          <w:rPr>
            <w:rStyle w:val="Hyperlink"/>
            <w:noProof/>
          </w:rPr>
          <w:t>Table 8</w:t>
        </w:r>
        <w:r w:rsidR="00423092" w:rsidRPr="00423092">
          <w:rPr>
            <w:rStyle w:val="Hyperlink"/>
            <w:noProof/>
          </w:rPr>
          <w:noBreakHyphen/>
          <w:t>3: REVENUE REALIZED AS % OF ACOS</w:t>
        </w:r>
        <w:r w:rsidR="00423092" w:rsidRPr="00423092">
          <w:rPr>
            <w:noProof/>
            <w:webHidden/>
          </w:rPr>
          <w:tab/>
        </w:r>
        <w:r w:rsidRPr="00423092">
          <w:rPr>
            <w:noProof/>
            <w:webHidden/>
          </w:rPr>
          <w:fldChar w:fldCharType="begin"/>
        </w:r>
        <w:r w:rsidR="00423092" w:rsidRPr="00423092">
          <w:rPr>
            <w:noProof/>
            <w:webHidden/>
          </w:rPr>
          <w:instrText xml:space="preserve"> PAGEREF _Toc457604090 \h </w:instrText>
        </w:r>
        <w:r w:rsidRPr="00423092">
          <w:rPr>
            <w:noProof/>
            <w:webHidden/>
          </w:rPr>
        </w:r>
        <w:r w:rsidRPr="00423092">
          <w:rPr>
            <w:noProof/>
            <w:webHidden/>
          </w:rPr>
          <w:fldChar w:fldCharType="separate"/>
        </w:r>
        <w:r w:rsidR="00BA08F0">
          <w:rPr>
            <w:noProof/>
            <w:webHidden/>
          </w:rPr>
          <w:t>243</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91" w:history="1">
        <w:r w:rsidR="00423092" w:rsidRPr="00423092">
          <w:rPr>
            <w:rStyle w:val="Hyperlink"/>
            <w:noProof/>
          </w:rPr>
          <w:t>Table 8</w:t>
        </w:r>
        <w:r w:rsidR="00423092" w:rsidRPr="00423092">
          <w:rPr>
            <w:rStyle w:val="Hyperlink"/>
            <w:noProof/>
          </w:rPr>
          <w:noBreakHyphen/>
          <w:t>4: REVENUE CLAIMED BY THE DISTRIBUTION LICENSEES FOR FY 2013-14</w:t>
        </w:r>
        <w:r w:rsidR="00423092" w:rsidRPr="00423092">
          <w:rPr>
            <w:noProof/>
            <w:webHidden/>
          </w:rPr>
          <w:tab/>
        </w:r>
        <w:r w:rsidRPr="00423092">
          <w:rPr>
            <w:noProof/>
            <w:webHidden/>
          </w:rPr>
          <w:fldChar w:fldCharType="begin"/>
        </w:r>
        <w:r w:rsidR="00423092" w:rsidRPr="00423092">
          <w:rPr>
            <w:noProof/>
            <w:webHidden/>
          </w:rPr>
          <w:instrText xml:space="preserve"> PAGEREF _Toc457604091 \h </w:instrText>
        </w:r>
        <w:r w:rsidRPr="00423092">
          <w:rPr>
            <w:noProof/>
            <w:webHidden/>
          </w:rPr>
        </w:r>
        <w:r w:rsidRPr="00423092">
          <w:rPr>
            <w:noProof/>
            <w:webHidden/>
          </w:rPr>
          <w:fldChar w:fldCharType="separate"/>
        </w:r>
        <w:r w:rsidR="00BA08F0">
          <w:rPr>
            <w:noProof/>
            <w:webHidden/>
          </w:rPr>
          <w:t>253</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92" w:history="1">
        <w:r w:rsidR="00423092" w:rsidRPr="00423092">
          <w:rPr>
            <w:rStyle w:val="Hyperlink"/>
            <w:noProof/>
          </w:rPr>
          <w:t>Table 8</w:t>
        </w:r>
        <w:r w:rsidR="00423092" w:rsidRPr="00423092">
          <w:rPr>
            <w:rStyle w:val="Hyperlink"/>
            <w:noProof/>
          </w:rPr>
          <w:noBreakHyphen/>
          <w:t>5: SUMMARY OF CONSOLIDATED REVENUE GAP FOR 4 STATE OWNED DISTRIBUTION LICENSEES ADMITTED BY THE COMMISSION (Rs. Crore)</w:t>
        </w:r>
        <w:r w:rsidR="00423092" w:rsidRPr="00423092">
          <w:rPr>
            <w:noProof/>
            <w:webHidden/>
          </w:rPr>
          <w:tab/>
        </w:r>
        <w:r w:rsidRPr="00423092">
          <w:rPr>
            <w:noProof/>
            <w:webHidden/>
          </w:rPr>
          <w:fldChar w:fldCharType="begin"/>
        </w:r>
        <w:r w:rsidR="00423092" w:rsidRPr="00423092">
          <w:rPr>
            <w:noProof/>
            <w:webHidden/>
          </w:rPr>
          <w:instrText xml:space="preserve"> PAGEREF _Toc457604092 \h </w:instrText>
        </w:r>
        <w:r w:rsidRPr="00423092">
          <w:rPr>
            <w:noProof/>
            <w:webHidden/>
          </w:rPr>
        </w:r>
        <w:r w:rsidRPr="00423092">
          <w:rPr>
            <w:noProof/>
            <w:webHidden/>
          </w:rPr>
          <w:fldChar w:fldCharType="separate"/>
        </w:r>
        <w:r w:rsidR="00BA08F0">
          <w:rPr>
            <w:noProof/>
            <w:webHidden/>
          </w:rPr>
          <w:t>256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93" w:history="1">
        <w:r w:rsidR="00423092" w:rsidRPr="00423092">
          <w:rPr>
            <w:rStyle w:val="Hyperlink"/>
            <w:noProof/>
          </w:rPr>
          <w:t>Table 8</w:t>
        </w:r>
        <w:r w:rsidR="00423092" w:rsidRPr="00423092">
          <w:rPr>
            <w:rStyle w:val="Hyperlink"/>
            <w:noProof/>
          </w:rPr>
          <w:noBreakHyphen/>
          <w:t>6: REGULATORY SURCHARGE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_Toc457604093 \h </w:instrText>
        </w:r>
        <w:r w:rsidRPr="00423092">
          <w:rPr>
            <w:noProof/>
            <w:webHidden/>
          </w:rPr>
        </w:r>
        <w:r w:rsidRPr="00423092">
          <w:rPr>
            <w:noProof/>
            <w:webHidden/>
          </w:rPr>
          <w:fldChar w:fldCharType="separate"/>
        </w:r>
        <w:r w:rsidR="00BA08F0">
          <w:rPr>
            <w:noProof/>
            <w:webHidden/>
          </w:rPr>
          <w:t>257</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94" w:history="1">
        <w:r w:rsidR="00423092" w:rsidRPr="00423092">
          <w:rPr>
            <w:rStyle w:val="Hyperlink"/>
            <w:noProof/>
          </w:rPr>
          <w:t>Table 9</w:t>
        </w:r>
        <w:r w:rsidR="00423092" w:rsidRPr="00423092">
          <w:rPr>
            <w:rStyle w:val="Hyperlink"/>
            <w:noProof/>
          </w:rPr>
          <w:noBreakHyphen/>
          <w:t>1: STATUS OF COMPLIANCE OF DIRECTIVES OF TARIFF ORDER FOR FY 2013-14 DATED MAY 31, 2013</w:t>
        </w:r>
        <w:r w:rsidR="00423092" w:rsidRPr="00423092">
          <w:rPr>
            <w:noProof/>
            <w:webHidden/>
          </w:rPr>
          <w:tab/>
        </w:r>
        <w:r w:rsidRPr="00423092">
          <w:rPr>
            <w:noProof/>
            <w:webHidden/>
          </w:rPr>
          <w:fldChar w:fldCharType="begin"/>
        </w:r>
        <w:r w:rsidR="00423092" w:rsidRPr="00423092">
          <w:rPr>
            <w:noProof/>
            <w:webHidden/>
          </w:rPr>
          <w:instrText xml:space="preserve"> PAGEREF _Toc457604094 \h </w:instrText>
        </w:r>
        <w:r w:rsidRPr="00423092">
          <w:rPr>
            <w:noProof/>
            <w:webHidden/>
          </w:rPr>
        </w:r>
        <w:r w:rsidRPr="00423092">
          <w:rPr>
            <w:noProof/>
            <w:webHidden/>
          </w:rPr>
          <w:fldChar w:fldCharType="separate"/>
        </w:r>
        <w:r w:rsidR="00BA08F0">
          <w:rPr>
            <w:noProof/>
            <w:webHidden/>
          </w:rPr>
          <w:t>260</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95" w:history="1">
        <w:r w:rsidR="00423092" w:rsidRPr="00423092">
          <w:rPr>
            <w:rStyle w:val="Hyperlink"/>
            <w:noProof/>
          </w:rPr>
          <w:t>Table 9</w:t>
        </w:r>
        <w:r w:rsidR="00423092" w:rsidRPr="00423092">
          <w:rPr>
            <w:rStyle w:val="Hyperlink"/>
            <w:noProof/>
          </w:rPr>
          <w:noBreakHyphen/>
          <w:t>2: STATUS OF COMPLIANCE OF DIRECTIVES OF TARIFF ORDER FOR FY 2014-15 DATED OCTOBER 1, 2014</w:t>
        </w:r>
        <w:r w:rsidR="00423092" w:rsidRPr="00423092">
          <w:rPr>
            <w:noProof/>
            <w:webHidden/>
          </w:rPr>
          <w:tab/>
        </w:r>
        <w:r w:rsidRPr="00423092">
          <w:rPr>
            <w:noProof/>
            <w:webHidden/>
          </w:rPr>
          <w:fldChar w:fldCharType="begin"/>
        </w:r>
        <w:r w:rsidR="00423092" w:rsidRPr="00423092">
          <w:rPr>
            <w:noProof/>
            <w:webHidden/>
          </w:rPr>
          <w:instrText xml:space="preserve"> PAGEREF _Toc457604095 \h </w:instrText>
        </w:r>
        <w:r w:rsidRPr="00423092">
          <w:rPr>
            <w:noProof/>
            <w:webHidden/>
          </w:rPr>
        </w:r>
        <w:r w:rsidRPr="00423092">
          <w:rPr>
            <w:noProof/>
            <w:webHidden/>
          </w:rPr>
          <w:fldChar w:fldCharType="separate"/>
        </w:r>
        <w:r w:rsidR="00BA08F0">
          <w:rPr>
            <w:noProof/>
            <w:webHidden/>
          </w:rPr>
          <w:t>268</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96" w:history="1">
        <w:r w:rsidR="00423092" w:rsidRPr="00423092">
          <w:rPr>
            <w:rStyle w:val="Hyperlink"/>
            <w:noProof/>
          </w:rPr>
          <w:t>Table 9</w:t>
        </w:r>
        <w:r w:rsidR="00423092" w:rsidRPr="00423092">
          <w:rPr>
            <w:rStyle w:val="Hyperlink"/>
            <w:noProof/>
          </w:rPr>
          <w:noBreakHyphen/>
          <w:t>3: STATUS OF COMPLIANCE OF DIRECTIVES OF TARIFF ORDER FOR FY 2015-16 DATED JUNE 18, 2015</w:t>
        </w:r>
        <w:r w:rsidR="00423092" w:rsidRPr="00423092">
          <w:rPr>
            <w:noProof/>
            <w:webHidden/>
          </w:rPr>
          <w:tab/>
        </w:r>
        <w:r w:rsidRPr="00423092">
          <w:rPr>
            <w:noProof/>
            <w:webHidden/>
          </w:rPr>
          <w:fldChar w:fldCharType="begin"/>
        </w:r>
        <w:r w:rsidR="00423092" w:rsidRPr="00423092">
          <w:rPr>
            <w:noProof/>
            <w:webHidden/>
          </w:rPr>
          <w:instrText xml:space="preserve"> PAGEREF _Toc457604096 \h </w:instrText>
        </w:r>
        <w:r w:rsidRPr="00423092">
          <w:rPr>
            <w:noProof/>
            <w:webHidden/>
          </w:rPr>
        </w:r>
        <w:r w:rsidRPr="00423092">
          <w:rPr>
            <w:noProof/>
            <w:webHidden/>
          </w:rPr>
          <w:fldChar w:fldCharType="separate"/>
        </w:r>
        <w:r w:rsidR="00BA08F0">
          <w:rPr>
            <w:noProof/>
            <w:webHidden/>
          </w:rPr>
          <w:t>276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97" w:history="1">
        <w:r w:rsidR="00423092" w:rsidRPr="00423092">
          <w:rPr>
            <w:rStyle w:val="Hyperlink"/>
            <w:noProof/>
          </w:rPr>
          <w:t>Table 9</w:t>
        </w:r>
        <w:r w:rsidR="00423092" w:rsidRPr="00423092">
          <w:rPr>
            <w:rStyle w:val="Hyperlink"/>
            <w:noProof/>
          </w:rPr>
          <w:noBreakHyphen/>
          <w:t>4: DIRECTIVES ISSUED UNDER THE PRESENT TARIFF ORDER</w:t>
        </w:r>
        <w:r w:rsidR="00423092" w:rsidRPr="00423092">
          <w:rPr>
            <w:noProof/>
            <w:webHidden/>
          </w:rPr>
          <w:tab/>
        </w:r>
        <w:r w:rsidRPr="00423092">
          <w:rPr>
            <w:noProof/>
            <w:webHidden/>
          </w:rPr>
          <w:fldChar w:fldCharType="begin"/>
        </w:r>
        <w:r w:rsidR="00423092" w:rsidRPr="00423092">
          <w:rPr>
            <w:noProof/>
            <w:webHidden/>
          </w:rPr>
          <w:instrText xml:space="preserve"> PAGEREF _Toc457604097 \h </w:instrText>
        </w:r>
        <w:r w:rsidRPr="00423092">
          <w:rPr>
            <w:noProof/>
            <w:webHidden/>
          </w:rPr>
        </w:r>
        <w:r w:rsidRPr="00423092">
          <w:rPr>
            <w:noProof/>
            <w:webHidden/>
          </w:rPr>
          <w:fldChar w:fldCharType="separate"/>
        </w:r>
        <w:r w:rsidR="00BA08F0">
          <w:rPr>
            <w:noProof/>
            <w:webHidden/>
          </w:rPr>
          <w:t>294</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98" w:history="1">
        <w:r w:rsidR="00423092" w:rsidRPr="00423092">
          <w:rPr>
            <w:rStyle w:val="Hyperlink"/>
            <w:noProof/>
          </w:rPr>
          <w:t>Table 11</w:t>
        </w:r>
        <w:r w:rsidR="00423092" w:rsidRPr="00423092">
          <w:rPr>
            <w:rStyle w:val="Hyperlink"/>
            <w:noProof/>
          </w:rPr>
          <w:noBreakHyphen/>
          <w:t>1: COMMISSION’S APPROVAL OF NUMBER OF CONSUMERS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_Toc457604098 \h </w:instrText>
        </w:r>
        <w:r w:rsidRPr="00423092">
          <w:rPr>
            <w:noProof/>
            <w:webHidden/>
          </w:rPr>
        </w:r>
        <w:r w:rsidRPr="00423092">
          <w:rPr>
            <w:noProof/>
            <w:webHidden/>
          </w:rPr>
          <w:fldChar w:fldCharType="separate"/>
        </w:r>
        <w:r w:rsidR="00BA08F0">
          <w:rPr>
            <w:noProof/>
            <w:webHidden/>
          </w:rPr>
          <w:t>300</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099" w:history="1">
        <w:r w:rsidR="00423092" w:rsidRPr="00423092">
          <w:rPr>
            <w:rStyle w:val="Hyperlink"/>
            <w:noProof/>
          </w:rPr>
          <w:t>Table 11</w:t>
        </w:r>
        <w:r w:rsidR="00423092" w:rsidRPr="00423092">
          <w:rPr>
            <w:rStyle w:val="Hyperlink"/>
            <w:noProof/>
          </w:rPr>
          <w:noBreakHyphen/>
          <w:t>2: COMMISSION’S APPROVAL OF CONNECTED LOAD (kW)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_Toc457604099 \h </w:instrText>
        </w:r>
        <w:r w:rsidRPr="00423092">
          <w:rPr>
            <w:noProof/>
            <w:webHidden/>
          </w:rPr>
        </w:r>
        <w:r w:rsidRPr="00423092">
          <w:rPr>
            <w:noProof/>
            <w:webHidden/>
          </w:rPr>
          <w:fldChar w:fldCharType="separate"/>
        </w:r>
        <w:r w:rsidR="00BA08F0">
          <w:rPr>
            <w:noProof/>
            <w:webHidden/>
          </w:rPr>
          <w:t>303</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100" w:history="1">
        <w:r w:rsidR="00423092" w:rsidRPr="00423092">
          <w:rPr>
            <w:rStyle w:val="Hyperlink"/>
            <w:noProof/>
          </w:rPr>
          <w:t>Table 11</w:t>
        </w:r>
        <w:r w:rsidR="00423092" w:rsidRPr="00423092">
          <w:rPr>
            <w:rStyle w:val="Hyperlink"/>
            <w:noProof/>
          </w:rPr>
          <w:noBreakHyphen/>
          <w:t>3: COMMISSION’S APPROVAL OF ENERGY SALES (MU) FOR FY 2016-17</w:t>
        </w:r>
        <w:r w:rsidR="00423092" w:rsidRPr="00423092">
          <w:rPr>
            <w:noProof/>
            <w:webHidden/>
          </w:rPr>
          <w:tab/>
        </w:r>
        <w:r w:rsidRPr="00423092">
          <w:rPr>
            <w:noProof/>
            <w:webHidden/>
          </w:rPr>
          <w:fldChar w:fldCharType="begin"/>
        </w:r>
        <w:r w:rsidR="00423092" w:rsidRPr="00423092">
          <w:rPr>
            <w:noProof/>
            <w:webHidden/>
          </w:rPr>
          <w:instrText xml:space="preserve"> PAGEREF _Toc457604100 \h </w:instrText>
        </w:r>
        <w:r w:rsidRPr="00423092">
          <w:rPr>
            <w:noProof/>
            <w:webHidden/>
          </w:rPr>
        </w:r>
        <w:r w:rsidRPr="00423092">
          <w:rPr>
            <w:noProof/>
            <w:webHidden/>
          </w:rPr>
          <w:fldChar w:fldCharType="separate"/>
        </w:r>
        <w:r w:rsidR="00BA08F0">
          <w:rPr>
            <w:noProof/>
            <w:webHidden/>
          </w:rPr>
          <w:t>306</w:t>
        </w:r>
        <w:r w:rsidRPr="00423092">
          <w:rPr>
            <w:noProof/>
            <w:webHidden/>
          </w:rPr>
          <w:fldChar w:fldCharType="end"/>
        </w:r>
      </w:hyperlink>
    </w:p>
    <w:p w:rsidR="00423092" w:rsidRPr="00423092" w:rsidRDefault="009741CA">
      <w:pPr>
        <w:pStyle w:val="TableofFigures"/>
        <w:tabs>
          <w:tab w:val="right" w:leader="dot" w:pos="9289"/>
        </w:tabs>
        <w:rPr>
          <w:rFonts w:eastAsiaTheme="minorEastAsia" w:cstheme="minorBidi"/>
          <w:smallCaps w:val="0"/>
          <w:noProof/>
          <w:sz w:val="22"/>
          <w:szCs w:val="22"/>
          <w:lang w:val="en-US"/>
        </w:rPr>
      </w:pPr>
      <w:hyperlink w:anchor="_Toc457604101" w:history="1">
        <w:r w:rsidR="00423092" w:rsidRPr="00423092">
          <w:rPr>
            <w:rStyle w:val="Hyperlink"/>
            <w:noProof/>
          </w:rPr>
          <w:t>Table 11</w:t>
        </w:r>
        <w:r w:rsidR="00423092" w:rsidRPr="00423092">
          <w:rPr>
            <w:rStyle w:val="Hyperlink"/>
            <w:noProof/>
          </w:rPr>
          <w:noBreakHyphen/>
          <w:t>4: APPROPRIATION OF APPROVED POWER PURCHASE FOR FY 2016-17: FPPCA</w:t>
        </w:r>
        <w:r w:rsidR="00423092" w:rsidRPr="00423092">
          <w:rPr>
            <w:noProof/>
            <w:webHidden/>
          </w:rPr>
          <w:tab/>
        </w:r>
        <w:r w:rsidRPr="00423092">
          <w:rPr>
            <w:noProof/>
            <w:webHidden/>
          </w:rPr>
          <w:fldChar w:fldCharType="begin"/>
        </w:r>
        <w:r w:rsidR="00423092" w:rsidRPr="00423092">
          <w:rPr>
            <w:noProof/>
            <w:webHidden/>
          </w:rPr>
          <w:instrText xml:space="preserve"> PAGEREF _Toc457604101 \h </w:instrText>
        </w:r>
        <w:r w:rsidRPr="00423092">
          <w:rPr>
            <w:noProof/>
            <w:webHidden/>
          </w:rPr>
        </w:r>
        <w:r w:rsidRPr="00423092">
          <w:rPr>
            <w:noProof/>
            <w:webHidden/>
          </w:rPr>
          <w:fldChar w:fldCharType="separate"/>
        </w:r>
        <w:r w:rsidR="00BA08F0">
          <w:rPr>
            <w:noProof/>
            <w:webHidden/>
          </w:rPr>
          <w:t>368</w:t>
        </w:r>
        <w:r w:rsidRPr="00423092">
          <w:rPr>
            <w:noProof/>
            <w:webHidden/>
          </w:rPr>
          <w:fldChar w:fldCharType="end"/>
        </w:r>
      </w:hyperlink>
    </w:p>
    <w:p w:rsidR="00D51BD0" w:rsidRPr="004073C9" w:rsidRDefault="009741CA" w:rsidP="00C60AD1">
      <w:pPr>
        <w:pStyle w:val="TableofFigures"/>
        <w:tabs>
          <w:tab w:val="right" w:leader="dot" w:pos="9289"/>
        </w:tabs>
      </w:pPr>
      <w:r w:rsidRPr="00423092">
        <w:rPr>
          <w:caps/>
        </w:rPr>
        <w:fldChar w:fldCharType="end"/>
      </w:r>
    </w:p>
    <w:p w:rsidR="00F70DA9" w:rsidRPr="004073C9" w:rsidRDefault="00F70DA9" w:rsidP="00C60AD1">
      <w:pPr>
        <w:spacing w:before="0" w:line="240" w:lineRule="auto"/>
        <w:jc w:val="left"/>
      </w:pPr>
      <w:bookmarkStart w:id="0" w:name="_Toc356912902"/>
      <w:r w:rsidRPr="004073C9">
        <w:br w:type="page"/>
      </w:r>
    </w:p>
    <w:p w:rsidR="003147B8" w:rsidRPr="00C60AD1" w:rsidRDefault="003147B8" w:rsidP="00C60AD1">
      <w:pPr>
        <w:spacing w:before="0" w:after="200"/>
        <w:jc w:val="center"/>
        <w:rPr>
          <w:b/>
        </w:rPr>
      </w:pPr>
      <w:r w:rsidRPr="00C60AD1">
        <w:rPr>
          <w:b/>
        </w:rPr>
        <w:lastRenderedPageBreak/>
        <w:t>Before</w:t>
      </w:r>
    </w:p>
    <w:p w:rsidR="003147B8" w:rsidRPr="00C60AD1" w:rsidRDefault="003147B8" w:rsidP="00C60AD1">
      <w:pPr>
        <w:jc w:val="center"/>
        <w:rPr>
          <w:b/>
        </w:rPr>
      </w:pPr>
    </w:p>
    <w:p w:rsidR="003147B8" w:rsidRPr="00C60AD1" w:rsidRDefault="003147B8" w:rsidP="00C60AD1">
      <w:pPr>
        <w:jc w:val="center"/>
        <w:rPr>
          <w:b/>
        </w:rPr>
      </w:pPr>
      <w:r w:rsidRPr="00C60AD1">
        <w:rPr>
          <w:b/>
        </w:rPr>
        <w:t>UTTAR PRADESH ELECTRICITY REGULATORY COMMISSION</w:t>
      </w:r>
    </w:p>
    <w:p w:rsidR="003147B8" w:rsidRPr="00C60AD1" w:rsidRDefault="003147B8" w:rsidP="00C60AD1">
      <w:pPr>
        <w:jc w:val="center"/>
        <w:rPr>
          <w:b/>
        </w:rPr>
      </w:pPr>
    </w:p>
    <w:p w:rsidR="003147B8" w:rsidRPr="00C60AD1" w:rsidRDefault="0022393E" w:rsidP="00C60AD1">
      <w:pPr>
        <w:spacing w:before="0" w:after="200"/>
        <w:jc w:val="center"/>
      </w:pPr>
      <w:r w:rsidRPr="00C60AD1">
        <w:t xml:space="preserve">Petition No. </w:t>
      </w:r>
      <w:r w:rsidR="004A344C">
        <w:t>1065</w:t>
      </w:r>
      <w:r w:rsidR="00B55880" w:rsidRPr="00C60AD1">
        <w:t>/201</w:t>
      </w:r>
      <w:r w:rsidR="004A344C">
        <w:t>5</w:t>
      </w:r>
    </w:p>
    <w:p w:rsidR="003147B8" w:rsidRPr="00C60AD1" w:rsidRDefault="003147B8" w:rsidP="00C60AD1">
      <w:pPr>
        <w:rPr>
          <w:b/>
        </w:rPr>
      </w:pPr>
      <w:r w:rsidRPr="00C60AD1">
        <w:rPr>
          <w:b/>
        </w:rPr>
        <w:t>IN THE MATTER OF:</w:t>
      </w:r>
    </w:p>
    <w:p w:rsidR="003147B8" w:rsidRPr="00C60AD1" w:rsidRDefault="003147B8" w:rsidP="00C60AD1">
      <w:pPr>
        <w:jc w:val="left"/>
      </w:pPr>
      <w:r w:rsidRPr="00C60AD1">
        <w:t>Determination of Aggregate Revenue Requirement and Tariff for FY 201</w:t>
      </w:r>
      <w:r w:rsidR="001D512D">
        <w:t>6</w:t>
      </w:r>
      <w:r w:rsidRPr="00C60AD1">
        <w:t>-1</w:t>
      </w:r>
      <w:r w:rsidR="001D512D">
        <w:t>7</w:t>
      </w:r>
      <w:r w:rsidRPr="00C60AD1">
        <w:t xml:space="preserve"> and True up for FY 20</w:t>
      </w:r>
      <w:r w:rsidR="00EA0EDA" w:rsidRPr="00C60AD1">
        <w:t>1</w:t>
      </w:r>
      <w:r w:rsidR="001D512D">
        <w:t>3</w:t>
      </w:r>
      <w:r w:rsidR="00EA0EDA" w:rsidRPr="00C60AD1">
        <w:t>-1</w:t>
      </w:r>
      <w:r w:rsidR="001D512D">
        <w:t>4</w:t>
      </w:r>
      <w:r w:rsidRPr="00C60AD1">
        <w:t xml:space="preserve"> of </w:t>
      </w:r>
      <w:r w:rsidR="008D6D70" w:rsidRPr="00C60AD1">
        <w:t xml:space="preserve">Dakshinanchal </w:t>
      </w:r>
      <w:r w:rsidRPr="00C60AD1">
        <w:rPr>
          <w:rFonts w:cs="Calibri"/>
        </w:rPr>
        <w:t>Vidyut Vitran Nigam Limited (</w:t>
      </w:r>
      <w:r w:rsidR="008D6D70" w:rsidRPr="00C60AD1">
        <w:rPr>
          <w:rFonts w:cs="Calibri"/>
        </w:rPr>
        <w:t>D</w:t>
      </w:r>
      <w:r w:rsidRPr="00C60AD1">
        <w:rPr>
          <w:rFonts w:cs="Calibri"/>
        </w:rPr>
        <w:t>VVNL)</w:t>
      </w:r>
    </w:p>
    <w:p w:rsidR="003147B8" w:rsidRPr="00C60AD1" w:rsidRDefault="003147B8" w:rsidP="00C60AD1">
      <w:pPr>
        <w:autoSpaceDE w:val="0"/>
        <w:autoSpaceDN w:val="0"/>
        <w:adjustRightInd w:val="0"/>
        <w:spacing w:before="0" w:line="240" w:lineRule="auto"/>
        <w:jc w:val="left"/>
        <w:rPr>
          <w:b/>
        </w:rPr>
      </w:pPr>
    </w:p>
    <w:p w:rsidR="003147B8" w:rsidRPr="00C60AD1" w:rsidRDefault="003147B8" w:rsidP="00C60AD1">
      <w:pPr>
        <w:autoSpaceDE w:val="0"/>
        <w:autoSpaceDN w:val="0"/>
        <w:adjustRightInd w:val="0"/>
        <w:spacing w:before="0" w:line="240" w:lineRule="auto"/>
        <w:jc w:val="left"/>
        <w:rPr>
          <w:b/>
        </w:rPr>
      </w:pPr>
      <w:r w:rsidRPr="00C60AD1">
        <w:rPr>
          <w:b/>
        </w:rPr>
        <w:t>And</w:t>
      </w:r>
    </w:p>
    <w:p w:rsidR="003147B8" w:rsidRPr="00C60AD1" w:rsidRDefault="003147B8" w:rsidP="00C60AD1">
      <w:pPr>
        <w:autoSpaceDE w:val="0"/>
        <w:autoSpaceDN w:val="0"/>
        <w:adjustRightInd w:val="0"/>
        <w:spacing w:before="0" w:line="240" w:lineRule="auto"/>
        <w:jc w:val="left"/>
        <w:rPr>
          <w:rFonts w:ascii="Calibri,Bold" w:hAnsi="Calibri,Bold" w:cs="Calibri,Bold"/>
          <w:b/>
          <w:bCs/>
          <w:lang w:val="en-US"/>
        </w:rPr>
      </w:pPr>
    </w:p>
    <w:p w:rsidR="003147B8" w:rsidRPr="00C60AD1" w:rsidRDefault="003147B8" w:rsidP="00C60AD1">
      <w:pPr>
        <w:autoSpaceDE w:val="0"/>
        <w:autoSpaceDN w:val="0"/>
        <w:adjustRightInd w:val="0"/>
        <w:spacing w:before="0" w:line="240" w:lineRule="auto"/>
        <w:jc w:val="left"/>
        <w:rPr>
          <w:b/>
        </w:rPr>
      </w:pPr>
      <w:r w:rsidRPr="00C60AD1">
        <w:rPr>
          <w:b/>
        </w:rPr>
        <w:t>IN THE MATTER OF:</w:t>
      </w:r>
    </w:p>
    <w:p w:rsidR="003147B8" w:rsidRPr="00C60AD1" w:rsidRDefault="003147B8" w:rsidP="00C60AD1">
      <w:pPr>
        <w:autoSpaceDE w:val="0"/>
        <w:autoSpaceDN w:val="0"/>
        <w:adjustRightInd w:val="0"/>
        <w:spacing w:before="0" w:line="240" w:lineRule="auto"/>
        <w:jc w:val="left"/>
      </w:pPr>
    </w:p>
    <w:p w:rsidR="003147B8" w:rsidRPr="00C60AD1" w:rsidRDefault="008D6D70" w:rsidP="00C60AD1">
      <w:pPr>
        <w:autoSpaceDE w:val="0"/>
        <w:autoSpaceDN w:val="0"/>
        <w:adjustRightInd w:val="0"/>
        <w:spacing w:before="0" w:line="240" w:lineRule="auto"/>
        <w:jc w:val="left"/>
      </w:pPr>
      <w:r w:rsidRPr="00C60AD1">
        <w:t xml:space="preserve">Dakshinanchal </w:t>
      </w:r>
      <w:r w:rsidR="003147B8" w:rsidRPr="00C60AD1">
        <w:t>Vidyut Vitaran Nigam Limited (</w:t>
      </w:r>
      <w:r w:rsidRPr="00C60AD1">
        <w:t>D</w:t>
      </w:r>
      <w:r w:rsidR="003147B8" w:rsidRPr="00C60AD1">
        <w:t>VNNL)</w:t>
      </w:r>
    </w:p>
    <w:p w:rsidR="003147B8" w:rsidRPr="00C60AD1" w:rsidRDefault="003147B8" w:rsidP="00C60AD1">
      <w:pPr>
        <w:autoSpaceDE w:val="0"/>
        <w:autoSpaceDN w:val="0"/>
        <w:adjustRightInd w:val="0"/>
        <w:spacing w:before="0" w:line="240" w:lineRule="auto"/>
        <w:jc w:val="left"/>
        <w:rPr>
          <w:b/>
        </w:rPr>
      </w:pPr>
    </w:p>
    <w:p w:rsidR="003147B8" w:rsidRPr="00C60AD1" w:rsidRDefault="003147B8" w:rsidP="00C60AD1">
      <w:pPr>
        <w:autoSpaceDE w:val="0"/>
        <w:autoSpaceDN w:val="0"/>
        <w:adjustRightInd w:val="0"/>
        <w:spacing w:before="0" w:line="240" w:lineRule="auto"/>
        <w:jc w:val="left"/>
        <w:rPr>
          <w:b/>
        </w:rPr>
      </w:pPr>
      <w:r w:rsidRPr="00C60AD1">
        <w:rPr>
          <w:b/>
        </w:rPr>
        <w:t>Before</w:t>
      </w:r>
    </w:p>
    <w:p w:rsidR="003147B8" w:rsidRPr="00C60AD1" w:rsidRDefault="003147B8" w:rsidP="00C60AD1">
      <w:pPr>
        <w:autoSpaceDE w:val="0"/>
        <w:autoSpaceDN w:val="0"/>
        <w:adjustRightInd w:val="0"/>
        <w:spacing w:before="0" w:line="240" w:lineRule="auto"/>
        <w:jc w:val="left"/>
        <w:rPr>
          <w:b/>
        </w:rPr>
      </w:pPr>
    </w:p>
    <w:p w:rsidR="003147B8" w:rsidRPr="00C60AD1" w:rsidRDefault="003147B8" w:rsidP="00C60AD1">
      <w:pPr>
        <w:autoSpaceDE w:val="0"/>
        <w:autoSpaceDN w:val="0"/>
        <w:adjustRightInd w:val="0"/>
        <w:spacing w:before="0"/>
        <w:rPr>
          <w:b/>
        </w:rPr>
      </w:pPr>
      <w:r w:rsidRPr="00C60AD1">
        <w:rPr>
          <w:b/>
        </w:rPr>
        <w:t>UTTAR PRADESH ELECTRICITY REGULATORY COMMISSION</w:t>
      </w:r>
    </w:p>
    <w:p w:rsidR="003147B8" w:rsidRPr="00C60AD1" w:rsidRDefault="003147B8" w:rsidP="00C60AD1">
      <w:pPr>
        <w:autoSpaceDE w:val="0"/>
        <w:autoSpaceDN w:val="0"/>
        <w:adjustRightInd w:val="0"/>
        <w:spacing w:before="0"/>
        <w:jc w:val="center"/>
        <w:rPr>
          <w:rFonts w:cs="Calibri"/>
          <w:b/>
          <w:bCs/>
          <w:color w:val="000000"/>
          <w:u w:val="single"/>
          <w:lang w:val="en-US"/>
        </w:rPr>
      </w:pPr>
    </w:p>
    <w:p w:rsidR="003147B8" w:rsidRPr="00C60AD1" w:rsidRDefault="003147B8" w:rsidP="00C60AD1">
      <w:pPr>
        <w:autoSpaceDE w:val="0"/>
        <w:autoSpaceDN w:val="0"/>
        <w:adjustRightInd w:val="0"/>
        <w:spacing w:before="0"/>
        <w:jc w:val="center"/>
        <w:rPr>
          <w:rFonts w:cs="Calibri"/>
          <w:b/>
          <w:bCs/>
          <w:color w:val="000000"/>
          <w:u w:val="single"/>
          <w:lang w:val="en-US"/>
        </w:rPr>
      </w:pPr>
      <w:r w:rsidRPr="00C60AD1">
        <w:rPr>
          <w:rFonts w:cs="Calibri"/>
          <w:b/>
          <w:bCs/>
          <w:color w:val="000000"/>
          <w:u w:val="single"/>
          <w:lang w:val="en-US"/>
        </w:rPr>
        <w:t>ORDER</w:t>
      </w:r>
    </w:p>
    <w:p w:rsidR="003147B8" w:rsidRPr="00C60AD1" w:rsidRDefault="003147B8" w:rsidP="00C60AD1">
      <w:pPr>
        <w:autoSpaceDE w:val="0"/>
        <w:autoSpaceDN w:val="0"/>
        <w:adjustRightInd w:val="0"/>
        <w:spacing w:before="0"/>
        <w:jc w:val="center"/>
        <w:rPr>
          <w:rFonts w:cs="Calibri"/>
          <w:b/>
          <w:bCs/>
          <w:color w:val="000000"/>
          <w:u w:val="single"/>
          <w:lang w:val="en-US"/>
        </w:rPr>
      </w:pPr>
    </w:p>
    <w:p w:rsidR="003147B8" w:rsidRPr="00C60AD1" w:rsidRDefault="003147B8" w:rsidP="00C60AD1">
      <w:pPr>
        <w:rPr>
          <w:rFonts w:cs="Calibri"/>
        </w:rPr>
      </w:pPr>
      <w:r w:rsidRPr="00C60AD1">
        <w:rPr>
          <w:rFonts w:cs="Calibri"/>
        </w:rPr>
        <w:t xml:space="preserve">The Commission having deliberated upon the above Petition and the subsequent filings by the Petitioner, and the Petition thereafter being admitted on </w:t>
      </w:r>
      <w:r w:rsidR="00B86C22" w:rsidRPr="00C02534">
        <w:rPr>
          <w:rFonts w:cs="Calibri"/>
        </w:rPr>
        <w:t>March 2</w:t>
      </w:r>
      <w:r w:rsidR="008B0C65" w:rsidRPr="008B0C65">
        <w:rPr>
          <w:rFonts w:cs="Calibri"/>
        </w:rPr>
        <w:t>9</w:t>
      </w:r>
      <w:r w:rsidR="00B86C22" w:rsidRPr="00C02534">
        <w:rPr>
          <w:rFonts w:cs="Calibri"/>
        </w:rPr>
        <w:t>, 201</w:t>
      </w:r>
      <w:r w:rsidR="008B0C65" w:rsidRPr="008B0C65">
        <w:rPr>
          <w:rFonts w:cs="Calibri"/>
        </w:rPr>
        <w:t>6</w:t>
      </w:r>
      <w:r w:rsidRPr="00C60AD1">
        <w:rPr>
          <w:rFonts w:cs="Calibri"/>
        </w:rPr>
        <w:t xml:space="preserve"> and having considered the views / comments / suggestions / objections / representations received during the course of the above proceedings </w:t>
      </w:r>
      <w:r w:rsidR="00C216BE" w:rsidRPr="00C60AD1">
        <w:rPr>
          <w:rFonts w:cs="Calibri"/>
        </w:rPr>
        <w:t>and also in the public hearings held</w:t>
      </w:r>
      <w:r w:rsidRPr="00C60AD1">
        <w:rPr>
          <w:rFonts w:cs="Calibri"/>
        </w:rPr>
        <w:t>, in exercise of power vested under Sections 61, 62, 64 and 86 of the Electricity Act, 2003, hereby passes this Order signed, dated and issued on</w:t>
      </w:r>
      <w:r w:rsidR="00D67872">
        <w:rPr>
          <w:rFonts w:cs="Calibri"/>
        </w:rPr>
        <w:t xml:space="preserve"> </w:t>
      </w:r>
      <w:r w:rsidR="00533A6B">
        <w:rPr>
          <w:rFonts w:cs="Calibri"/>
        </w:rPr>
        <w:t>August 1</w:t>
      </w:r>
      <w:r w:rsidR="006C63AF" w:rsidRPr="006C63AF">
        <w:rPr>
          <w:rFonts w:cs="Calibri"/>
        </w:rPr>
        <w:t>, 2016.</w:t>
      </w:r>
      <w:r w:rsidRPr="00C60AD1">
        <w:rPr>
          <w:rFonts w:cs="Calibri"/>
        </w:rPr>
        <w:t xml:space="preserve"> The licensee, in accordance with Section 139 of the Uttar Pradesh Electricity Regulatory Commission (Conduct of Business) Regulations, 2004, shall arrange to get published </w:t>
      </w:r>
      <w:r w:rsidR="00C216BE" w:rsidRPr="00C60AD1">
        <w:rPr>
          <w:rFonts w:cs="Calibri"/>
        </w:rPr>
        <w:t>within three days from the</w:t>
      </w:r>
      <w:r w:rsidRPr="00C60AD1">
        <w:rPr>
          <w:rFonts w:cs="Calibri"/>
        </w:rPr>
        <w:t xml:space="preserve"> date of issue of this Order, the tariffs </w:t>
      </w:r>
      <w:r w:rsidR="0022393E" w:rsidRPr="00C60AD1">
        <w:rPr>
          <w:rFonts w:cs="Calibri"/>
        </w:rPr>
        <w:t>and regulatory surcharge approved herein by the Commission.</w:t>
      </w:r>
      <w:r w:rsidR="00001730" w:rsidRPr="00C60AD1">
        <w:rPr>
          <w:rFonts w:cs="Calibri"/>
        </w:rPr>
        <w:t xml:space="preserve">The tariffs so published shall become the notified tariffs and shall come into force after seven days from the date of such publication of the tariffs, and unless amended or revoked, shall continue to be in force till issuance of the next Tariff Order. </w:t>
      </w:r>
      <w:r w:rsidR="0022393E" w:rsidRPr="00C60AD1">
        <w:rPr>
          <w:rFonts w:cs="Calibri"/>
        </w:rPr>
        <w:t>The regulatory surcharge shall be applicable as detailed in this Order.</w:t>
      </w:r>
      <w:bookmarkStart w:id="1" w:name="_Toc357686028"/>
      <w:bookmarkStart w:id="2" w:name="_Toc357686478"/>
      <w:bookmarkStart w:id="3" w:name="_Toc357718609"/>
      <w:bookmarkEnd w:id="1"/>
      <w:bookmarkEnd w:id="2"/>
    </w:p>
    <w:p w:rsidR="003147B8" w:rsidRPr="00C60AD1" w:rsidRDefault="003147B8" w:rsidP="00C60AD1">
      <w:pPr>
        <w:pStyle w:val="Heading1"/>
      </w:pPr>
      <w:bookmarkStart w:id="4" w:name="_Toc457603874"/>
      <w:r w:rsidRPr="00C60AD1">
        <w:lastRenderedPageBreak/>
        <w:t>BACKGROUND AND BRIEF HISTORY</w:t>
      </w:r>
      <w:bookmarkEnd w:id="3"/>
      <w:bookmarkEnd w:id="4"/>
    </w:p>
    <w:p w:rsidR="003147B8" w:rsidRPr="00C60AD1" w:rsidRDefault="003147B8" w:rsidP="00C60AD1">
      <w:pPr>
        <w:pStyle w:val="Heading2"/>
        <w:numPr>
          <w:ilvl w:val="1"/>
          <w:numId w:val="6"/>
        </w:numPr>
        <w:rPr>
          <w:rFonts w:cs="Calibri"/>
          <w:szCs w:val="26"/>
          <w:lang w:val="en-US"/>
        </w:rPr>
      </w:pPr>
      <w:bookmarkStart w:id="5" w:name="_Toc357718610"/>
      <w:bookmarkStart w:id="6" w:name="_Toc457603875"/>
      <w:r w:rsidRPr="00C60AD1">
        <w:rPr>
          <w:rFonts w:cs="Calibri"/>
          <w:szCs w:val="26"/>
          <w:lang w:val="en-US"/>
        </w:rPr>
        <w:t>BACKGROUND:</w:t>
      </w:r>
      <w:bookmarkEnd w:id="5"/>
      <w:bookmarkEnd w:id="6"/>
    </w:p>
    <w:p w:rsidR="003147B8" w:rsidRPr="00C60AD1" w:rsidRDefault="003147B8" w:rsidP="00C60AD1">
      <w:pPr>
        <w:pStyle w:val="Heading3"/>
        <w:tabs>
          <w:tab w:val="clear" w:pos="720"/>
          <w:tab w:val="num" w:pos="993"/>
        </w:tabs>
        <w:ind w:left="993" w:hanging="993"/>
      </w:pPr>
      <w:r w:rsidRPr="00C60AD1">
        <w:t>The Uttar Pradesh Electricity Regulatory Commission (UPERC) was formed under U.P. Electricity Reforms Act, 1999 by Government of Uttar Pradesh (GoUP) in one of the first steps of reforms and restructuring process of the power sector in the State. Thereafter, in pursuance of the reforms and restructuring process, the erstwhile Uttar Pradesh State Electricity Board (UPSEB) was unbundled into the following three separate entities through the first reforms Transfer Scheme dated January</w:t>
      </w:r>
      <w:r w:rsidR="00675503">
        <w:t xml:space="preserve"> 14</w:t>
      </w:r>
      <w:r w:rsidRPr="00C60AD1">
        <w:t>, 2000:</w:t>
      </w:r>
    </w:p>
    <w:p w:rsidR="003147B8" w:rsidRPr="00C60AD1" w:rsidRDefault="003147B8" w:rsidP="00C60AD1">
      <w:pPr>
        <w:pStyle w:val="Heading3"/>
        <w:numPr>
          <w:ilvl w:val="2"/>
          <w:numId w:val="7"/>
        </w:numPr>
        <w:tabs>
          <w:tab w:val="clear" w:pos="720"/>
          <w:tab w:val="clear" w:pos="936"/>
        </w:tabs>
        <w:ind w:left="1620" w:hanging="306"/>
      </w:pPr>
      <w:r w:rsidRPr="00C60AD1">
        <w:t xml:space="preserve">Uttar Pradesh Power Corporation Limited (UPPCL): vested with the function of Transmission and Distribution within the State. </w:t>
      </w:r>
    </w:p>
    <w:p w:rsidR="003147B8" w:rsidRPr="00C60AD1" w:rsidRDefault="003147B8" w:rsidP="00C60AD1">
      <w:pPr>
        <w:pStyle w:val="Heading3"/>
        <w:numPr>
          <w:ilvl w:val="2"/>
          <w:numId w:val="7"/>
        </w:numPr>
        <w:tabs>
          <w:tab w:val="clear" w:pos="720"/>
          <w:tab w:val="clear" w:pos="936"/>
        </w:tabs>
        <w:ind w:left="1620" w:hanging="306"/>
      </w:pPr>
      <w:r w:rsidRPr="00C60AD1">
        <w:t xml:space="preserve">Uttar Pradesh Rajya Vidyut Utpadan Nigam Limited (UPRVUNL): vested with the function of Thermal Generation within the State </w:t>
      </w:r>
    </w:p>
    <w:p w:rsidR="003147B8" w:rsidRPr="00C60AD1" w:rsidRDefault="003147B8" w:rsidP="00C60AD1">
      <w:pPr>
        <w:pStyle w:val="Heading3"/>
        <w:numPr>
          <w:ilvl w:val="2"/>
          <w:numId w:val="7"/>
        </w:numPr>
        <w:tabs>
          <w:tab w:val="clear" w:pos="720"/>
          <w:tab w:val="clear" w:pos="936"/>
        </w:tabs>
        <w:ind w:left="1620" w:hanging="306"/>
      </w:pPr>
      <w:r w:rsidRPr="00C60AD1">
        <w:t xml:space="preserve">Uttar Pradesh Jal Vidyut Nigam Limited (UPJVNL): vested with the function of Hydro Generation within the State. </w:t>
      </w:r>
    </w:p>
    <w:p w:rsidR="003147B8" w:rsidRPr="00C60AD1" w:rsidRDefault="003147B8" w:rsidP="00C60AD1">
      <w:pPr>
        <w:pStyle w:val="Heading3"/>
        <w:tabs>
          <w:tab w:val="clear" w:pos="720"/>
        </w:tabs>
        <w:ind w:left="993" w:hanging="993"/>
      </w:pPr>
      <w:r w:rsidRPr="00C60AD1">
        <w:t>Through another Transfer Scheme dated January</w:t>
      </w:r>
      <w:r w:rsidR="001D652C" w:rsidRPr="00C60AD1">
        <w:t xml:space="preserve"> 15</w:t>
      </w:r>
      <w:r w:rsidRPr="00C60AD1">
        <w:t xml:space="preserve">, 2000, assets, liabilities and personnel of Kanpur Electricity Supply Authority (KESA) under UPSEB were transferred to Kanpur Electricity Supply Company Limited (KESCO), a company registered under the Companies Act, 1956. </w:t>
      </w:r>
    </w:p>
    <w:p w:rsidR="003147B8" w:rsidRPr="00C60AD1" w:rsidRDefault="003147B8" w:rsidP="00C60AD1">
      <w:pPr>
        <w:pStyle w:val="Heading3"/>
        <w:tabs>
          <w:tab w:val="clear" w:pos="720"/>
          <w:tab w:val="num" w:pos="993"/>
        </w:tabs>
        <w:ind w:left="993" w:hanging="993"/>
      </w:pPr>
      <w:r w:rsidRPr="00C60AD1">
        <w:t>After the enactment of the Electricity Act, 2003 (EA 2003) the need was felt for further unbundling of UPPCL (responsible for both Transmission and Distribution functions) along functional lines. Therefore, the following four new Distribution companies (hereinafter collectively referred to as ‘Discoms’ / ‘Distribution Licensees’) were created vide Uttar Pradesh Transfer of Distribution Undertaking Scheme, 2003 dated August</w:t>
      </w:r>
      <w:r w:rsidR="001D652C" w:rsidRPr="00C60AD1">
        <w:t xml:space="preserve"> 12</w:t>
      </w:r>
      <w:r w:rsidRPr="00C60AD1">
        <w:t xml:space="preserve">, 2003 to undertake distribution and supply of electricity in the areas under their respective zones specified in the scheme: </w:t>
      </w:r>
    </w:p>
    <w:p w:rsidR="003147B8" w:rsidRPr="00C60AD1" w:rsidRDefault="003147B8" w:rsidP="00C60AD1">
      <w:pPr>
        <w:pStyle w:val="Heading3"/>
        <w:numPr>
          <w:ilvl w:val="2"/>
          <w:numId w:val="8"/>
        </w:numPr>
        <w:tabs>
          <w:tab w:val="clear" w:pos="720"/>
          <w:tab w:val="clear" w:pos="936"/>
        </w:tabs>
        <w:ind w:left="1530" w:hanging="306"/>
      </w:pPr>
      <w:r w:rsidRPr="00C60AD1">
        <w:t xml:space="preserve">Dakshinanchal Vidyut Vitran Nigam Limited (Agra Discom or DVVNL) </w:t>
      </w:r>
    </w:p>
    <w:p w:rsidR="003147B8" w:rsidRPr="00C60AD1" w:rsidRDefault="003147B8" w:rsidP="00C60AD1">
      <w:pPr>
        <w:pStyle w:val="Heading3"/>
        <w:numPr>
          <w:ilvl w:val="2"/>
          <w:numId w:val="8"/>
        </w:numPr>
        <w:tabs>
          <w:tab w:val="clear" w:pos="720"/>
          <w:tab w:val="clear" w:pos="936"/>
        </w:tabs>
        <w:ind w:left="1530" w:hanging="306"/>
      </w:pPr>
      <w:r w:rsidRPr="00C60AD1">
        <w:t xml:space="preserve">Madhyanchal Vidyut Vitran Nigam Limited (Lucknow Discom or MVVNL) </w:t>
      </w:r>
    </w:p>
    <w:p w:rsidR="003147B8" w:rsidRPr="00C60AD1" w:rsidRDefault="003147B8" w:rsidP="00C60AD1">
      <w:pPr>
        <w:pStyle w:val="Heading3"/>
        <w:numPr>
          <w:ilvl w:val="2"/>
          <w:numId w:val="8"/>
        </w:numPr>
        <w:tabs>
          <w:tab w:val="clear" w:pos="720"/>
          <w:tab w:val="clear" w:pos="936"/>
        </w:tabs>
        <w:ind w:left="1530" w:hanging="306"/>
      </w:pPr>
      <w:r w:rsidRPr="00C60AD1">
        <w:t xml:space="preserve">Paschimanchal Vidyut Vitran Nigam Limited (Meerut Discom or PVVNL) </w:t>
      </w:r>
    </w:p>
    <w:p w:rsidR="003147B8" w:rsidRPr="00C60AD1" w:rsidRDefault="003147B8" w:rsidP="00C60AD1">
      <w:pPr>
        <w:pStyle w:val="Heading3"/>
        <w:numPr>
          <w:ilvl w:val="2"/>
          <w:numId w:val="8"/>
        </w:numPr>
        <w:tabs>
          <w:tab w:val="clear" w:pos="720"/>
          <w:tab w:val="clear" w:pos="936"/>
        </w:tabs>
        <w:ind w:left="1530" w:hanging="306"/>
      </w:pPr>
      <w:r w:rsidRPr="00C60AD1">
        <w:t>Purvanchal Vidyut Vitran Nigam Limited (Varanasi Discom or PuVVNL)</w:t>
      </w:r>
    </w:p>
    <w:p w:rsidR="003147B8" w:rsidRPr="00C60AD1" w:rsidRDefault="003147B8" w:rsidP="00C60AD1">
      <w:pPr>
        <w:pStyle w:val="Heading3"/>
        <w:tabs>
          <w:tab w:val="clear" w:pos="720"/>
          <w:tab w:val="num" w:pos="993"/>
        </w:tabs>
        <w:ind w:left="993" w:hanging="993"/>
      </w:pPr>
      <w:r w:rsidRPr="00C60AD1">
        <w:lastRenderedPageBreak/>
        <w:t>Under this scheme, the role of UPPCL was specified as “Bulk Supply Licensee” as per the license granted by the Commission and as “State Transmission Utility” under sub-section (1) of Section 27-B of the Indian Electricity Act, 1910.</w:t>
      </w:r>
    </w:p>
    <w:p w:rsidR="003147B8" w:rsidRPr="00C60AD1" w:rsidRDefault="003147B8" w:rsidP="00C60AD1">
      <w:pPr>
        <w:pStyle w:val="Heading3"/>
        <w:tabs>
          <w:tab w:val="clear" w:pos="720"/>
          <w:tab w:val="num" w:pos="993"/>
        </w:tabs>
        <w:ind w:left="993" w:hanging="993"/>
      </w:pPr>
      <w:r w:rsidRPr="00C60AD1">
        <w:t>Subsequently, the Uttar Pradesh Power Transmission Corporation Limited (UPPTCL), a Transmission Company (Transco), was incorporated under the Companies Act, 1956 by an amendment in the ‘Object and Name’ clause of the Uttar Pradesh Vidyut Vyapar Nigam Limited. The Transco is entrusted with the business of transmission of electrical energy to various utilities within the State of Uttar Pradesh. This function was earlier vested with UPPCL. Further, Government of Uttar Pradesh (GoUP), in exercise of power under the Section 30 of the EA 2003, vide notification No. 122/U.N.N.P/24-07 dated July</w:t>
      </w:r>
      <w:r w:rsidR="001D652C" w:rsidRPr="00C60AD1">
        <w:t xml:space="preserve"> 18</w:t>
      </w:r>
      <w:r w:rsidRPr="00C60AD1">
        <w:t>, 2007 notified Uttar Pradesh Power Transmission Corporation Limited as the “State Transmission Utility” of Uttar Pradesh. Subsequently, on December</w:t>
      </w:r>
      <w:r w:rsidR="001D652C" w:rsidRPr="00C60AD1">
        <w:t xml:space="preserve"> 23,</w:t>
      </w:r>
      <w:r w:rsidRPr="00C60AD1">
        <w:t xml:space="preserve"> 2010, the Government of Uttar Pradesh notified the Uttar Pradesh Electricity Reforms (Transfer of Transmission and Related Activities Including the Assets, Liabilities and Related Proceedings) Scheme, 2010, which provided for the transfer of assets and liabilities from UPPCL to UPPTCL with effect from April</w:t>
      </w:r>
      <w:r w:rsidR="001D652C" w:rsidRPr="00C60AD1">
        <w:t xml:space="preserve"> 1</w:t>
      </w:r>
      <w:r w:rsidRPr="00C60AD1">
        <w:t>, 2007.</w:t>
      </w:r>
    </w:p>
    <w:p w:rsidR="003147B8" w:rsidRPr="00C60AD1" w:rsidRDefault="003147B8" w:rsidP="00C60AD1">
      <w:pPr>
        <w:pStyle w:val="Heading3"/>
        <w:tabs>
          <w:tab w:val="clear" w:pos="720"/>
          <w:tab w:val="num" w:pos="993"/>
        </w:tabs>
        <w:ind w:left="993" w:hanging="993"/>
      </w:pPr>
      <w:r w:rsidRPr="00C60AD1">
        <w:t>Thereafter, on January</w:t>
      </w:r>
      <w:r w:rsidR="001D652C" w:rsidRPr="00C60AD1">
        <w:t xml:space="preserve"> 21</w:t>
      </w:r>
      <w:r w:rsidRPr="00C60AD1">
        <w:t>, 2010, as the successor Distribution companies of UPPCL (a deemed Licensee), the Distribution Companies, which were created through the notification of the UP Power Sector Reforms (Transfer of Distribution Undertakings) Scheme, 2003 were issued fresh Distribution Licenses which replaced the UP Power Corporation Ltd (UPPCL) Distribution, Retail &amp; Bulk Supply License, 2000.</w:t>
      </w:r>
    </w:p>
    <w:p w:rsidR="00F70DA9" w:rsidRPr="00C60AD1" w:rsidRDefault="00F70DA9" w:rsidP="00C60AD1">
      <w:pPr>
        <w:pStyle w:val="Heading2"/>
        <w:numPr>
          <w:ilvl w:val="0"/>
          <w:numId w:val="0"/>
        </w:numPr>
        <w:ind w:left="780"/>
        <w:rPr>
          <w:rFonts w:cs="Calibri"/>
          <w:szCs w:val="26"/>
          <w:lang w:val="en-US"/>
        </w:rPr>
      </w:pPr>
      <w:bookmarkStart w:id="7" w:name="_Toc357718611"/>
    </w:p>
    <w:p w:rsidR="003147B8" w:rsidRPr="00C60AD1" w:rsidRDefault="003147B8" w:rsidP="00C60AD1">
      <w:pPr>
        <w:pStyle w:val="Heading2"/>
        <w:rPr>
          <w:rFonts w:cs="Calibri"/>
          <w:szCs w:val="26"/>
          <w:lang w:val="en-US"/>
        </w:rPr>
      </w:pPr>
      <w:bookmarkStart w:id="8" w:name="_Toc457603876"/>
      <w:r w:rsidRPr="00C60AD1">
        <w:rPr>
          <w:rFonts w:cs="Calibri"/>
          <w:szCs w:val="26"/>
          <w:lang w:val="en-US"/>
        </w:rPr>
        <w:t>DISTRIBUTION TARIFF REGULATIONS:</w:t>
      </w:r>
      <w:bookmarkEnd w:id="7"/>
      <w:bookmarkEnd w:id="8"/>
    </w:p>
    <w:p w:rsidR="00F70DA9" w:rsidRPr="00C60AD1" w:rsidRDefault="003147B8" w:rsidP="00C60AD1">
      <w:pPr>
        <w:pStyle w:val="Heading3"/>
        <w:tabs>
          <w:tab w:val="clear" w:pos="720"/>
          <w:tab w:val="clear" w:pos="1929"/>
          <w:tab w:val="num" w:pos="993"/>
          <w:tab w:val="num" w:pos="1296"/>
        </w:tabs>
        <w:ind w:left="993" w:hanging="993"/>
        <w:rPr>
          <w:rFonts w:cs="Calibri"/>
          <w:lang w:val="en-US"/>
        </w:rPr>
      </w:pPr>
      <w:r w:rsidRPr="00C60AD1">
        <w:t>Uttar Pradesh Electricity Regulatory Commission (Terms and Conditions for Determination of Distribution Tariff) Regulations, 2006 (hereinafter referred to as the “Distribution Tariff Regulations, 2006”) were notified on October</w:t>
      </w:r>
      <w:r w:rsidR="001D652C" w:rsidRPr="00C60AD1">
        <w:t xml:space="preserve"> 6</w:t>
      </w:r>
      <w:r w:rsidRPr="00C60AD1">
        <w:t>, 2006. These Regulations are applicable for the purposes of ARR filing and Tariff determination o</w:t>
      </w:r>
      <w:r w:rsidR="00DE6DED">
        <w:t>f</w:t>
      </w:r>
      <w:r w:rsidRPr="00C60AD1">
        <w:t xml:space="preserve"> all the Distribution Licensees within the State of Uttar Pradesh from FY 2007-08 onwards. </w:t>
      </w:r>
    </w:p>
    <w:p w:rsidR="00F70DA9" w:rsidRPr="00C60AD1" w:rsidRDefault="0022393E" w:rsidP="00C60AD1">
      <w:pPr>
        <w:pStyle w:val="Heading3"/>
        <w:tabs>
          <w:tab w:val="clear" w:pos="720"/>
          <w:tab w:val="clear" w:pos="1929"/>
          <w:tab w:val="num" w:pos="993"/>
          <w:tab w:val="num" w:pos="1296"/>
        </w:tabs>
        <w:ind w:left="993" w:hanging="993"/>
        <w:rPr>
          <w:rFonts w:cs="Calibri"/>
          <w:lang w:val="en-US"/>
        </w:rPr>
      </w:pPr>
      <w:r w:rsidRPr="00C60AD1">
        <w:t>Further the Uttar Pradesh Electricity Regulatory Commission (Multi Year Distribution Tariff) Regulations, 2014 have been notified on May</w:t>
      </w:r>
      <w:r w:rsidR="001D652C" w:rsidRPr="00C60AD1">
        <w:t xml:space="preserve"> 12</w:t>
      </w:r>
      <w:r w:rsidRPr="00C60AD1">
        <w:t xml:space="preserve">, 2014. These Regulations shall be applicable for determination of Tariff in all cases covered under these Regulations from April 1, 2015 to March 31, 2020, unless extended by an Order of the Commission. Embarking upon the MYT framework, the Commission has divided </w:t>
      </w:r>
      <w:r w:rsidRPr="00C60AD1">
        <w:lastRenderedPageBreak/>
        <w:t>the period of five years (i.e. April 1, 2015 to March 31, 2020) into two periods namely –</w:t>
      </w:r>
    </w:p>
    <w:p w:rsidR="00F70DA9" w:rsidRPr="00C60AD1" w:rsidRDefault="0022393E" w:rsidP="00C60AD1">
      <w:pPr>
        <w:pStyle w:val="Heading3"/>
        <w:numPr>
          <w:ilvl w:val="0"/>
          <w:numId w:val="35"/>
        </w:numPr>
        <w:tabs>
          <w:tab w:val="clear" w:pos="720"/>
        </w:tabs>
      </w:pPr>
      <w:r w:rsidRPr="00C60AD1">
        <w:t>Transition period (April 1, 2015 to March 31, 2017)</w:t>
      </w:r>
    </w:p>
    <w:p w:rsidR="00F70DA9" w:rsidRPr="00C60AD1" w:rsidRDefault="0022393E" w:rsidP="00C60AD1">
      <w:pPr>
        <w:pStyle w:val="Heading3"/>
        <w:numPr>
          <w:ilvl w:val="0"/>
          <w:numId w:val="35"/>
        </w:numPr>
        <w:tabs>
          <w:tab w:val="clear" w:pos="720"/>
        </w:tabs>
      </w:pPr>
      <w:r w:rsidRPr="00C60AD1">
        <w:t>Control period (April 1, 2017 to March 31, 2020)</w:t>
      </w:r>
    </w:p>
    <w:p w:rsidR="00F70DA9" w:rsidRPr="00C60AD1" w:rsidRDefault="0022393E" w:rsidP="00C60AD1">
      <w:pPr>
        <w:pStyle w:val="Heading3"/>
        <w:tabs>
          <w:tab w:val="clear" w:pos="720"/>
          <w:tab w:val="clear" w:pos="1929"/>
          <w:tab w:val="num" w:pos="993"/>
          <w:tab w:val="num" w:pos="1296"/>
        </w:tabs>
        <w:ind w:left="993" w:hanging="993"/>
        <w:rPr>
          <w:bCs w:val="0"/>
        </w:rPr>
      </w:pPr>
      <w:r w:rsidRPr="00C60AD1">
        <w:t>The transition period being of two years and the first control period being of three years, the Commission shall continue with the existing Annual Tariff Framework for determination of ARR / Tariff of the Distribution Licensee (i.e. as per Uttar Pradesh Electricity Regulatory Commission (Terms and Conditions for Determination of Distribution Tariff) Regulations, 2006) during the transition period.</w:t>
      </w:r>
    </w:p>
    <w:p w:rsidR="003147B8" w:rsidRPr="00C60AD1" w:rsidRDefault="003147B8" w:rsidP="00C60AD1">
      <w:pPr>
        <w:spacing w:before="0" w:after="200"/>
        <w:jc w:val="left"/>
        <w:rPr>
          <w:rFonts w:ascii="Cambria" w:hAnsi="Cambria" w:cs="Arial"/>
          <w:b/>
          <w:bCs/>
          <w:color w:val="333399"/>
          <w:kern w:val="32"/>
          <w:szCs w:val="32"/>
        </w:rPr>
      </w:pPr>
      <w:bookmarkStart w:id="9" w:name="_Toc357718612"/>
      <w:r w:rsidRPr="00C60AD1">
        <w:rPr>
          <w:sz w:val="22"/>
          <w:szCs w:val="22"/>
          <w:lang w:val="en-US"/>
        </w:rPr>
        <w:br w:type="page"/>
      </w:r>
    </w:p>
    <w:p w:rsidR="003147B8" w:rsidRPr="00C60AD1" w:rsidRDefault="003147B8" w:rsidP="00C60AD1">
      <w:pPr>
        <w:pStyle w:val="Heading1"/>
      </w:pPr>
      <w:bookmarkStart w:id="10" w:name="_Toc457603877"/>
      <w:r w:rsidRPr="00C60AD1">
        <w:lastRenderedPageBreak/>
        <w:t>PROCEDURAL HISTORY</w:t>
      </w:r>
      <w:bookmarkEnd w:id="9"/>
      <w:bookmarkEnd w:id="10"/>
    </w:p>
    <w:p w:rsidR="006B17F5" w:rsidRPr="00C60AD1" w:rsidRDefault="00EC69F7" w:rsidP="00C60AD1">
      <w:pPr>
        <w:pStyle w:val="Heading2"/>
        <w:numPr>
          <w:ilvl w:val="1"/>
          <w:numId w:val="32"/>
        </w:numPr>
        <w:rPr>
          <w:rFonts w:cs="Calibri"/>
          <w:szCs w:val="26"/>
          <w:lang w:val="en-US"/>
        </w:rPr>
      </w:pPr>
      <w:bookmarkStart w:id="11" w:name="_Toc357718613"/>
      <w:bookmarkStart w:id="12" w:name="_Toc457603878"/>
      <w:r w:rsidRPr="00C60AD1">
        <w:rPr>
          <w:rFonts w:cs="Calibri"/>
          <w:szCs w:val="26"/>
          <w:lang w:val="en-US"/>
        </w:rPr>
        <w:t>ARR / TARIFF AND TRUE UP PETITION BY THE LICENSEE</w:t>
      </w:r>
      <w:bookmarkEnd w:id="11"/>
      <w:bookmarkEnd w:id="12"/>
    </w:p>
    <w:p w:rsidR="003147B8" w:rsidRPr="00C60AD1" w:rsidRDefault="003147B8" w:rsidP="00C60AD1">
      <w:pPr>
        <w:pStyle w:val="Heading3"/>
        <w:tabs>
          <w:tab w:val="clear" w:pos="720"/>
          <w:tab w:val="num" w:pos="993"/>
        </w:tabs>
        <w:ind w:left="993" w:hanging="993"/>
      </w:pPr>
      <w:r w:rsidRPr="00C60AD1">
        <w:t>As per the provisions of the UPERC (Terms and Conditions for Determination of Distribution Tariff) Regulations, 2006, the Distribution Licensees are required to file their ARR / Tariff Petitions before the Commission latest by 30</w:t>
      </w:r>
      <w:r w:rsidR="006E2230" w:rsidRPr="00C60AD1">
        <w:rPr>
          <w:vertAlign w:val="superscript"/>
        </w:rPr>
        <w:t>th</w:t>
      </w:r>
      <w:r w:rsidR="00DC0320">
        <w:rPr>
          <w:vertAlign w:val="superscript"/>
        </w:rPr>
        <w:t xml:space="preserve"> </w:t>
      </w:r>
      <w:r w:rsidRPr="00C60AD1">
        <w:t>November each year so that the tariff can be determined and be made applicable from the 1</w:t>
      </w:r>
      <w:r w:rsidR="006E2230" w:rsidRPr="00C60AD1">
        <w:rPr>
          <w:vertAlign w:val="superscript"/>
        </w:rPr>
        <w:t>st</w:t>
      </w:r>
      <w:r w:rsidR="00DC0320">
        <w:rPr>
          <w:vertAlign w:val="superscript"/>
        </w:rPr>
        <w:t xml:space="preserve"> </w:t>
      </w:r>
      <w:r w:rsidRPr="00C60AD1">
        <w:t>of April of the subsequent financial year.</w:t>
      </w:r>
    </w:p>
    <w:p w:rsidR="003147B8" w:rsidRPr="00C60AD1" w:rsidRDefault="003147B8" w:rsidP="00C60AD1">
      <w:pPr>
        <w:pStyle w:val="Heading3"/>
        <w:tabs>
          <w:tab w:val="clear" w:pos="720"/>
          <w:tab w:val="num" w:pos="993"/>
        </w:tabs>
        <w:ind w:left="993" w:hanging="993"/>
      </w:pPr>
      <w:r w:rsidRPr="00C60AD1">
        <w:t xml:space="preserve">The ARR / Tariff Petition for FY </w:t>
      </w:r>
      <w:r w:rsidR="008467EF" w:rsidRPr="00C60AD1">
        <w:t>201</w:t>
      </w:r>
      <w:r w:rsidR="00573CB1">
        <w:t>6</w:t>
      </w:r>
      <w:r w:rsidR="008467EF" w:rsidRPr="00C60AD1">
        <w:t>-1</w:t>
      </w:r>
      <w:r w:rsidR="00573CB1">
        <w:t>7</w:t>
      </w:r>
      <w:r w:rsidRPr="00C60AD1">
        <w:t xml:space="preserve"> and True up Petition for FY </w:t>
      </w:r>
      <w:r w:rsidR="008467EF" w:rsidRPr="00C60AD1">
        <w:t>201</w:t>
      </w:r>
      <w:r w:rsidR="00573CB1">
        <w:t>3</w:t>
      </w:r>
      <w:r w:rsidR="008467EF" w:rsidRPr="00C60AD1">
        <w:t>-1</w:t>
      </w:r>
      <w:r w:rsidR="00573CB1">
        <w:t>4</w:t>
      </w:r>
      <w:r w:rsidRPr="00C60AD1">
        <w:t xml:space="preserve"> was filed by </w:t>
      </w:r>
      <w:r w:rsidR="006F4182" w:rsidRPr="00C60AD1">
        <w:t>D</w:t>
      </w:r>
      <w:r w:rsidRPr="00C60AD1">
        <w:t xml:space="preserve">VVNL (hereinafter referred to as the ‘Licensee’ or the ‘Petitioner’) under Sections 62 and 64 of the Electricity Act, 2003 on </w:t>
      </w:r>
      <w:r w:rsidR="0022393E" w:rsidRPr="00C60AD1">
        <w:t>Dec</w:t>
      </w:r>
      <w:r w:rsidR="007320D7" w:rsidRPr="00C60AD1">
        <w:t>ember</w:t>
      </w:r>
      <w:r w:rsidR="00DC0320">
        <w:t xml:space="preserve"> </w:t>
      </w:r>
      <w:r w:rsidR="00573CB1">
        <w:t>7</w:t>
      </w:r>
      <w:r w:rsidR="007320D7" w:rsidRPr="00C60AD1">
        <w:t>, 201</w:t>
      </w:r>
      <w:r w:rsidR="00573CB1">
        <w:t>5</w:t>
      </w:r>
      <w:r w:rsidR="007320D7" w:rsidRPr="00C60AD1">
        <w:t xml:space="preserve"> (Petition No. </w:t>
      </w:r>
      <w:r w:rsidR="00573CB1">
        <w:t>1065</w:t>
      </w:r>
      <w:r w:rsidR="007320D7" w:rsidRPr="00C60AD1">
        <w:t>/ 201</w:t>
      </w:r>
      <w:r w:rsidR="00573CB1">
        <w:t>5</w:t>
      </w:r>
      <w:r w:rsidRPr="00C60AD1">
        <w:t>).</w:t>
      </w:r>
    </w:p>
    <w:p w:rsidR="003147B8" w:rsidRDefault="00372C45" w:rsidP="00C60AD1">
      <w:pPr>
        <w:pStyle w:val="Heading3"/>
        <w:tabs>
          <w:tab w:val="clear" w:pos="720"/>
          <w:tab w:val="num" w:pos="993"/>
        </w:tabs>
        <w:ind w:left="993" w:hanging="993"/>
      </w:pPr>
      <w:r w:rsidRPr="00307EDF">
        <w:t>The Commission observed that the Licensee had submitted the audited accounts for</w:t>
      </w:r>
      <w:r w:rsidRPr="000D6C41">
        <w:t xml:space="preserve"> FY 201</w:t>
      </w:r>
      <w:r w:rsidR="008B0C65" w:rsidRPr="008B0C65">
        <w:t>3</w:t>
      </w:r>
      <w:r w:rsidRPr="000D6C41">
        <w:t>-1</w:t>
      </w:r>
      <w:r w:rsidR="008B0C65" w:rsidRPr="008B0C65">
        <w:t>4</w:t>
      </w:r>
      <w:r w:rsidR="00DC0320">
        <w:t xml:space="preserve"> </w:t>
      </w:r>
      <w:r w:rsidR="00EB379E" w:rsidRPr="00964825">
        <w:t xml:space="preserve">(with Supplementary Audit Report of the Accountant General of Uttar Pradesh for FY 2013-14) </w:t>
      </w:r>
      <w:r w:rsidRPr="000D6C41">
        <w:t>and provisional accounts for FY 201</w:t>
      </w:r>
      <w:r w:rsidR="008B0C65" w:rsidRPr="008B0C65">
        <w:t>4</w:t>
      </w:r>
      <w:r w:rsidRPr="000D6C41">
        <w:t>-</w:t>
      </w:r>
      <w:r w:rsidRPr="006C479C">
        <w:t>1</w:t>
      </w:r>
      <w:r w:rsidR="008B0C65" w:rsidRPr="008B0C65">
        <w:t xml:space="preserve">5 </w:t>
      </w:r>
      <w:r w:rsidR="00C879D1" w:rsidRPr="00293C0F">
        <w:t xml:space="preserve">along with the calculations of revenue gap for </w:t>
      </w:r>
      <w:r w:rsidR="00A30A72">
        <w:t xml:space="preserve">FY 2013-14 </w:t>
      </w:r>
      <w:r w:rsidR="00C879D1" w:rsidRPr="00293C0F">
        <w:t xml:space="preserve">and the projected revenue for FY </w:t>
      </w:r>
      <w:r w:rsidR="008B0C65" w:rsidRPr="008B0C65">
        <w:t>2016-17</w:t>
      </w:r>
      <w:r w:rsidR="00C879D1" w:rsidRPr="00293C0F">
        <w:t xml:space="preserve"> based on current tariff in its ARR Petition. </w:t>
      </w:r>
      <w:r w:rsidR="00EB379E" w:rsidRPr="00964825">
        <w:t>But, audited account (with the Supplementary Audit Report of the Accountant General of Uttar Pradesh) for FY 2013-14 and provisional accounts for FY 2014-15</w:t>
      </w:r>
      <w:r w:rsidR="00DC0320">
        <w:t xml:space="preserve"> </w:t>
      </w:r>
      <w:r w:rsidR="00EB379E" w:rsidRPr="00964825">
        <w:t>of UPPCL</w:t>
      </w:r>
      <w:r w:rsidR="00DC0320">
        <w:t xml:space="preserve"> </w:t>
      </w:r>
      <w:r w:rsidR="00EB379E" w:rsidRPr="00964825">
        <w:t>were not submitted by the Licensee.</w:t>
      </w:r>
      <w:r w:rsidR="00EB379E">
        <w:t xml:space="preserve"> T</w:t>
      </w:r>
      <w:r w:rsidRPr="00FB319B">
        <w:t xml:space="preserve">he ARR Petition </w:t>
      </w:r>
      <w:r w:rsidR="00EB379E">
        <w:t xml:space="preserve">also </w:t>
      </w:r>
      <w:r w:rsidRPr="00FB319B">
        <w:t xml:space="preserve">did not contain </w:t>
      </w:r>
      <w:r w:rsidR="00DE6DED">
        <w:t>any</w:t>
      </w:r>
      <w:r w:rsidRPr="00FB319B">
        <w:t xml:space="preserve"> Tariff Proposal (Rate Schedule) to bridge the revenue gap through tariff hike or through any other mechanism. Further, the Rate Schedule was submitted later on </w:t>
      </w:r>
      <w:r w:rsidR="008B0C65" w:rsidRPr="008B0C65">
        <w:t>February</w:t>
      </w:r>
      <w:r w:rsidRPr="00FB319B">
        <w:t xml:space="preserve"> 2, 201</w:t>
      </w:r>
      <w:r w:rsidR="008B0C65" w:rsidRPr="008B0C65">
        <w:t>6</w:t>
      </w:r>
      <w:r w:rsidRPr="00FB319B">
        <w:t>.</w:t>
      </w:r>
    </w:p>
    <w:p w:rsidR="00337C98" w:rsidRDefault="00337C98" w:rsidP="00337C98">
      <w:pPr>
        <w:pStyle w:val="Heading3"/>
        <w:numPr>
          <w:ilvl w:val="0"/>
          <w:numId w:val="0"/>
        </w:numPr>
        <w:tabs>
          <w:tab w:val="clear" w:pos="720"/>
        </w:tabs>
        <w:ind w:left="993"/>
      </w:pPr>
    </w:p>
    <w:p w:rsidR="003147B8" w:rsidRPr="00C60AD1" w:rsidRDefault="003147B8" w:rsidP="00C60AD1">
      <w:pPr>
        <w:pStyle w:val="Heading2"/>
        <w:rPr>
          <w:rFonts w:cs="Calibri"/>
          <w:szCs w:val="26"/>
        </w:rPr>
      </w:pPr>
      <w:bookmarkStart w:id="13" w:name="_Toc357718614"/>
      <w:bookmarkStart w:id="14" w:name="_Toc457603879"/>
      <w:r w:rsidRPr="00C60AD1">
        <w:rPr>
          <w:rFonts w:cs="Calibri"/>
          <w:szCs w:val="26"/>
        </w:rPr>
        <w:t xml:space="preserve">PRELIMINARY </w:t>
      </w:r>
      <w:r w:rsidRPr="00C60AD1">
        <w:rPr>
          <w:rFonts w:cs="Calibri"/>
          <w:szCs w:val="26"/>
          <w:lang w:val="en-US"/>
        </w:rPr>
        <w:t>SCRUTINY</w:t>
      </w:r>
      <w:r w:rsidRPr="00C60AD1">
        <w:rPr>
          <w:rFonts w:cs="Calibri"/>
          <w:szCs w:val="26"/>
        </w:rPr>
        <w:t xml:space="preserve"> OF THE PETITION:</w:t>
      </w:r>
      <w:bookmarkEnd w:id="13"/>
      <w:bookmarkEnd w:id="14"/>
    </w:p>
    <w:p w:rsidR="003147B8" w:rsidRPr="00EB379E" w:rsidRDefault="00FA7C62" w:rsidP="00C60AD1">
      <w:pPr>
        <w:pStyle w:val="Heading3"/>
        <w:tabs>
          <w:tab w:val="clear" w:pos="720"/>
          <w:tab w:val="num" w:pos="993"/>
        </w:tabs>
        <w:ind w:left="993" w:hanging="993"/>
      </w:pPr>
      <w:r w:rsidRPr="00EB379E">
        <w:t>A preliminary analysis of the Petition was conducted by the Commission wherein it was observed that the ARR Petition did not propose any mechanism to bridge the revenue gap, which was in contravention to the stipulation of Regulation 2.1.4 of the Distribution Tariff Regulations, 2006</w:t>
      </w:r>
      <w:r w:rsidR="00F650CD" w:rsidRPr="00F650CD">
        <w:t>.</w:t>
      </w:r>
    </w:p>
    <w:p w:rsidR="00F70DA9" w:rsidRPr="001D58AA" w:rsidRDefault="00372C45" w:rsidP="00C60AD1">
      <w:pPr>
        <w:pStyle w:val="Heading3"/>
        <w:tabs>
          <w:tab w:val="clear" w:pos="720"/>
          <w:tab w:val="num" w:pos="993"/>
        </w:tabs>
        <w:ind w:left="993" w:hanging="993"/>
      </w:pPr>
      <w:r w:rsidRPr="001D58AA">
        <w:t xml:space="preserve">In this regard, a deficiency note was issued by the Commission on January </w:t>
      </w:r>
      <w:r w:rsidR="008B0C65" w:rsidRPr="008B0C65">
        <w:t>29</w:t>
      </w:r>
      <w:r w:rsidRPr="001D58AA">
        <w:t>, 201</w:t>
      </w:r>
      <w:r w:rsidR="008B0C65" w:rsidRPr="008B0C65">
        <w:t>6</w:t>
      </w:r>
      <w:r w:rsidRPr="001D58AA">
        <w:t xml:space="preserve"> directing the Licensee to submit its proposal for bridging the revenue gap. Such deficiency note also sought clarifications on other issues in regard to the ARR Petition filed by the Licensee. The Commission had granted a time of 10 days to respond on the deficiency note, i.e., by </w:t>
      </w:r>
      <w:r w:rsidR="008B0C65" w:rsidRPr="008B0C65">
        <w:t>February</w:t>
      </w:r>
      <w:r w:rsidR="00DC0320">
        <w:t xml:space="preserve"> </w:t>
      </w:r>
      <w:r w:rsidR="008B0C65" w:rsidRPr="008B0C65">
        <w:t>8</w:t>
      </w:r>
      <w:r w:rsidRPr="001D58AA">
        <w:t>, 201</w:t>
      </w:r>
      <w:r w:rsidR="008B0C65" w:rsidRPr="008B0C65">
        <w:t>6</w:t>
      </w:r>
      <w:r w:rsidRPr="001D58AA">
        <w:t>.</w:t>
      </w:r>
    </w:p>
    <w:p w:rsidR="00F70DA9" w:rsidRPr="00F9788E" w:rsidRDefault="00372C45" w:rsidP="00C60AD1">
      <w:pPr>
        <w:pStyle w:val="Heading3"/>
        <w:tabs>
          <w:tab w:val="clear" w:pos="720"/>
          <w:tab w:val="left" w:pos="990"/>
        </w:tabs>
        <w:ind w:left="990"/>
        <w:rPr>
          <w:rFonts w:cs="Calibri"/>
          <w:lang w:val="en-US"/>
        </w:rPr>
      </w:pPr>
      <w:r w:rsidRPr="00822515">
        <w:rPr>
          <w:rFonts w:cs="Calibri"/>
          <w:bCs w:val="0"/>
          <w:lang w:val="en-US"/>
        </w:rPr>
        <w:lastRenderedPageBreak/>
        <w:t xml:space="preserve">The Distribution Licensee submitted the </w:t>
      </w:r>
      <w:r w:rsidR="008B0C65" w:rsidRPr="008B0C65">
        <w:rPr>
          <w:rFonts w:cs="Calibri"/>
          <w:bCs w:val="0"/>
          <w:lang w:val="en-US"/>
        </w:rPr>
        <w:t>Rate schedule</w:t>
      </w:r>
      <w:r w:rsidRPr="00822515">
        <w:rPr>
          <w:rFonts w:cs="Calibri"/>
          <w:bCs w:val="0"/>
          <w:lang w:val="en-US"/>
        </w:rPr>
        <w:t xml:space="preserve"> on February </w:t>
      </w:r>
      <w:r w:rsidR="008B0C65" w:rsidRPr="008B0C65">
        <w:rPr>
          <w:rFonts w:cs="Calibri"/>
          <w:bCs w:val="0"/>
          <w:lang w:val="en-US"/>
        </w:rPr>
        <w:t>2</w:t>
      </w:r>
      <w:r w:rsidRPr="00822515">
        <w:rPr>
          <w:rFonts w:cs="Calibri"/>
          <w:bCs w:val="0"/>
          <w:lang w:val="en-US"/>
        </w:rPr>
        <w:t>,</w:t>
      </w:r>
      <w:r w:rsidR="00DC0320">
        <w:rPr>
          <w:rFonts w:cs="Calibri"/>
          <w:bCs w:val="0"/>
          <w:lang w:val="en-US"/>
        </w:rPr>
        <w:t xml:space="preserve"> </w:t>
      </w:r>
      <w:r w:rsidRPr="00822515">
        <w:rPr>
          <w:rFonts w:cs="Calibri"/>
          <w:bCs w:val="0"/>
          <w:lang w:val="en-US"/>
        </w:rPr>
        <w:t>201</w:t>
      </w:r>
      <w:r w:rsidR="008B0C65" w:rsidRPr="008B0C65">
        <w:rPr>
          <w:rFonts w:cs="Calibri"/>
          <w:bCs w:val="0"/>
          <w:lang w:val="en-US"/>
        </w:rPr>
        <w:t>6</w:t>
      </w:r>
      <w:r w:rsidRPr="00822515">
        <w:rPr>
          <w:rFonts w:cs="Calibri"/>
          <w:bCs w:val="0"/>
          <w:lang w:val="en-US"/>
        </w:rPr>
        <w:t xml:space="preserve">. </w:t>
      </w:r>
      <w:r w:rsidRPr="00822515">
        <w:rPr>
          <w:rFonts w:cs="Calibri"/>
          <w:lang w:val="en-US"/>
        </w:rPr>
        <w:t xml:space="preserve">Based on the </w:t>
      </w:r>
      <w:r w:rsidR="008B0C65" w:rsidRPr="008B0C65">
        <w:rPr>
          <w:rFonts w:cs="Calibri"/>
          <w:lang w:val="en-US"/>
        </w:rPr>
        <w:t>Rate schedule</w:t>
      </w:r>
      <w:r w:rsidR="00DC0320">
        <w:rPr>
          <w:rFonts w:cs="Calibri"/>
          <w:lang w:val="en-US"/>
        </w:rPr>
        <w:t xml:space="preserve"> </w:t>
      </w:r>
      <w:r w:rsidRPr="00822515">
        <w:rPr>
          <w:rFonts w:cs="Calibri"/>
          <w:lang w:val="en-US"/>
        </w:rPr>
        <w:t>submitted by the Licensee, the Commission issued a second deficiency note which included queries</w:t>
      </w:r>
      <w:r w:rsidR="00EB379E">
        <w:rPr>
          <w:rFonts w:cs="Calibri"/>
          <w:lang w:val="en-US"/>
        </w:rPr>
        <w:t xml:space="preserve"> mainly related to the Rate schedule proposed by the Licensee for FY 2016-17</w:t>
      </w:r>
      <w:r w:rsidRPr="00822515">
        <w:rPr>
          <w:rFonts w:cs="Calibri"/>
          <w:lang w:val="en-US"/>
        </w:rPr>
        <w:t xml:space="preserve">; vide e-mail </w:t>
      </w:r>
      <w:r w:rsidR="00EB379E">
        <w:rPr>
          <w:rFonts w:cs="Calibri"/>
          <w:lang w:val="en-US"/>
        </w:rPr>
        <w:t xml:space="preserve">and letter </w:t>
      </w:r>
      <w:r w:rsidRPr="00822515">
        <w:rPr>
          <w:rFonts w:cs="Calibri"/>
          <w:lang w:val="en-US"/>
        </w:rPr>
        <w:t>dated February</w:t>
      </w:r>
      <w:r w:rsidR="00EB379E">
        <w:rPr>
          <w:rFonts w:cs="Calibri"/>
          <w:lang w:val="en-US"/>
        </w:rPr>
        <w:t xml:space="preserve"> 10</w:t>
      </w:r>
      <w:r w:rsidRPr="00822515">
        <w:rPr>
          <w:rFonts w:cs="Calibri"/>
          <w:lang w:val="en-US"/>
        </w:rPr>
        <w:t>, 201</w:t>
      </w:r>
      <w:r w:rsidR="008B0C65" w:rsidRPr="008B0C65">
        <w:rPr>
          <w:rFonts w:cs="Calibri"/>
          <w:lang w:val="en-US"/>
        </w:rPr>
        <w:t>6</w:t>
      </w:r>
      <w:r w:rsidR="008B0C65" w:rsidRPr="005607D3">
        <w:rPr>
          <w:rFonts w:cs="Calibri"/>
          <w:lang w:val="en-US"/>
        </w:rPr>
        <w:t xml:space="preserve">. </w:t>
      </w:r>
      <w:r w:rsidRPr="00BA0A94">
        <w:rPr>
          <w:rFonts w:cs="Calibri"/>
          <w:lang w:val="en-US"/>
        </w:rPr>
        <w:t xml:space="preserve">The Commission also directed the Licensees to submit its replies </w:t>
      </w:r>
      <w:r w:rsidRPr="00BC6D89">
        <w:rPr>
          <w:rFonts w:cs="Calibri"/>
          <w:lang w:val="en-US"/>
        </w:rPr>
        <w:t xml:space="preserve">within </w:t>
      </w:r>
      <w:r w:rsidR="008B0C65" w:rsidRPr="00BC6D89">
        <w:rPr>
          <w:rFonts w:cs="Calibri"/>
          <w:lang w:val="en-US"/>
        </w:rPr>
        <w:t>10 days</w:t>
      </w:r>
      <w:r w:rsidRPr="00BC6D89">
        <w:rPr>
          <w:rFonts w:cs="Calibri"/>
          <w:lang w:val="en-US"/>
        </w:rPr>
        <w:t>.</w:t>
      </w:r>
      <w:r w:rsidRPr="00F9788E">
        <w:rPr>
          <w:rFonts w:cs="Calibri"/>
          <w:lang w:val="en-US"/>
        </w:rPr>
        <w:t xml:space="preserve"> A reminder vide letter dated </w:t>
      </w:r>
      <w:r w:rsidR="008B0C65" w:rsidRPr="008B0C65">
        <w:rPr>
          <w:rFonts w:cs="Calibri"/>
          <w:lang w:val="en-US"/>
        </w:rPr>
        <w:t>February 22</w:t>
      </w:r>
      <w:r w:rsidRPr="00F9788E">
        <w:rPr>
          <w:rFonts w:cs="Calibri"/>
          <w:lang w:val="en-US"/>
        </w:rPr>
        <w:t xml:space="preserve">, </w:t>
      </w:r>
      <w:r w:rsidR="008B0C65" w:rsidRPr="008B0C65">
        <w:rPr>
          <w:rFonts w:cs="Calibri"/>
          <w:lang w:val="en-US"/>
        </w:rPr>
        <w:t>2016</w:t>
      </w:r>
      <w:r w:rsidRPr="00F9788E">
        <w:rPr>
          <w:rFonts w:cs="Calibri"/>
          <w:lang w:val="en-US"/>
        </w:rPr>
        <w:t xml:space="preserve"> was sent to all the State owned Distribution Licensees to submit the replies </w:t>
      </w:r>
      <w:r w:rsidR="00EB379E">
        <w:rPr>
          <w:rFonts w:cs="Calibri"/>
          <w:lang w:val="en-US"/>
        </w:rPr>
        <w:t xml:space="preserve">for both the set of deficiencies </w:t>
      </w:r>
      <w:r w:rsidRPr="00F9788E">
        <w:rPr>
          <w:rFonts w:cs="Calibri"/>
          <w:lang w:val="en-US"/>
        </w:rPr>
        <w:t xml:space="preserve">at the earliest. </w:t>
      </w:r>
    </w:p>
    <w:p w:rsidR="003147B8" w:rsidRPr="00C806A3" w:rsidRDefault="003147B8" w:rsidP="00C60AD1">
      <w:pPr>
        <w:pStyle w:val="Heading3"/>
        <w:tabs>
          <w:tab w:val="clear" w:pos="720"/>
          <w:tab w:val="num" w:pos="993"/>
        </w:tabs>
        <w:ind w:left="993" w:hanging="993"/>
      </w:pPr>
      <w:r w:rsidRPr="00C806A3">
        <w:t xml:space="preserve">The Distribution Licensee submitted the replies to the </w:t>
      </w:r>
      <w:r w:rsidR="008B0C65" w:rsidRPr="008B0C65">
        <w:t xml:space="preserve">first and </w:t>
      </w:r>
      <w:r w:rsidRPr="00C806A3">
        <w:t>second deficiency note</w:t>
      </w:r>
      <w:r w:rsidR="008B0C65" w:rsidRPr="008B0C65">
        <w:t>s</w:t>
      </w:r>
      <w:r w:rsidRPr="00C806A3">
        <w:t xml:space="preserve"> on </w:t>
      </w:r>
      <w:r w:rsidR="00B34F8F" w:rsidRPr="00C806A3">
        <w:t xml:space="preserve">March </w:t>
      </w:r>
      <w:r w:rsidR="008B0C65" w:rsidRPr="008B0C65">
        <w:t>9</w:t>
      </w:r>
      <w:r w:rsidR="00930C6A" w:rsidRPr="00C806A3">
        <w:t xml:space="preserve">, </w:t>
      </w:r>
      <w:r w:rsidR="00B34F8F" w:rsidRPr="00C806A3">
        <w:t>201</w:t>
      </w:r>
      <w:r w:rsidR="008B0C65" w:rsidRPr="008B0C65">
        <w:t>6</w:t>
      </w:r>
      <w:r w:rsidRPr="00C806A3">
        <w:t>.</w:t>
      </w:r>
    </w:p>
    <w:p w:rsidR="00F70DA9" w:rsidRPr="00B118EC" w:rsidRDefault="00372C45" w:rsidP="00C60AD1">
      <w:pPr>
        <w:pStyle w:val="Heading3"/>
        <w:tabs>
          <w:tab w:val="clear" w:pos="720"/>
          <w:tab w:val="num" w:pos="993"/>
          <w:tab w:val="left" w:pos="5400"/>
        </w:tabs>
        <w:ind w:left="993" w:hanging="993"/>
      </w:pPr>
      <w:r w:rsidRPr="00B118EC">
        <w:t>The Hon’ble ATE, in its Judgment dated October 21, 2011 in Appeal No. 121 of 2010 has ruled that if the audited accounts for the previous year are not available for some reasons then the audited accounts for the year just prior to the previous year along with the provisional accounts for the previous year may be considered. Thus, based on the above ruling of the Hon’ble ATE, the audited accounts for FY 201</w:t>
      </w:r>
      <w:r w:rsidR="008B0C65" w:rsidRPr="008B0C65">
        <w:t>3</w:t>
      </w:r>
      <w:r w:rsidRPr="00B118EC">
        <w:t>-1</w:t>
      </w:r>
      <w:r w:rsidR="008B0C65" w:rsidRPr="008B0C65">
        <w:t>4</w:t>
      </w:r>
      <w:r w:rsidRPr="00B118EC">
        <w:t xml:space="preserve"> (i.e., year just prior to the previous year) </w:t>
      </w:r>
      <w:r w:rsidRPr="00B118EC">
        <w:rPr>
          <w:rFonts w:cstheme="minorHAnsi"/>
          <w:szCs w:val="24"/>
        </w:rPr>
        <w:t xml:space="preserve">) along with the provisional accounts for FY 2014-15 (previous year) </w:t>
      </w:r>
      <w:r w:rsidRPr="00B118EC">
        <w:t>ha</w:t>
      </w:r>
      <w:r w:rsidR="008B0C65" w:rsidRPr="008B0C65">
        <w:t>ve</w:t>
      </w:r>
      <w:r w:rsidRPr="00B118EC">
        <w:t xml:space="preserve"> been considered for the current proceedings in the matter of approval of Annual Revenue Requirement and Tariff Determination of FY 201</w:t>
      </w:r>
      <w:r w:rsidR="008B0C65" w:rsidRPr="008B0C65">
        <w:t>6</w:t>
      </w:r>
      <w:r w:rsidRPr="00B118EC">
        <w:t>-1</w:t>
      </w:r>
      <w:r w:rsidR="008B0C65" w:rsidRPr="008B0C65">
        <w:t>7</w:t>
      </w:r>
      <w:r w:rsidRPr="00B118EC">
        <w:t xml:space="preserve">. </w:t>
      </w:r>
    </w:p>
    <w:p w:rsidR="00F70DA9" w:rsidRPr="00C60AD1" w:rsidRDefault="00F70DA9" w:rsidP="00C60AD1">
      <w:pPr>
        <w:pStyle w:val="Heading2"/>
        <w:numPr>
          <w:ilvl w:val="0"/>
          <w:numId w:val="0"/>
        </w:numPr>
        <w:ind w:left="780"/>
        <w:rPr>
          <w:rFonts w:cs="Calibri"/>
          <w:szCs w:val="26"/>
        </w:rPr>
      </w:pPr>
      <w:bookmarkStart w:id="15" w:name="_Toc356912865"/>
      <w:bookmarkStart w:id="16" w:name="_Toc394439278"/>
    </w:p>
    <w:p w:rsidR="003147B8" w:rsidRPr="00C60AD1" w:rsidRDefault="0022393E" w:rsidP="00C60AD1">
      <w:pPr>
        <w:pStyle w:val="Heading2"/>
        <w:rPr>
          <w:rFonts w:cs="Calibri"/>
          <w:szCs w:val="26"/>
        </w:rPr>
      </w:pPr>
      <w:bookmarkStart w:id="17" w:name="_Toc457603880"/>
      <w:r w:rsidRPr="00C60AD1">
        <w:rPr>
          <w:rFonts w:cs="Calibri"/>
          <w:szCs w:val="26"/>
        </w:rPr>
        <w:t>ADMITTANCE OF THE TRUE-UP AND ARR / TARIFF PETITION</w:t>
      </w:r>
      <w:bookmarkEnd w:id="15"/>
      <w:bookmarkEnd w:id="16"/>
      <w:bookmarkEnd w:id="17"/>
    </w:p>
    <w:p w:rsidR="008C05CF" w:rsidRPr="00C60AD1" w:rsidRDefault="007320D7" w:rsidP="00C60AD1">
      <w:pPr>
        <w:pStyle w:val="Heading3"/>
        <w:tabs>
          <w:tab w:val="clear" w:pos="720"/>
          <w:tab w:val="num" w:pos="993"/>
        </w:tabs>
        <w:ind w:left="993" w:hanging="993"/>
      </w:pPr>
      <w:r w:rsidRPr="00C60AD1">
        <w:t xml:space="preserve">The Commission through its Admittance Order dated </w:t>
      </w:r>
      <w:r w:rsidR="0022393E" w:rsidRPr="00C60AD1">
        <w:t>March</w:t>
      </w:r>
      <w:r w:rsidR="00930C6A" w:rsidRPr="00C60AD1">
        <w:t xml:space="preserve"> 2</w:t>
      </w:r>
      <w:r w:rsidR="009C0D8E">
        <w:t>9</w:t>
      </w:r>
      <w:r w:rsidRPr="00C60AD1">
        <w:t>, 201</w:t>
      </w:r>
      <w:r w:rsidR="00843C2F">
        <w:t>6</w:t>
      </w:r>
      <w:r w:rsidRPr="00C60AD1">
        <w:t xml:space="preserve"> directed the Petitioner to publish, within 3 days from the date of issue of that order, the Public Notice detailing the salient information and facts of the True-up Petition for FY </w:t>
      </w:r>
      <w:r w:rsidR="008A1A72" w:rsidRPr="00C60AD1">
        <w:t>201</w:t>
      </w:r>
      <w:r w:rsidR="005C6214">
        <w:t>3</w:t>
      </w:r>
      <w:r w:rsidRPr="00C60AD1">
        <w:t>-</w:t>
      </w:r>
      <w:r w:rsidR="0022393E" w:rsidRPr="00C60AD1">
        <w:t>1</w:t>
      </w:r>
      <w:r w:rsidR="005C6214">
        <w:t>4</w:t>
      </w:r>
      <w:r w:rsidRPr="00C60AD1">
        <w:t>, ARR</w:t>
      </w:r>
      <w:r w:rsidR="00EB379E">
        <w:t xml:space="preserve"> / Tariff</w:t>
      </w:r>
      <w:r w:rsidRPr="00C60AD1">
        <w:t xml:space="preserve"> Petition for FY 201</w:t>
      </w:r>
      <w:r w:rsidR="005C6214">
        <w:t>6</w:t>
      </w:r>
      <w:r w:rsidR="0022393E" w:rsidRPr="00C60AD1">
        <w:t>-1</w:t>
      </w:r>
      <w:r w:rsidR="005C6214">
        <w:t>7</w:t>
      </w:r>
      <w:r w:rsidR="00131CA8" w:rsidRPr="00C60AD1">
        <w:t>,</w:t>
      </w:r>
      <w:r w:rsidRPr="00C60AD1">
        <w:t xml:space="preserve"> the Rate Schedule (Tariff Proposed for different categories/ sub-categories of consumers)</w:t>
      </w:r>
      <w:r w:rsidR="00131CA8" w:rsidRPr="00C60AD1">
        <w:t>, the details of the cumulative revenue gap (regulatory asset) and its treatment, proposed ‘Regulatory Surcharge’, Distribution losses, average power purchase cost, average cost of supply, average retail tariff realised from each category / sub-category of consumers and the % of average tariff increase required to cover the revenue gap</w:t>
      </w:r>
      <w:r w:rsidRPr="00C60AD1">
        <w:t xml:space="preserve"> in at least two daily newspapers (one English and one Hindi) for two successive days for inviting views / </w:t>
      </w:r>
      <w:r w:rsidR="0022393E" w:rsidRPr="00C60AD1">
        <w:t>comments / suggestions /</w:t>
      </w:r>
      <w:r w:rsidRPr="00C60AD1">
        <w:t>objections</w:t>
      </w:r>
      <w:r w:rsidR="0022393E" w:rsidRPr="00C60AD1">
        <w:t xml:space="preserve"> /representations from </w:t>
      </w:r>
      <w:r w:rsidRPr="00C60AD1">
        <w:t xml:space="preserve"> all stakeholders and public at large</w:t>
      </w:r>
      <w:r w:rsidR="005E27AA" w:rsidRPr="00C60AD1">
        <w:t xml:space="preserve"> within the stipulated time of 15 days from the date of publication of the Public Notice.</w:t>
      </w:r>
      <w:r w:rsidRPr="00C60AD1">
        <w:t xml:space="preserve">. The Commission had also directed the Petitioner to </w:t>
      </w:r>
      <w:r w:rsidR="009E173F" w:rsidRPr="00C60AD1">
        <w:t xml:space="preserve">put all details on its internet website, in PDF format, showing detailed computations, the </w:t>
      </w:r>
      <w:r w:rsidR="009E173F" w:rsidRPr="00C60AD1">
        <w:lastRenderedPageBreak/>
        <w:t xml:space="preserve">application made to the Commission along with all regulatory filings, information, particulars and documents, clarification and additional information on inadequacies etc. and all subsequent events and material placed on record if any, made before the issuance of final Order subject to confidentiality of information which requires prior approval </w:t>
      </w:r>
      <w:r w:rsidR="005E27AA" w:rsidRPr="00C60AD1">
        <w:t>of</w:t>
      </w:r>
      <w:r w:rsidR="009E173F" w:rsidRPr="00C60AD1">
        <w:t xml:space="preserve"> the Commission.</w:t>
      </w:r>
    </w:p>
    <w:p w:rsidR="006C63AF" w:rsidRDefault="006C63AF" w:rsidP="006C63AF">
      <w:pPr>
        <w:pStyle w:val="Heading3"/>
        <w:numPr>
          <w:ilvl w:val="0"/>
          <w:numId w:val="0"/>
        </w:numPr>
        <w:tabs>
          <w:tab w:val="clear" w:pos="720"/>
          <w:tab w:val="left" w:pos="5400"/>
        </w:tabs>
        <w:spacing w:before="0"/>
        <w:ind w:left="993"/>
      </w:pPr>
    </w:p>
    <w:p w:rsidR="003147B8" w:rsidRPr="00C60AD1" w:rsidRDefault="0022393E" w:rsidP="00C60AD1">
      <w:pPr>
        <w:pStyle w:val="Heading2"/>
        <w:rPr>
          <w:rFonts w:cs="Calibri"/>
          <w:szCs w:val="26"/>
          <w:lang w:val="en-US"/>
        </w:rPr>
      </w:pPr>
      <w:bookmarkStart w:id="18" w:name="_Toc394439279"/>
      <w:bookmarkStart w:id="19" w:name="_Toc457603881"/>
      <w:r w:rsidRPr="00C60AD1">
        <w:rPr>
          <w:rFonts w:cs="Calibri"/>
          <w:szCs w:val="26"/>
          <w:lang w:val="en-US"/>
        </w:rPr>
        <w:t xml:space="preserve">PUBLICITY OF </w:t>
      </w:r>
      <w:r w:rsidRPr="00C60AD1">
        <w:rPr>
          <w:rFonts w:cs="Calibri"/>
          <w:szCs w:val="26"/>
        </w:rPr>
        <w:t>THE</w:t>
      </w:r>
      <w:r w:rsidRPr="00C60AD1">
        <w:rPr>
          <w:rFonts w:cs="Calibri"/>
          <w:szCs w:val="26"/>
          <w:lang w:val="en-US"/>
        </w:rPr>
        <w:t xml:space="preserve"> PETITION</w:t>
      </w:r>
      <w:bookmarkEnd w:id="18"/>
      <w:bookmarkEnd w:id="19"/>
    </w:p>
    <w:p w:rsidR="00F70DA9" w:rsidRPr="00C60AD1" w:rsidRDefault="003147B8" w:rsidP="00C60AD1">
      <w:pPr>
        <w:pStyle w:val="Heading3"/>
        <w:tabs>
          <w:tab w:val="clear" w:pos="720"/>
          <w:tab w:val="num" w:pos="993"/>
          <w:tab w:val="left" w:pos="5400"/>
        </w:tabs>
        <w:ind w:left="993" w:hanging="993"/>
      </w:pPr>
      <w:r w:rsidRPr="00C60AD1">
        <w:t>The Public Notice detailing the salient features of the True-up Petition for FY 20</w:t>
      </w:r>
      <w:r w:rsidR="007F16AB" w:rsidRPr="00C60AD1">
        <w:t>1</w:t>
      </w:r>
      <w:r w:rsidR="00D22C7C">
        <w:t>3</w:t>
      </w:r>
      <w:r w:rsidR="007F16AB" w:rsidRPr="00C60AD1">
        <w:t>-1</w:t>
      </w:r>
      <w:r w:rsidR="00D22C7C">
        <w:t>4</w:t>
      </w:r>
      <w:r w:rsidRPr="00C60AD1">
        <w:t xml:space="preserve"> and ARR </w:t>
      </w:r>
      <w:r w:rsidR="007F16AB" w:rsidRPr="00C60AD1">
        <w:t>Petition for</w:t>
      </w:r>
      <w:r w:rsidRPr="00C60AD1">
        <w:t xml:space="preserve"> FY 201</w:t>
      </w:r>
      <w:r w:rsidR="00D22C7C">
        <w:t>6</w:t>
      </w:r>
      <w:r w:rsidR="007F16AB" w:rsidRPr="00C60AD1">
        <w:t>-1</w:t>
      </w:r>
      <w:r w:rsidR="00D22C7C">
        <w:t>7</w:t>
      </w:r>
      <w:r w:rsidRPr="00C60AD1">
        <w:t xml:space="preserve"> w</w:t>
      </w:r>
      <w:r w:rsidR="0009670B" w:rsidRPr="00C60AD1">
        <w:t>as</w:t>
      </w:r>
      <w:r w:rsidRPr="00C60AD1">
        <w:t xml:space="preserve"> made </w:t>
      </w:r>
      <w:r w:rsidR="00DE6DED">
        <w:t xml:space="preserve">available </w:t>
      </w:r>
      <w:r w:rsidRPr="00C60AD1">
        <w:t xml:space="preserve">by UPPCL on behalf of the Petitioner and they appeared in daily newspapers as detailed below, inviting objections from the public at large and all stakeholders: </w:t>
      </w:r>
    </w:p>
    <w:p w:rsidR="007C7081" w:rsidRPr="005607D3" w:rsidRDefault="008B0C65" w:rsidP="00C60AD1">
      <w:pPr>
        <w:pStyle w:val="Heading3"/>
        <w:numPr>
          <w:ilvl w:val="2"/>
          <w:numId w:val="9"/>
        </w:numPr>
        <w:tabs>
          <w:tab w:val="clear" w:pos="720"/>
          <w:tab w:val="clear" w:pos="936"/>
        </w:tabs>
        <w:ind w:left="1440" w:hanging="306"/>
      </w:pPr>
      <w:r w:rsidRPr="005607D3">
        <w:t>Times of India (English)</w:t>
      </w:r>
      <w:r w:rsidRPr="005607D3">
        <w:tab/>
      </w:r>
      <w:r w:rsidRPr="005607D3">
        <w:tab/>
        <w:t xml:space="preserve">: March </w:t>
      </w:r>
      <w:r w:rsidR="009A4409">
        <w:t>31</w:t>
      </w:r>
      <w:r w:rsidRPr="005607D3">
        <w:t>, 201</w:t>
      </w:r>
      <w:r w:rsidR="009A4409">
        <w:t>6</w:t>
      </w:r>
    </w:p>
    <w:p w:rsidR="007C7081" w:rsidRPr="005607D3" w:rsidRDefault="008B0C65" w:rsidP="00C60AD1">
      <w:pPr>
        <w:pStyle w:val="Heading3"/>
        <w:numPr>
          <w:ilvl w:val="2"/>
          <w:numId w:val="9"/>
        </w:numPr>
        <w:tabs>
          <w:tab w:val="clear" w:pos="720"/>
          <w:tab w:val="clear" w:pos="936"/>
        </w:tabs>
        <w:ind w:left="1440" w:hanging="306"/>
      </w:pPr>
      <w:r w:rsidRPr="005607D3">
        <w:t>Pioneer (English)</w:t>
      </w:r>
      <w:r w:rsidRPr="005607D3">
        <w:tab/>
      </w:r>
      <w:r w:rsidRPr="005607D3">
        <w:tab/>
      </w:r>
      <w:r w:rsidRPr="005607D3">
        <w:tab/>
        <w:t xml:space="preserve">: </w:t>
      </w:r>
      <w:r w:rsidR="009A4409">
        <w:t>April 1, 2016</w:t>
      </w:r>
    </w:p>
    <w:p w:rsidR="007C7081" w:rsidRPr="005607D3" w:rsidRDefault="008B0C65" w:rsidP="00C60AD1">
      <w:pPr>
        <w:pStyle w:val="Heading3"/>
        <w:numPr>
          <w:ilvl w:val="2"/>
          <w:numId w:val="9"/>
        </w:numPr>
        <w:tabs>
          <w:tab w:val="clear" w:pos="720"/>
          <w:tab w:val="clear" w:pos="936"/>
        </w:tabs>
        <w:ind w:left="1440" w:hanging="306"/>
      </w:pPr>
      <w:r w:rsidRPr="005607D3">
        <w:t xml:space="preserve">Hindustan (Hindi) </w:t>
      </w:r>
      <w:r w:rsidRPr="005607D3">
        <w:tab/>
      </w:r>
      <w:r w:rsidRPr="005607D3">
        <w:tab/>
      </w:r>
      <w:r w:rsidRPr="005607D3">
        <w:tab/>
        <w:t xml:space="preserve">: March </w:t>
      </w:r>
      <w:r w:rsidR="009A4409">
        <w:t>31,</w:t>
      </w:r>
      <w:r w:rsidRPr="005607D3">
        <w:t xml:space="preserve"> 201</w:t>
      </w:r>
      <w:r w:rsidR="009A4409">
        <w:t>6</w:t>
      </w:r>
    </w:p>
    <w:p w:rsidR="009A4409" w:rsidRPr="009A4409" w:rsidRDefault="009A4409" w:rsidP="009A4409">
      <w:pPr>
        <w:pStyle w:val="Heading3"/>
        <w:numPr>
          <w:ilvl w:val="2"/>
          <w:numId w:val="9"/>
        </w:numPr>
        <w:tabs>
          <w:tab w:val="clear" w:pos="720"/>
          <w:tab w:val="clear" w:pos="936"/>
        </w:tabs>
        <w:ind w:left="1440" w:hanging="306"/>
      </w:pPr>
      <w:r w:rsidRPr="009A4409">
        <w:t>A</w:t>
      </w:r>
      <w:r>
        <w:t>aj</w:t>
      </w:r>
      <w:r w:rsidRPr="009A4409">
        <w:t xml:space="preserve"> (Hindi) </w:t>
      </w:r>
      <w:r w:rsidRPr="009A4409">
        <w:tab/>
      </w:r>
      <w:r w:rsidRPr="009A4409">
        <w:tab/>
      </w:r>
      <w:r>
        <w:tab/>
      </w:r>
      <w:r w:rsidRPr="009A4409">
        <w:tab/>
        <w:t xml:space="preserve">: March </w:t>
      </w:r>
      <w:r>
        <w:t>31</w:t>
      </w:r>
      <w:r w:rsidRPr="009A4409">
        <w:t>, 201</w:t>
      </w:r>
      <w:r>
        <w:t>6</w:t>
      </w:r>
    </w:p>
    <w:p w:rsidR="009A4409" w:rsidRDefault="009A4409" w:rsidP="00C60AD1">
      <w:pPr>
        <w:pStyle w:val="Heading3"/>
        <w:numPr>
          <w:ilvl w:val="2"/>
          <w:numId w:val="9"/>
        </w:numPr>
        <w:tabs>
          <w:tab w:val="clear" w:pos="720"/>
          <w:tab w:val="clear" w:pos="936"/>
        </w:tabs>
        <w:ind w:left="1440" w:hanging="306"/>
      </w:pPr>
      <w:r>
        <w:t xml:space="preserve">Amar Ujala </w:t>
      </w:r>
      <w:r w:rsidRPr="009A4409">
        <w:t>(Hindi)</w:t>
      </w:r>
      <w:r>
        <w:tab/>
      </w:r>
      <w:r>
        <w:tab/>
      </w:r>
      <w:r>
        <w:tab/>
        <w:t>: March 31, 2016</w:t>
      </w:r>
    </w:p>
    <w:p w:rsidR="007C7081" w:rsidRDefault="008B0C65" w:rsidP="00C60AD1">
      <w:pPr>
        <w:pStyle w:val="Heading3"/>
        <w:numPr>
          <w:ilvl w:val="2"/>
          <w:numId w:val="9"/>
        </w:numPr>
        <w:tabs>
          <w:tab w:val="clear" w:pos="720"/>
          <w:tab w:val="clear" w:pos="936"/>
        </w:tabs>
        <w:ind w:left="1440" w:hanging="306"/>
      </w:pPr>
      <w:r w:rsidRPr="005607D3">
        <w:t xml:space="preserve">Dainik Jagaran (Hindi) </w:t>
      </w:r>
      <w:r w:rsidRPr="005607D3">
        <w:tab/>
      </w:r>
      <w:r w:rsidRPr="005607D3">
        <w:tab/>
        <w:t xml:space="preserve">: </w:t>
      </w:r>
      <w:r w:rsidR="009A4409">
        <w:t>April, 1, 2016</w:t>
      </w:r>
    </w:p>
    <w:p w:rsidR="009A4409" w:rsidRPr="009A4409" w:rsidRDefault="009A4409" w:rsidP="009A4409">
      <w:pPr>
        <w:pStyle w:val="Heading3"/>
        <w:numPr>
          <w:ilvl w:val="2"/>
          <w:numId w:val="9"/>
        </w:numPr>
        <w:tabs>
          <w:tab w:val="clear" w:pos="720"/>
          <w:tab w:val="clear" w:pos="936"/>
        </w:tabs>
        <w:ind w:left="1440" w:hanging="306"/>
      </w:pPr>
      <w:r>
        <w:t>Rashtriya Sahara</w:t>
      </w:r>
      <w:r w:rsidRPr="009A4409">
        <w:t xml:space="preserve"> (Hindi) </w:t>
      </w:r>
      <w:r w:rsidRPr="009A4409">
        <w:tab/>
      </w:r>
      <w:r w:rsidRPr="009A4409">
        <w:tab/>
        <w:t xml:space="preserve">: </w:t>
      </w:r>
      <w:r>
        <w:t>April, 1, 2016</w:t>
      </w:r>
    </w:p>
    <w:p w:rsidR="009A4409" w:rsidRPr="005607D3" w:rsidRDefault="009A4409" w:rsidP="005607D3">
      <w:pPr>
        <w:pStyle w:val="Heading3"/>
        <w:numPr>
          <w:ilvl w:val="2"/>
          <w:numId w:val="9"/>
        </w:numPr>
        <w:tabs>
          <w:tab w:val="clear" w:pos="720"/>
          <w:tab w:val="clear" w:pos="936"/>
        </w:tabs>
        <w:ind w:left="1440" w:hanging="306"/>
      </w:pPr>
      <w:r>
        <w:t>Swatantra Bharat</w:t>
      </w:r>
      <w:r w:rsidRPr="009A4409">
        <w:t xml:space="preserve"> (Hindi) </w:t>
      </w:r>
      <w:r w:rsidRPr="009A4409">
        <w:tab/>
      </w:r>
      <w:r w:rsidRPr="009A4409">
        <w:tab/>
        <w:t xml:space="preserve">: </w:t>
      </w:r>
      <w:r>
        <w:t>April, 1, 2016</w:t>
      </w:r>
    </w:p>
    <w:p w:rsidR="003147B8" w:rsidRPr="00C60AD1" w:rsidRDefault="003147B8" w:rsidP="00C60AD1">
      <w:pPr>
        <w:spacing w:before="0" w:after="200"/>
        <w:jc w:val="left"/>
        <w:rPr>
          <w:sz w:val="22"/>
          <w:szCs w:val="22"/>
        </w:rPr>
      </w:pPr>
    </w:p>
    <w:p w:rsidR="003147B8" w:rsidRPr="00C60AD1" w:rsidRDefault="0022393E" w:rsidP="00C60AD1">
      <w:pPr>
        <w:pStyle w:val="Heading2"/>
        <w:rPr>
          <w:rFonts w:cs="Calibri"/>
          <w:szCs w:val="26"/>
          <w:lang w:val="en-US"/>
        </w:rPr>
      </w:pPr>
      <w:bookmarkStart w:id="20" w:name="_Toc419553041"/>
      <w:bookmarkStart w:id="21" w:name="_Toc419641564"/>
      <w:bookmarkStart w:id="22" w:name="_Toc420005489"/>
      <w:bookmarkStart w:id="23" w:name="_Toc420016180"/>
      <w:bookmarkStart w:id="24" w:name="_Toc420020955"/>
      <w:bookmarkStart w:id="25" w:name="_Toc420193355"/>
      <w:bookmarkStart w:id="26" w:name="_Toc420193497"/>
      <w:bookmarkStart w:id="27" w:name="_Toc420196244"/>
      <w:bookmarkStart w:id="28" w:name="_Toc420197497"/>
      <w:bookmarkStart w:id="29" w:name="_Toc457603882"/>
      <w:bookmarkEnd w:id="20"/>
      <w:bookmarkEnd w:id="21"/>
      <w:bookmarkEnd w:id="22"/>
      <w:bookmarkEnd w:id="23"/>
      <w:bookmarkEnd w:id="24"/>
      <w:bookmarkEnd w:id="25"/>
      <w:bookmarkEnd w:id="26"/>
      <w:bookmarkEnd w:id="27"/>
      <w:bookmarkEnd w:id="28"/>
      <w:r w:rsidRPr="00C60AD1">
        <w:rPr>
          <w:rFonts w:cs="Calibri"/>
          <w:szCs w:val="26"/>
          <w:lang w:val="en-US"/>
        </w:rPr>
        <w:t>PUBLIC HEARING PROCESS</w:t>
      </w:r>
      <w:bookmarkEnd w:id="29"/>
    </w:p>
    <w:p w:rsidR="003147B8" w:rsidRPr="00C60AD1" w:rsidRDefault="007320D7" w:rsidP="00C60AD1">
      <w:pPr>
        <w:pStyle w:val="Heading3"/>
        <w:tabs>
          <w:tab w:val="clear" w:pos="720"/>
          <w:tab w:val="num" w:pos="993"/>
        </w:tabs>
        <w:ind w:left="993" w:hanging="993"/>
      </w:pPr>
      <w:r w:rsidRPr="00C60AD1">
        <w:t xml:space="preserve">The Commission invited comments / suggestions from consumers and all other stakeholders on the ARR &amp; Tariff proposals of the </w:t>
      </w:r>
      <w:r w:rsidR="00DE6DED">
        <w:t>L</w:t>
      </w:r>
      <w:r w:rsidRPr="00C60AD1">
        <w:t>icensees. To provide an opportunity to all sections of the population in the State and to obtain feedback from them, public hearings were held by the Commission in the State. Consumer representatives, industry associations and other individual consumers participated actively in the public hearing process.</w:t>
      </w:r>
    </w:p>
    <w:p w:rsidR="003147B8" w:rsidRPr="00E21528" w:rsidRDefault="007320D7" w:rsidP="00C60AD1">
      <w:pPr>
        <w:pStyle w:val="Heading3"/>
        <w:tabs>
          <w:tab w:val="clear" w:pos="720"/>
          <w:tab w:val="num" w:pos="993"/>
        </w:tabs>
        <w:ind w:left="993" w:hanging="993"/>
      </w:pPr>
      <w:r w:rsidRPr="00C60AD1">
        <w:t xml:space="preserve">The Commission conducted </w:t>
      </w:r>
      <w:r w:rsidR="005C05AA" w:rsidRPr="00C60AD1">
        <w:t xml:space="preserve">combined </w:t>
      </w:r>
      <w:r w:rsidRPr="00C60AD1">
        <w:t xml:space="preserve">public hearing in the above matter for </w:t>
      </w:r>
      <w:r w:rsidR="005C05AA" w:rsidRPr="00C60AD1">
        <w:t xml:space="preserve">all Distribution Licensees namely PuVVNL, PVVNL, MVVNL, DVVNL, </w:t>
      </w:r>
      <w:r w:rsidR="008414D1" w:rsidRPr="00C60AD1">
        <w:t xml:space="preserve">KESCO, </w:t>
      </w:r>
      <w:r w:rsidR="005C05AA" w:rsidRPr="00C60AD1">
        <w:t xml:space="preserve">NPCL and Transmission Licensee namely </w:t>
      </w:r>
      <w:r w:rsidR="00F650CD" w:rsidRPr="00F650CD">
        <w:t xml:space="preserve">UPPTCL </w:t>
      </w:r>
      <w:r w:rsidR="004839DB">
        <w:t xml:space="preserve">on </w:t>
      </w:r>
      <w:r w:rsidR="00E21528" w:rsidRPr="00E849D6">
        <w:t>May 11, 2016 at Greater Noida, May 13, 2016 at Lucknow and May 20, 2016 at Aligarh</w:t>
      </w:r>
      <w:r w:rsidR="00E21528">
        <w:t>.</w:t>
      </w:r>
    </w:p>
    <w:p w:rsidR="00C41EAC" w:rsidRPr="00C60AD1" w:rsidRDefault="00C41EAC" w:rsidP="00C60AD1">
      <w:pPr>
        <w:pStyle w:val="Heading1"/>
        <w:rPr>
          <w:rFonts w:asciiTheme="minorHAnsi" w:eastAsiaTheme="majorEastAsia" w:hAnsiTheme="minorHAnsi" w:cstheme="minorHAnsi"/>
          <w:kern w:val="0"/>
          <w:szCs w:val="24"/>
          <w:lang w:val="en-US"/>
        </w:rPr>
      </w:pPr>
      <w:bookmarkStart w:id="30" w:name="_Toc396573709"/>
      <w:bookmarkStart w:id="31" w:name="_Toc457603883"/>
      <w:r w:rsidRPr="00C60AD1">
        <w:rPr>
          <w:rFonts w:asciiTheme="minorHAnsi" w:hAnsiTheme="minorHAnsi" w:cstheme="minorHAnsi"/>
          <w:szCs w:val="24"/>
        </w:rPr>
        <w:lastRenderedPageBreak/>
        <w:t>PUBLIC HEARING PROCESS</w:t>
      </w:r>
      <w:bookmarkEnd w:id="30"/>
      <w:bookmarkEnd w:id="31"/>
    </w:p>
    <w:p w:rsidR="00EC69F7" w:rsidRPr="00C60AD1" w:rsidRDefault="00C41EAC" w:rsidP="00C60AD1">
      <w:pPr>
        <w:pStyle w:val="Heading2"/>
        <w:numPr>
          <w:ilvl w:val="1"/>
          <w:numId w:val="34"/>
        </w:numPr>
      </w:pPr>
      <w:bookmarkStart w:id="32" w:name="_Toc396573710"/>
      <w:bookmarkStart w:id="33" w:name="_Toc457603884"/>
      <w:r w:rsidRPr="00C60AD1">
        <w:t>OBJECTIVE:</w:t>
      </w:r>
      <w:bookmarkEnd w:id="32"/>
      <w:bookmarkEnd w:id="33"/>
    </w:p>
    <w:p w:rsidR="00D5771F" w:rsidRDefault="00C41EAC">
      <w:pPr>
        <w:pStyle w:val="Heading3"/>
        <w:tabs>
          <w:tab w:val="clear" w:pos="720"/>
          <w:tab w:val="num" w:pos="993"/>
        </w:tabs>
        <w:ind w:left="993" w:hanging="993"/>
      </w:pPr>
      <w:r w:rsidRPr="00C60AD1">
        <w:t xml:space="preserve">The </w:t>
      </w:r>
      <w:r w:rsidRPr="00C60AD1">
        <w:rPr>
          <w:rFonts w:cs="Calibri"/>
        </w:rPr>
        <w:t>Commission</w:t>
      </w:r>
      <w:r w:rsidRPr="00C60AD1">
        <w:t xml:space="preserve">, in order to achieve the twin objective i.e. to observe transparency in its proceedings and functions and to protect interest of consumers has always attached importance to the views / comments / suggestions / objections / representations of the public. The process gains significant importance in a “cost plus regime”, where the entire cost allowed to the </w:t>
      </w:r>
      <w:r w:rsidR="00DE6DED">
        <w:t>L</w:t>
      </w:r>
      <w:r w:rsidRPr="00C60AD1">
        <w:t xml:space="preserve">icensee gets transferred to the consumer. The consumers therefore have a locus-standi to comment on the True-up and ARR &amp; Tariff Petitions filed by the licensees. </w:t>
      </w:r>
    </w:p>
    <w:p w:rsidR="00D5771F" w:rsidRDefault="00C41EAC">
      <w:pPr>
        <w:pStyle w:val="Heading3"/>
        <w:tabs>
          <w:tab w:val="clear" w:pos="720"/>
          <w:tab w:val="num" w:pos="993"/>
        </w:tabs>
        <w:ind w:left="993" w:hanging="993"/>
      </w:pPr>
      <w:r w:rsidRPr="00C60AD1">
        <w:t>The comments of the consumers play an important role in the determination of Tariff and the design of the Rate Schedule. Factors such as quality of electricity supply and the service levels need to be considered while determining the Tariff. The Commission takes into consideration the submissions of the consumers before it embarks upon the exercise of determining the Tariff.</w:t>
      </w:r>
    </w:p>
    <w:p w:rsidR="00C41EAC" w:rsidRPr="00C60AD1" w:rsidRDefault="00C41EAC" w:rsidP="00C60AD1">
      <w:pPr>
        <w:pStyle w:val="Heading3"/>
        <w:tabs>
          <w:tab w:val="clear" w:pos="720"/>
          <w:tab w:val="num" w:pos="993"/>
        </w:tabs>
        <w:ind w:left="993" w:hanging="993"/>
      </w:pPr>
      <w:r w:rsidRPr="00C60AD1">
        <w:t>The Commission, by holding public hearings, has provided the various stakeholders as well as the public at large, a platform where they were able to share their views / comments / suggestions / objections / representations for determination of the retail Tariff for FY 201</w:t>
      </w:r>
      <w:r w:rsidR="00B3712A">
        <w:t>6</w:t>
      </w:r>
      <w:r w:rsidR="007F16AB" w:rsidRPr="00C60AD1">
        <w:t>-1</w:t>
      </w:r>
      <w:r w:rsidR="00B3712A">
        <w:t>7</w:t>
      </w:r>
      <w:r w:rsidRPr="00C60AD1">
        <w:t>. This process also enables the Commission to adopt a transparent and participative approach in the process of Tariff determination</w:t>
      </w:r>
    </w:p>
    <w:p w:rsidR="00C41EAC" w:rsidRPr="00C60AD1" w:rsidRDefault="00C41EAC" w:rsidP="00C60AD1">
      <w:pPr>
        <w:pStyle w:val="ListParagraph"/>
        <w:spacing w:before="0" w:line="312" w:lineRule="auto"/>
        <w:ind w:left="180"/>
        <w:contextualSpacing/>
      </w:pPr>
    </w:p>
    <w:p w:rsidR="00C41EAC" w:rsidRPr="00C60AD1" w:rsidRDefault="00C41EAC" w:rsidP="00C60AD1">
      <w:pPr>
        <w:pStyle w:val="Heading2"/>
      </w:pPr>
      <w:bookmarkStart w:id="34" w:name="_Toc337201333"/>
      <w:bookmarkStart w:id="35" w:name="_Toc337459174"/>
      <w:bookmarkStart w:id="36" w:name="_Toc357720831"/>
      <w:bookmarkStart w:id="37" w:name="_Toc396573711"/>
      <w:bookmarkStart w:id="38" w:name="_Toc457603885"/>
      <w:r w:rsidRPr="00C60AD1">
        <w:t>PUBLIC HEARING:</w:t>
      </w:r>
      <w:bookmarkEnd w:id="34"/>
      <w:bookmarkEnd w:id="35"/>
      <w:bookmarkEnd w:id="36"/>
      <w:bookmarkEnd w:id="37"/>
      <w:bookmarkEnd w:id="38"/>
    </w:p>
    <w:p w:rsidR="00C250B8" w:rsidRPr="004839DB" w:rsidRDefault="00C41EAC" w:rsidP="00C60AD1">
      <w:pPr>
        <w:pStyle w:val="Heading3"/>
        <w:tabs>
          <w:tab w:val="clear" w:pos="720"/>
          <w:tab w:val="num" w:pos="993"/>
        </w:tabs>
        <w:ind w:left="993" w:hanging="993"/>
      </w:pPr>
      <w:r w:rsidRPr="00C60AD1">
        <w:t xml:space="preserve">To provide an opportunity to all sections of the population in the State to express their views and to also obtain feedback from them, public hearings for each Distribution Licensee were held by the Commission at various places in the State. The </w:t>
      </w:r>
      <w:r w:rsidR="00F650CD" w:rsidRPr="00F650CD">
        <w:t xml:space="preserve">public hearings were conducted </w:t>
      </w:r>
      <w:r w:rsidR="00DE6DED">
        <w:t>on</w:t>
      </w:r>
      <w:r w:rsidR="00F650CD">
        <w:t>May 11, 2016</w:t>
      </w:r>
      <w:r w:rsidR="00DE6DED">
        <w:t>, May 13, 2016 and</w:t>
      </w:r>
      <w:r w:rsidR="008B0C65" w:rsidRPr="008B0C65">
        <w:t xml:space="preserve"> May 20, 2016</w:t>
      </w:r>
      <w:r w:rsidR="00F650CD" w:rsidRPr="00F650CD">
        <w:t xml:space="preserve"> as per details given below:</w:t>
      </w:r>
    </w:p>
    <w:p w:rsidR="00D67872" w:rsidRDefault="00D67872" w:rsidP="00C60AD1">
      <w:pPr>
        <w:spacing w:before="0"/>
        <w:jc w:val="center"/>
        <w:rPr>
          <w:b/>
          <w:sz w:val="22"/>
          <w:szCs w:val="22"/>
          <w:lang w:val="en-US"/>
        </w:rPr>
      </w:pPr>
      <w:bookmarkStart w:id="39" w:name="_Toc337201459"/>
      <w:bookmarkStart w:id="40" w:name="_Toc337459303"/>
      <w:bookmarkStart w:id="41" w:name="_Toc357721088"/>
      <w:bookmarkStart w:id="42" w:name="_Toc396573861"/>
    </w:p>
    <w:p w:rsidR="00C41EAC" w:rsidRPr="00C60AD1" w:rsidRDefault="00C41EAC" w:rsidP="00C60AD1">
      <w:pPr>
        <w:spacing w:before="0"/>
        <w:jc w:val="center"/>
        <w:rPr>
          <w:b/>
          <w:sz w:val="22"/>
          <w:szCs w:val="22"/>
          <w:lang w:val="en-US"/>
        </w:rPr>
      </w:pPr>
      <w:bookmarkStart w:id="43" w:name="_Toc457603992"/>
      <w:r w:rsidRPr="00C60AD1">
        <w:rPr>
          <w:b/>
          <w:sz w:val="22"/>
          <w:szCs w:val="22"/>
          <w:lang w:val="en-US"/>
        </w:rPr>
        <w:t xml:space="preserve">Table </w:t>
      </w:r>
      <w:r w:rsidR="009741CA" w:rsidRPr="00C60AD1">
        <w:rPr>
          <w:b/>
          <w:sz w:val="22"/>
          <w:szCs w:val="22"/>
          <w:lang w:val="en-US"/>
        </w:rPr>
        <w:fldChar w:fldCharType="begin"/>
      </w:r>
      <w:r w:rsidRPr="00C60AD1">
        <w:rPr>
          <w:b/>
          <w:sz w:val="22"/>
          <w:szCs w:val="22"/>
          <w:lang w:val="en-US"/>
        </w:rPr>
        <w:instrText xml:space="preserve"> STYLEREF 1 \s </w:instrText>
      </w:r>
      <w:r w:rsidR="009741CA" w:rsidRPr="00C60AD1">
        <w:rPr>
          <w:b/>
          <w:sz w:val="22"/>
          <w:szCs w:val="22"/>
          <w:lang w:val="en-US"/>
        </w:rPr>
        <w:fldChar w:fldCharType="separate"/>
      </w:r>
      <w:r w:rsidR="00BA08F0">
        <w:rPr>
          <w:b/>
          <w:noProof/>
          <w:sz w:val="22"/>
          <w:szCs w:val="22"/>
          <w:lang w:val="en-US"/>
        </w:rPr>
        <w:t>3</w:t>
      </w:r>
      <w:r w:rsidR="009741CA" w:rsidRPr="00C60AD1">
        <w:rPr>
          <w:b/>
          <w:sz w:val="22"/>
          <w:szCs w:val="22"/>
          <w:lang w:val="en-US"/>
        </w:rPr>
        <w:fldChar w:fldCharType="end"/>
      </w:r>
      <w:r w:rsidRPr="00C60AD1">
        <w:rPr>
          <w:b/>
          <w:sz w:val="22"/>
          <w:szCs w:val="22"/>
          <w:lang w:val="en-US"/>
        </w:rPr>
        <w:noBreakHyphen/>
      </w:r>
      <w:r w:rsidR="009741CA" w:rsidRPr="00C60AD1">
        <w:rPr>
          <w:b/>
          <w:sz w:val="22"/>
          <w:szCs w:val="22"/>
          <w:lang w:val="en-US"/>
        </w:rPr>
        <w:fldChar w:fldCharType="begin"/>
      </w:r>
      <w:r w:rsidRPr="00C60AD1">
        <w:rPr>
          <w:b/>
          <w:sz w:val="22"/>
          <w:szCs w:val="22"/>
          <w:lang w:val="en-US"/>
        </w:rPr>
        <w:instrText xml:space="preserve"> SEQ Table \* ARABIC \s 1 </w:instrText>
      </w:r>
      <w:r w:rsidR="009741CA" w:rsidRPr="00C60AD1">
        <w:rPr>
          <w:b/>
          <w:sz w:val="22"/>
          <w:szCs w:val="22"/>
          <w:lang w:val="en-US"/>
        </w:rPr>
        <w:fldChar w:fldCharType="separate"/>
      </w:r>
      <w:r w:rsidR="00BA08F0">
        <w:rPr>
          <w:b/>
          <w:noProof/>
          <w:sz w:val="22"/>
          <w:szCs w:val="22"/>
          <w:lang w:val="en-US"/>
        </w:rPr>
        <w:t>1</w:t>
      </w:r>
      <w:r w:rsidR="009741CA" w:rsidRPr="00C60AD1">
        <w:rPr>
          <w:b/>
          <w:sz w:val="22"/>
          <w:szCs w:val="22"/>
          <w:lang w:val="en-US"/>
        </w:rPr>
        <w:fldChar w:fldCharType="end"/>
      </w:r>
      <w:r w:rsidR="004073C9">
        <w:rPr>
          <w:b/>
          <w:sz w:val="22"/>
          <w:szCs w:val="22"/>
          <w:lang w:val="en-US"/>
        </w:rPr>
        <w:t xml:space="preserve">: </w:t>
      </w:r>
      <w:r w:rsidR="00F657A5">
        <w:rPr>
          <w:b/>
          <w:sz w:val="22"/>
          <w:szCs w:val="22"/>
          <w:lang w:val="en-US"/>
        </w:rPr>
        <w:t xml:space="preserve">SCHEDULE OF </w:t>
      </w:r>
      <w:r w:rsidRPr="00C60AD1">
        <w:rPr>
          <w:b/>
          <w:sz w:val="22"/>
          <w:szCs w:val="22"/>
          <w:lang w:val="en-US"/>
        </w:rPr>
        <w:t>PUBLIC HEARING</w:t>
      </w:r>
      <w:r w:rsidR="00986037">
        <w:rPr>
          <w:b/>
          <w:sz w:val="22"/>
          <w:szCs w:val="22"/>
          <w:lang w:val="en-US"/>
        </w:rPr>
        <w:t xml:space="preserve"> </w:t>
      </w:r>
      <w:r w:rsidRPr="00C60AD1">
        <w:rPr>
          <w:b/>
          <w:sz w:val="22"/>
          <w:szCs w:val="22"/>
          <w:lang w:val="en-US"/>
        </w:rPr>
        <w:t>AT VARIOUS LOCATIONS OF THE STATE</w:t>
      </w:r>
      <w:bookmarkEnd w:id="39"/>
      <w:bookmarkEnd w:id="40"/>
      <w:bookmarkEnd w:id="41"/>
      <w:bookmarkEnd w:id="42"/>
      <w:bookmarkEnd w:id="43"/>
    </w:p>
    <w:tbl>
      <w:tblPr>
        <w:tblW w:w="3950" w:type="pct"/>
        <w:jc w:val="center"/>
        <w:tblInd w:w="19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0"/>
        <w:gridCol w:w="1555"/>
        <w:gridCol w:w="2103"/>
        <w:gridCol w:w="3049"/>
      </w:tblGrid>
      <w:tr w:rsidR="00A92A8A" w:rsidRPr="003D2C56" w:rsidTr="00DC0320">
        <w:trPr>
          <w:trHeight w:val="225"/>
          <w:tblHeader/>
          <w:jc w:val="center"/>
        </w:trPr>
        <w:tc>
          <w:tcPr>
            <w:tcW w:w="539" w:type="pct"/>
            <w:shd w:val="clear" w:color="auto" w:fill="DBE5F1"/>
          </w:tcPr>
          <w:p w:rsidR="00D5771F" w:rsidRDefault="00E34329">
            <w:pPr>
              <w:spacing w:before="0" w:line="240" w:lineRule="auto"/>
              <w:jc w:val="center"/>
              <w:rPr>
                <w:rFonts w:asciiTheme="minorHAnsi" w:hAnsiTheme="minorHAnsi"/>
                <w:b/>
                <w:bCs/>
                <w:color w:val="333399"/>
                <w:kern w:val="32"/>
                <w:sz w:val="22"/>
                <w:szCs w:val="22"/>
              </w:rPr>
            </w:pPr>
            <w:r w:rsidRPr="00E34329">
              <w:rPr>
                <w:rFonts w:asciiTheme="minorHAnsi" w:hAnsiTheme="minorHAnsi"/>
                <w:b/>
                <w:sz w:val="22"/>
                <w:szCs w:val="22"/>
              </w:rPr>
              <w:t>Sl. No</w:t>
            </w:r>
          </w:p>
        </w:tc>
        <w:tc>
          <w:tcPr>
            <w:tcW w:w="1034" w:type="pct"/>
            <w:shd w:val="clear" w:color="auto" w:fill="DBE5F1"/>
          </w:tcPr>
          <w:p w:rsidR="00D5771F" w:rsidRDefault="00E34329">
            <w:pPr>
              <w:spacing w:before="0" w:line="240" w:lineRule="auto"/>
              <w:jc w:val="center"/>
              <w:rPr>
                <w:rFonts w:asciiTheme="minorHAnsi" w:hAnsiTheme="minorHAnsi"/>
                <w:b/>
                <w:sz w:val="22"/>
                <w:szCs w:val="22"/>
              </w:rPr>
            </w:pPr>
            <w:r w:rsidRPr="00E34329">
              <w:rPr>
                <w:rFonts w:asciiTheme="minorHAnsi" w:hAnsiTheme="minorHAnsi"/>
                <w:b/>
                <w:sz w:val="22"/>
                <w:szCs w:val="22"/>
              </w:rPr>
              <w:t>Date</w:t>
            </w:r>
          </w:p>
        </w:tc>
        <w:tc>
          <w:tcPr>
            <w:tcW w:w="1399" w:type="pct"/>
            <w:shd w:val="clear" w:color="auto" w:fill="DBE5F1"/>
          </w:tcPr>
          <w:p w:rsidR="00D5771F" w:rsidRDefault="00E34329">
            <w:pPr>
              <w:spacing w:before="0" w:line="240" w:lineRule="auto"/>
              <w:jc w:val="center"/>
              <w:rPr>
                <w:rFonts w:asciiTheme="minorHAnsi" w:hAnsiTheme="minorHAnsi"/>
                <w:b/>
                <w:sz w:val="22"/>
                <w:szCs w:val="22"/>
              </w:rPr>
            </w:pPr>
            <w:r w:rsidRPr="00E34329">
              <w:rPr>
                <w:rFonts w:asciiTheme="minorHAnsi" w:hAnsiTheme="minorHAnsi"/>
                <w:b/>
                <w:sz w:val="22"/>
                <w:szCs w:val="22"/>
              </w:rPr>
              <w:t>Place of Hearing</w:t>
            </w:r>
          </w:p>
        </w:tc>
        <w:tc>
          <w:tcPr>
            <w:tcW w:w="2028" w:type="pct"/>
            <w:shd w:val="clear" w:color="auto" w:fill="DBE5F1"/>
          </w:tcPr>
          <w:p w:rsidR="00D5771F" w:rsidRDefault="00E34329">
            <w:pPr>
              <w:spacing w:before="0" w:line="240" w:lineRule="auto"/>
              <w:jc w:val="center"/>
              <w:rPr>
                <w:rFonts w:asciiTheme="minorHAnsi" w:hAnsiTheme="minorHAnsi"/>
                <w:b/>
                <w:sz w:val="22"/>
                <w:szCs w:val="22"/>
              </w:rPr>
            </w:pPr>
            <w:r w:rsidRPr="00E34329">
              <w:rPr>
                <w:rFonts w:asciiTheme="minorHAnsi" w:hAnsiTheme="minorHAnsi"/>
                <w:b/>
                <w:sz w:val="22"/>
                <w:szCs w:val="22"/>
              </w:rPr>
              <w:t>Hearings in the matter of</w:t>
            </w:r>
          </w:p>
        </w:tc>
      </w:tr>
      <w:tr w:rsidR="00A92A8A" w:rsidRPr="003D2C56" w:rsidTr="00D97F7F">
        <w:trPr>
          <w:trHeight w:val="341"/>
          <w:jc w:val="center"/>
        </w:trPr>
        <w:tc>
          <w:tcPr>
            <w:tcW w:w="539" w:type="pct"/>
            <w:vAlign w:val="center"/>
          </w:tcPr>
          <w:p w:rsidR="00D5771F" w:rsidRDefault="00D97F7F">
            <w:pPr>
              <w:spacing w:before="0" w:line="240" w:lineRule="auto"/>
              <w:jc w:val="center"/>
              <w:rPr>
                <w:rFonts w:asciiTheme="minorHAnsi" w:hAnsiTheme="minorHAnsi"/>
                <w:sz w:val="22"/>
                <w:szCs w:val="22"/>
              </w:rPr>
            </w:pPr>
            <w:r w:rsidRPr="003D2C56">
              <w:rPr>
                <w:rFonts w:asciiTheme="minorHAnsi" w:hAnsiTheme="minorHAnsi"/>
                <w:sz w:val="22"/>
                <w:szCs w:val="22"/>
              </w:rPr>
              <w:t>1</w:t>
            </w:r>
          </w:p>
        </w:tc>
        <w:tc>
          <w:tcPr>
            <w:tcW w:w="1034"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May 11, 2016</w:t>
            </w:r>
          </w:p>
        </w:tc>
        <w:tc>
          <w:tcPr>
            <w:tcW w:w="1399"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 xml:space="preserve">Greater Noida </w:t>
            </w:r>
          </w:p>
        </w:tc>
        <w:tc>
          <w:tcPr>
            <w:tcW w:w="2028" w:type="pct"/>
            <w:vMerge w:val="restart"/>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PuVVNL, PVVNL, MVVNL, DVVNL,KESCO, NPCL and UPPTCL</w:t>
            </w:r>
          </w:p>
        </w:tc>
      </w:tr>
      <w:tr w:rsidR="00A92A8A" w:rsidRPr="003D2C56" w:rsidTr="00D97F7F">
        <w:trPr>
          <w:trHeight w:val="269"/>
          <w:jc w:val="center"/>
        </w:trPr>
        <w:tc>
          <w:tcPr>
            <w:tcW w:w="539" w:type="pct"/>
            <w:vAlign w:val="center"/>
          </w:tcPr>
          <w:p w:rsidR="00D5771F" w:rsidRDefault="00D97F7F">
            <w:pPr>
              <w:spacing w:before="0" w:line="240" w:lineRule="auto"/>
              <w:jc w:val="center"/>
              <w:rPr>
                <w:rFonts w:asciiTheme="minorHAnsi" w:hAnsiTheme="minorHAnsi"/>
                <w:sz w:val="22"/>
                <w:szCs w:val="22"/>
              </w:rPr>
            </w:pPr>
            <w:r w:rsidRPr="003D2C56">
              <w:rPr>
                <w:rFonts w:asciiTheme="minorHAnsi" w:hAnsiTheme="minorHAnsi"/>
                <w:sz w:val="22"/>
                <w:szCs w:val="22"/>
              </w:rPr>
              <w:t>2</w:t>
            </w:r>
          </w:p>
        </w:tc>
        <w:tc>
          <w:tcPr>
            <w:tcW w:w="1034"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May 13, 2016</w:t>
            </w:r>
          </w:p>
        </w:tc>
        <w:tc>
          <w:tcPr>
            <w:tcW w:w="1399"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Lucknow</w:t>
            </w:r>
          </w:p>
        </w:tc>
        <w:tc>
          <w:tcPr>
            <w:tcW w:w="2028" w:type="pct"/>
            <w:vMerge/>
          </w:tcPr>
          <w:p w:rsidR="00D5771F" w:rsidRDefault="00D5771F">
            <w:pPr>
              <w:spacing w:before="0" w:line="240" w:lineRule="auto"/>
              <w:rPr>
                <w:rFonts w:asciiTheme="minorHAnsi" w:hAnsiTheme="minorHAnsi" w:cs="Arial"/>
                <w:bCs/>
                <w:sz w:val="22"/>
                <w:szCs w:val="22"/>
              </w:rPr>
            </w:pPr>
          </w:p>
        </w:tc>
      </w:tr>
      <w:tr w:rsidR="00A92A8A" w:rsidRPr="003D2C56" w:rsidTr="00D97F7F">
        <w:trPr>
          <w:trHeight w:val="323"/>
          <w:jc w:val="center"/>
        </w:trPr>
        <w:tc>
          <w:tcPr>
            <w:tcW w:w="539" w:type="pct"/>
            <w:vAlign w:val="center"/>
          </w:tcPr>
          <w:p w:rsidR="00D5771F" w:rsidRDefault="00D97F7F">
            <w:pPr>
              <w:spacing w:before="0" w:line="240" w:lineRule="auto"/>
              <w:jc w:val="center"/>
              <w:rPr>
                <w:rFonts w:asciiTheme="minorHAnsi" w:hAnsiTheme="minorHAnsi"/>
                <w:sz w:val="22"/>
                <w:szCs w:val="22"/>
              </w:rPr>
            </w:pPr>
            <w:r w:rsidRPr="003D2C56">
              <w:rPr>
                <w:rFonts w:asciiTheme="minorHAnsi" w:hAnsiTheme="minorHAnsi"/>
                <w:sz w:val="22"/>
                <w:szCs w:val="22"/>
              </w:rPr>
              <w:t>3</w:t>
            </w:r>
          </w:p>
        </w:tc>
        <w:tc>
          <w:tcPr>
            <w:tcW w:w="1034"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May 20, 2016</w:t>
            </w:r>
          </w:p>
        </w:tc>
        <w:tc>
          <w:tcPr>
            <w:tcW w:w="1399"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Aligarh</w:t>
            </w:r>
          </w:p>
        </w:tc>
        <w:tc>
          <w:tcPr>
            <w:tcW w:w="2028" w:type="pct"/>
            <w:vMerge/>
          </w:tcPr>
          <w:p w:rsidR="00D5771F" w:rsidRDefault="00D5771F">
            <w:pPr>
              <w:spacing w:before="0" w:line="240" w:lineRule="auto"/>
              <w:rPr>
                <w:rFonts w:asciiTheme="minorHAnsi" w:hAnsiTheme="minorHAnsi" w:cs="Arial"/>
                <w:bCs/>
                <w:sz w:val="22"/>
                <w:szCs w:val="22"/>
              </w:rPr>
            </w:pPr>
          </w:p>
        </w:tc>
      </w:tr>
    </w:tbl>
    <w:p w:rsidR="00C41EAC" w:rsidRPr="00C60AD1" w:rsidRDefault="00C41EAC" w:rsidP="003512AE">
      <w:pPr>
        <w:pStyle w:val="ListParagraph"/>
        <w:spacing w:before="0" w:line="312" w:lineRule="auto"/>
        <w:ind w:left="180"/>
        <w:contextualSpacing/>
      </w:pPr>
    </w:p>
    <w:p w:rsidR="00C41EAC" w:rsidRPr="00C60AD1" w:rsidRDefault="00C41EAC" w:rsidP="00C60AD1">
      <w:pPr>
        <w:pStyle w:val="Heading3"/>
        <w:tabs>
          <w:tab w:val="clear" w:pos="720"/>
          <w:tab w:val="num" w:pos="993"/>
        </w:tabs>
        <w:ind w:left="993" w:hanging="993"/>
      </w:pPr>
      <w:r w:rsidRPr="00C60AD1">
        <w:lastRenderedPageBreak/>
        <w:t xml:space="preserve">Consumer representatives, industry associations as well as several individual consumers participated actively in the public hearing process. </w:t>
      </w:r>
    </w:p>
    <w:p w:rsidR="00C41EAC" w:rsidRPr="00C60AD1" w:rsidRDefault="00C41EAC" w:rsidP="00C60AD1">
      <w:pPr>
        <w:pStyle w:val="Heading3"/>
        <w:tabs>
          <w:tab w:val="clear" w:pos="720"/>
          <w:tab w:val="num" w:pos="993"/>
        </w:tabs>
        <w:ind w:left="993" w:hanging="993"/>
      </w:pPr>
      <w:r w:rsidRPr="00C60AD1">
        <w:t xml:space="preserve">The views / suggestions / comments / objections / representations on the True-up / ARR / Tariff Petitions received from the public were forwarded to the Licensees for their comments / response. The Commission considers these submissions of the consumers and the response of the Licensees before it embarks upon the exercise of determining the final True-up / ARR / Tariff. </w:t>
      </w:r>
    </w:p>
    <w:p w:rsidR="00C41EAC" w:rsidRPr="00C60AD1" w:rsidRDefault="00C41EAC" w:rsidP="00C60AD1">
      <w:pPr>
        <w:pStyle w:val="Heading3"/>
        <w:tabs>
          <w:tab w:val="clear" w:pos="720"/>
          <w:tab w:val="num" w:pos="993"/>
        </w:tabs>
        <w:ind w:left="993" w:hanging="993"/>
      </w:pPr>
      <w:r w:rsidRPr="00C60AD1">
        <w:t>Besides this, the Commission, while disposing the True-up / ARR / Tariff Petitions filed by the Petitioners, has also taken into consideration the oral and written views / comments / suggestions / objections / representations received from various stakeholders during the public hearings or through post or by e-mail.</w:t>
      </w:r>
    </w:p>
    <w:p w:rsidR="00C41EAC" w:rsidRPr="00C60AD1" w:rsidRDefault="00C41EAC" w:rsidP="00C60AD1">
      <w:pPr>
        <w:pStyle w:val="Heading3"/>
        <w:tabs>
          <w:tab w:val="clear" w:pos="720"/>
          <w:tab w:val="num" w:pos="993"/>
        </w:tabs>
        <w:ind w:left="993" w:hanging="993"/>
      </w:pPr>
      <w:r w:rsidRPr="00C60AD1">
        <w:t>The Commission has taken note of the views and suggestions submitted by the various stakeholders who provided useful feedback on various issues and the Commission appreciates their participation in the entire process.</w:t>
      </w:r>
    </w:p>
    <w:p w:rsidR="00C41EAC" w:rsidRPr="00C60AD1" w:rsidRDefault="00C41EAC" w:rsidP="00C60AD1">
      <w:pPr>
        <w:pStyle w:val="Heading2"/>
        <w:numPr>
          <w:ilvl w:val="0"/>
          <w:numId w:val="0"/>
        </w:numPr>
        <w:ind w:left="780"/>
      </w:pPr>
      <w:bookmarkStart w:id="44" w:name="_Toc337095407"/>
      <w:bookmarkStart w:id="45" w:name="_Toc337097073"/>
      <w:bookmarkStart w:id="46" w:name="_Toc337124787"/>
      <w:bookmarkStart w:id="47" w:name="_Toc337126623"/>
      <w:bookmarkStart w:id="48" w:name="_Toc337128118"/>
      <w:bookmarkStart w:id="49" w:name="_Toc337133878"/>
      <w:bookmarkStart w:id="50" w:name="_Toc337144486"/>
      <w:bookmarkStart w:id="51" w:name="_Toc337145071"/>
      <w:bookmarkStart w:id="52" w:name="_Toc337146391"/>
      <w:bookmarkStart w:id="53" w:name="_Toc337182826"/>
      <w:bookmarkStart w:id="54" w:name="_Toc337183799"/>
      <w:bookmarkStart w:id="55" w:name="_Toc337183990"/>
      <w:bookmarkStart w:id="56" w:name="_Toc337186733"/>
      <w:bookmarkStart w:id="57" w:name="_Toc337187822"/>
      <w:bookmarkStart w:id="58" w:name="_Toc337190139"/>
      <w:bookmarkStart w:id="59" w:name="_Toc337192435"/>
      <w:bookmarkStart w:id="60" w:name="_Toc337197967"/>
      <w:bookmarkStart w:id="61" w:name="_Toc337198820"/>
      <w:bookmarkStart w:id="62" w:name="_Toc337199166"/>
      <w:bookmarkStart w:id="63" w:name="_Toc337199408"/>
      <w:bookmarkStart w:id="64" w:name="_Toc337199636"/>
      <w:bookmarkStart w:id="65" w:name="_Toc337199953"/>
      <w:bookmarkStart w:id="66" w:name="_Toc33720012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C41EAC" w:rsidRPr="00C60AD1" w:rsidRDefault="00C41EAC" w:rsidP="00C60AD1">
      <w:pPr>
        <w:pStyle w:val="Heading2"/>
      </w:pPr>
      <w:bookmarkStart w:id="67" w:name="_Toc396573712"/>
      <w:bookmarkStart w:id="68" w:name="_Toc457603886"/>
      <w:r w:rsidRPr="00C60AD1">
        <w:t>VIEWS / COMMENTS / SUGGESTIONS / OBJECTIONS / REPRESENTATIONS ON TRUE-UP / ARR / TARIFF PETITION</w:t>
      </w:r>
      <w:bookmarkEnd w:id="67"/>
      <w:bookmarkEnd w:id="68"/>
    </w:p>
    <w:p w:rsidR="00C41EAC" w:rsidRPr="00C60AD1" w:rsidRDefault="00C41EAC" w:rsidP="00C60AD1"/>
    <w:p w:rsidR="00C41EAC" w:rsidRPr="00C60AD1" w:rsidRDefault="00C41EAC" w:rsidP="00C60AD1">
      <w:pPr>
        <w:pStyle w:val="Heading3"/>
        <w:tabs>
          <w:tab w:val="clear" w:pos="720"/>
          <w:tab w:val="num" w:pos="993"/>
        </w:tabs>
        <w:ind w:left="993" w:hanging="993"/>
      </w:pPr>
      <w:r w:rsidRPr="00C60AD1">
        <w:t>The Commission has taken note of the various views / comments / suggestions / objections / representations made by the stakeholders and would like to make specific mention of the following stakeholders for their valuable inputs:</w:t>
      </w:r>
    </w:p>
    <w:p w:rsidR="00C41EAC" w:rsidRPr="00B80CF5" w:rsidRDefault="00F650CD" w:rsidP="00C60AD1">
      <w:pPr>
        <w:pStyle w:val="ListParagraph"/>
        <w:numPr>
          <w:ilvl w:val="0"/>
          <w:numId w:val="24"/>
        </w:numPr>
      </w:pPr>
      <w:r>
        <w:t>Mr. Avadhesh Kumar Verma, Chairman, Uttar Pradesh Rajya Vidyut Upbhoktha Parishad (UPRVUP)</w:t>
      </w:r>
    </w:p>
    <w:p w:rsidR="00C41EAC" w:rsidRPr="00B80CF5" w:rsidRDefault="00F650CD" w:rsidP="00C60AD1">
      <w:pPr>
        <w:pStyle w:val="ListParagraph"/>
        <w:numPr>
          <w:ilvl w:val="0"/>
          <w:numId w:val="24"/>
        </w:numPr>
      </w:pPr>
      <w:r>
        <w:t>Mr. Rama Shanker Awasthi, Lucknow</w:t>
      </w:r>
    </w:p>
    <w:p w:rsidR="00D5771F" w:rsidRDefault="00741FC9">
      <w:pPr>
        <w:pStyle w:val="Heading3"/>
        <w:tabs>
          <w:tab w:val="clear" w:pos="720"/>
          <w:tab w:val="num" w:pos="993"/>
        </w:tabs>
        <w:ind w:left="993" w:hanging="993"/>
      </w:pPr>
      <w:r w:rsidRPr="00C60AD1">
        <w:t xml:space="preserve">The Commission has attempted to capture the </w:t>
      </w:r>
      <w:r w:rsidR="00E212D4" w:rsidRPr="00C60AD1">
        <w:t>summary</w:t>
      </w:r>
      <w:r w:rsidR="00CA0CCA" w:rsidRPr="00C60AD1">
        <w:t xml:space="preserve"> of </w:t>
      </w:r>
      <w:r w:rsidRPr="00C60AD1">
        <w:t>comments</w:t>
      </w:r>
      <w:r w:rsidR="00DC0320">
        <w:t xml:space="preserve"> </w:t>
      </w:r>
      <w:r w:rsidRPr="00C60AD1">
        <w:t>/</w:t>
      </w:r>
      <w:r w:rsidR="00DC0320">
        <w:t xml:space="preserve"> </w:t>
      </w:r>
      <w:r w:rsidRPr="00C60AD1">
        <w:t>suggestions</w:t>
      </w:r>
      <w:r w:rsidR="00DC0320">
        <w:t xml:space="preserve"> </w:t>
      </w:r>
      <w:r w:rsidRPr="00C60AD1">
        <w:t>/</w:t>
      </w:r>
      <w:r w:rsidR="00DC0320">
        <w:t xml:space="preserve"> </w:t>
      </w:r>
      <w:r w:rsidRPr="00C60AD1">
        <w:t>observations</w:t>
      </w:r>
      <w:r w:rsidR="00CA0CCA" w:rsidRPr="00C60AD1">
        <w:t xml:space="preserve"> in this section</w:t>
      </w:r>
      <w:r w:rsidRPr="00C60AD1">
        <w:t>. However, in case any comment</w:t>
      </w:r>
      <w:r w:rsidR="00DC0320">
        <w:t xml:space="preserve"> </w:t>
      </w:r>
      <w:r w:rsidRPr="00C60AD1">
        <w:t>/</w:t>
      </w:r>
      <w:r w:rsidR="00DC0320">
        <w:t xml:space="preserve"> </w:t>
      </w:r>
      <w:r w:rsidRPr="00C60AD1">
        <w:t>suggestion</w:t>
      </w:r>
      <w:r w:rsidR="00DC0320">
        <w:t xml:space="preserve"> </w:t>
      </w:r>
      <w:r w:rsidRPr="00C60AD1">
        <w:t>/</w:t>
      </w:r>
      <w:r w:rsidR="00DC0320">
        <w:t xml:space="preserve"> </w:t>
      </w:r>
      <w:r w:rsidRPr="00C60AD1">
        <w:t xml:space="preserve">observation is not specifically elaborated, it does not mean that the same has not been considered. The Commission has considered all the issues raised by the stakeholders and </w:t>
      </w:r>
      <w:r w:rsidR="00CA0CCA" w:rsidRPr="00C60AD1">
        <w:t xml:space="preserve">Petitioner’s </w:t>
      </w:r>
      <w:r w:rsidRPr="00C60AD1">
        <w:t xml:space="preserve">response on these issues while carrying out the detailed analysis of the </w:t>
      </w:r>
      <w:r w:rsidR="00CA0CCA" w:rsidRPr="00C60AD1">
        <w:t>True Up for FY 201</w:t>
      </w:r>
      <w:r w:rsidR="00F30699">
        <w:t>3</w:t>
      </w:r>
      <w:r w:rsidR="00CA0CCA" w:rsidRPr="00C60AD1">
        <w:t>-1</w:t>
      </w:r>
      <w:r w:rsidR="00F30699">
        <w:t>4</w:t>
      </w:r>
      <w:r w:rsidR="00CA0CCA" w:rsidRPr="00C60AD1">
        <w:t xml:space="preserve">, </w:t>
      </w:r>
      <w:r w:rsidRPr="00C60AD1">
        <w:t>ARR and Tariff for FY 201</w:t>
      </w:r>
      <w:r w:rsidR="00F30699">
        <w:t>6</w:t>
      </w:r>
      <w:r w:rsidRPr="00C60AD1">
        <w:t>-1</w:t>
      </w:r>
      <w:r w:rsidR="00F30699">
        <w:t>7</w:t>
      </w:r>
      <w:r w:rsidR="00CA0CCA" w:rsidRPr="00C60AD1">
        <w:t>.</w:t>
      </w:r>
    </w:p>
    <w:p w:rsidR="00C41EAC" w:rsidRDefault="00C41EAC" w:rsidP="00C60AD1">
      <w:pPr>
        <w:pStyle w:val="Heading3"/>
        <w:tabs>
          <w:tab w:val="clear" w:pos="720"/>
          <w:tab w:val="num" w:pos="993"/>
        </w:tabs>
        <w:ind w:left="993" w:hanging="993"/>
      </w:pPr>
      <w:r w:rsidRPr="00C60AD1">
        <w:t>The list of the consumers, who have submitted their views / comments / suggestions / objections / representations, is appended a</w:t>
      </w:r>
      <w:r w:rsidR="00CC701F" w:rsidRPr="00C60AD1">
        <w:t>s</w:t>
      </w:r>
      <w:r w:rsidR="00DC0320">
        <w:t xml:space="preserve"> </w:t>
      </w:r>
      <w:r w:rsidR="00604C9F">
        <w:t>A</w:t>
      </w:r>
      <w:r w:rsidR="00604C9F" w:rsidRPr="00E34329">
        <w:t>nnexure</w:t>
      </w:r>
      <w:r w:rsidR="00604C9F">
        <w:t xml:space="preserve"> 11.5</w:t>
      </w:r>
      <w:r w:rsidR="00DC0320">
        <w:t xml:space="preserve"> </w:t>
      </w:r>
      <w:r w:rsidR="00CC701F" w:rsidRPr="00C60AD1">
        <w:t>to</w:t>
      </w:r>
      <w:r w:rsidRPr="00C60AD1">
        <w:t xml:space="preserve"> this Order. The </w:t>
      </w:r>
      <w:r w:rsidRPr="00C60AD1">
        <w:lastRenderedPageBreak/>
        <w:t>major issues raised therein, the replies given by the Licensee and the views of the Commission have been summarised as detailed below:</w:t>
      </w:r>
    </w:p>
    <w:p w:rsidR="00D5771F" w:rsidRDefault="00D5771F">
      <w:pPr>
        <w:pStyle w:val="Heading3"/>
        <w:numPr>
          <w:ilvl w:val="0"/>
          <w:numId w:val="0"/>
        </w:numPr>
        <w:tabs>
          <w:tab w:val="clear" w:pos="720"/>
        </w:tabs>
        <w:ind w:left="993"/>
      </w:pPr>
    </w:p>
    <w:p w:rsidR="00D5771F" w:rsidRDefault="00E34329">
      <w:pPr>
        <w:pStyle w:val="Heading2"/>
        <w:rPr>
          <w:rFonts w:ascii="Calibri" w:hAnsi="Calibri"/>
        </w:rPr>
      </w:pPr>
      <w:bookmarkStart w:id="69" w:name="_Toc420197503"/>
      <w:bookmarkStart w:id="70" w:name="_Toc454277458"/>
      <w:bookmarkStart w:id="71" w:name="_Toc457603887"/>
      <w:bookmarkEnd w:id="69"/>
      <w:r w:rsidRPr="00E34329">
        <w:rPr>
          <w:rFonts w:ascii="Calibri" w:hAnsi="Calibri"/>
        </w:rPr>
        <w:t>SINGLE POINT SUPPLY</w:t>
      </w:r>
      <w:bookmarkEnd w:id="70"/>
      <w:bookmarkEnd w:id="71"/>
    </w:p>
    <w:p w:rsidR="0026266F" w:rsidRPr="003D2C56" w:rsidRDefault="0026266F" w:rsidP="0026266F">
      <w:pPr>
        <w:pStyle w:val="Heading2"/>
        <w:numPr>
          <w:ilvl w:val="0"/>
          <w:numId w:val="0"/>
        </w:numPr>
        <w:spacing w:line="276" w:lineRule="auto"/>
        <w:rPr>
          <w:rFonts w:ascii="Calibri" w:hAnsi="Calibri"/>
        </w:rPr>
      </w:pPr>
    </w:p>
    <w:p w:rsidR="0026266F" w:rsidRPr="003D2C56" w:rsidRDefault="00E34329" w:rsidP="0026266F">
      <w:pPr>
        <w:numPr>
          <w:ilvl w:val="0"/>
          <w:numId w:val="42"/>
        </w:numPr>
        <w:spacing w:before="0"/>
        <w:contextualSpacing/>
        <w:rPr>
          <w:rFonts w:cs="Calibri"/>
          <w:b/>
          <w:bCs/>
          <w:i/>
          <w:iCs/>
        </w:rPr>
      </w:pPr>
      <w:r w:rsidRPr="00E34329">
        <w:rPr>
          <w:rFonts w:cs="Calibri"/>
          <w:b/>
          <w:bCs/>
          <w:i/>
          <w:iCs/>
        </w:rPr>
        <w:t xml:space="preserve">Comments/Suggestions of the Public </w:t>
      </w:r>
    </w:p>
    <w:p w:rsidR="00D5771F" w:rsidRDefault="00E34329">
      <w:pPr>
        <w:pStyle w:val="Heading3"/>
        <w:tabs>
          <w:tab w:val="clear" w:pos="720"/>
        </w:tabs>
        <w:spacing w:after="240"/>
        <w:ind w:left="993" w:hanging="993"/>
        <w:rPr>
          <w:szCs w:val="24"/>
        </w:rPr>
      </w:pPr>
      <w:r w:rsidRPr="00E34329">
        <w:rPr>
          <w:szCs w:val="24"/>
        </w:rPr>
        <w:t xml:space="preserve">ANSAL API, Kasturba Gandhi Marg New Delhi made following submissions related to single point supply </w:t>
      </w:r>
    </w:p>
    <w:p w:rsidR="00A36925" w:rsidRPr="003D2C56" w:rsidRDefault="00E34329">
      <w:pPr>
        <w:pStyle w:val="ListParagraph"/>
        <w:numPr>
          <w:ilvl w:val="0"/>
          <w:numId w:val="183"/>
        </w:numPr>
        <w:spacing w:before="0" w:after="240"/>
        <w:ind w:left="1440"/>
        <w:contextualSpacing/>
        <w:rPr>
          <w:rFonts w:cs="Calibri"/>
        </w:rPr>
      </w:pPr>
      <w:r w:rsidRPr="00E34329">
        <w:rPr>
          <w:rFonts w:cs="Calibri"/>
        </w:rPr>
        <w:t>In rate schedule it is mentioned that to qualify under the LMV-1 category, the single point consumer must have 70% of domestic load. It is understood that the remaining 30% of the total contracted load for the township / housing colonies which may be for non- domestic purpose inside the colony (including shops, club house etc.) should be billed at LMV-2 rates.  For loads ranging from 50 kW to below 75 kW, it is not always possible to maintain the ratio of percentage of domestic to non-domestic loads at 70:30 as sometimes the percentage of domestic load may reduce to 60% as well. Therefore, it is suggested that the single point consumers may be directed to recover the tariff from individual residents at either LMV-1 / LMV-2 tariff based on the purpose of supply.</w:t>
      </w:r>
      <w:r w:rsidRPr="00E34329">
        <w:rPr>
          <w:rFonts w:cs="Calibri"/>
        </w:rPr>
        <w:br/>
      </w:r>
    </w:p>
    <w:p w:rsidR="00A36925" w:rsidRPr="003D2C56" w:rsidRDefault="00E34329">
      <w:pPr>
        <w:pStyle w:val="ListParagraph"/>
        <w:numPr>
          <w:ilvl w:val="1"/>
          <w:numId w:val="184"/>
        </w:numPr>
        <w:spacing w:before="0" w:after="240"/>
        <w:contextualSpacing/>
        <w:rPr>
          <w:rFonts w:cs="Calibri"/>
        </w:rPr>
      </w:pPr>
      <w:r w:rsidRPr="00E34329">
        <w:rPr>
          <w:rFonts w:cs="Calibri"/>
        </w:rPr>
        <w:t>Clarification is required regarding classification of load among LMV-1 &amp; HV-1 in various residents, shop owners, townships and multiplexes in the state of UP.</w:t>
      </w:r>
      <w:r w:rsidRPr="00E34329">
        <w:rPr>
          <w:rFonts w:cs="Calibri"/>
        </w:rPr>
        <w:br/>
      </w:r>
    </w:p>
    <w:p w:rsidR="00A36925" w:rsidRPr="003D2C56" w:rsidRDefault="00E34329">
      <w:pPr>
        <w:pStyle w:val="ListParagraph"/>
        <w:numPr>
          <w:ilvl w:val="0"/>
          <w:numId w:val="183"/>
        </w:numPr>
        <w:spacing w:before="0" w:after="240"/>
        <w:ind w:left="1440"/>
        <w:contextualSpacing/>
        <w:rPr>
          <w:rFonts w:cs="Calibri"/>
        </w:rPr>
      </w:pPr>
      <w:r w:rsidRPr="00E34329">
        <w:rPr>
          <w:rFonts w:cs="Calibri"/>
        </w:rPr>
        <w:t>Single point consumer should be allowed to recover both temporary charge for construction purpose and LMV-1 / HV-1 tariffs from individual consumers based on the actual units consumed.</w:t>
      </w:r>
    </w:p>
    <w:p w:rsidR="00D5771F" w:rsidRDefault="00D5771F">
      <w:pPr>
        <w:pStyle w:val="ListParagraph"/>
        <w:spacing w:before="0" w:after="240"/>
        <w:ind w:left="1440"/>
        <w:contextualSpacing/>
        <w:rPr>
          <w:rFonts w:cs="Calibri"/>
        </w:rPr>
      </w:pPr>
    </w:p>
    <w:p w:rsidR="00A36925" w:rsidRPr="003D2C56" w:rsidRDefault="00E34329">
      <w:pPr>
        <w:pStyle w:val="ListParagraph"/>
        <w:numPr>
          <w:ilvl w:val="0"/>
          <w:numId w:val="183"/>
        </w:numPr>
        <w:spacing w:before="0" w:after="240"/>
        <w:ind w:left="1440"/>
        <w:contextualSpacing/>
        <w:rPr>
          <w:rFonts w:cs="Calibri"/>
        </w:rPr>
      </w:pPr>
      <w:r w:rsidRPr="00E34329">
        <w:rPr>
          <w:rFonts w:cs="Calibri"/>
        </w:rPr>
        <w:t xml:space="preserve">70% of contracted load is to include lighting loads for common recreations facilities /Services such as club/ common room, GHS / Care taker office, street lighting, sewerage treatment plant, ventilation system, common / parking areas, dispensary, school, convenience stores /shops etc. for the residents of a housing colony, such lighting load inside housing colonies/township is for common lighting purposes for the benefit of residents and is not being used for any  non-domestic or commercial purposes .A single Point consumer taking supply at 11/33 KV for HV-1 category has to sub-distribute the electricity at 220/440V </w:t>
      </w:r>
      <w:r w:rsidRPr="00E34329">
        <w:rPr>
          <w:rFonts w:cs="Calibri"/>
        </w:rPr>
        <w:lastRenderedPageBreak/>
        <w:t>voltage level. Therefore he should be permitted to recover HV-1 tariff from the end consumers.</w:t>
      </w:r>
    </w:p>
    <w:p w:rsidR="00D5771F" w:rsidRDefault="00D5771F">
      <w:pPr>
        <w:pStyle w:val="ListParagraph"/>
        <w:spacing w:before="0" w:after="240"/>
        <w:ind w:left="1440"/>
        <w:contextualSpacing/>
        <w:rPr>
          <w:rFonts w:cs="Calibri"/>
        </w:rPr>
      </w:pPr>
    </w:p>
    <w:p w:rsidR="00A36925" w:rsidRPr="003D2C56" w:rsidRDefault="00E34329">
      <w:pPr>
        <w:pStyle w:val="ListParagraph"/>
        <w:numPr>
          <w:ilvl w:val="0"/>
          <w:numId w:val="183"/>
        </w:numPr>
        <w:spacing w:before="240" w:after="240"/>
        <w:ind w:left="1440"/>
        <w:contextualSpacing/>
        <w:rPr>
          <w:rFonts w:cs="Calibri"/>
        </w:rPr>
      </w:pPr>
      <w:r w:rsidRPr="00E34329">
        <w:rPr>
          <w:rFonts w:cs="Calibri"/>
        </w:rPr>
        <w:t>It is proposed in the Petition filed by the Licensees  that a single point consumer is required to provide information to all its consumers along with a copy of detailed computation of the amounts realized from all the individual consumers and the amount paid to the Licensee for a certain billing cycle. Such exercise will be unduly burdensome and problematic, making objector vulnerable to malicious litigations. It is suggested that the objector should be allowed to follow the billing format that is used by distribution Licensees for its consumers.</w:t>
      </w:r>
    </w:p>
    <w:p w:rsidR="00D5771F" w:rsidRDefault="00D5771F">
      <w:pPr>
        <w:pStyle w:val="ListParagraph"/>
        <w:spacing w:before="240" w:after="240"/>
        <w:ind w:left="1440"/>
        <w:contextualSpacing/>
        <w:rPr>
          <w:rFonts w:cs="Calibri"/>
        </w:rPr>
      </w:pPr>
    </w:p>
    <w:p w:rsidR="00A36925" w:rsidRPr="003D2C56" w:rsidRDefault="00E34329">
      <w:pPr>
        <w:pStyle w:val="ListParagraph"/>
        <w:numPr>
          <w:ilvl w:val="0"/>
          <w:numId w:val="183"/>
        </w:numPr>
        <w:spacing w:before="240" w:after="240"/>
        <w:ind w:left="1440"/>
        <w:contextualSpacing/>
        <w:rPr>
          <w:rFonts w:cs="Calibri"/>
        </w:rPr>
      </w:pPr>
      <w:r w:rsidRPr="00E34329">
        <w:rPr>
          <w:rFonts w:cs="Calibri"/>
        </w:rPr>
        <w:t>The Licensee has not provided any details or specific method for the computation of additional charge by the developer. Clarification to be provided in this regard.</w:t>
      </w:r>
    </w:p>
    <w:p w:rsidR="00D5771F" w:rsidRDefault="00D5771F">
      <w:pPr>
        <w:pStyle w:val="ListParagraph"/>
        <w:spacing w:before="240" w:after="240"/>
        <w:ind w:left="1440"/>
        <w:contextualSpacing/>
        <w:rPr>
          <w:rFonts w:cs="Calibri"/>
        </w:rPr>
      </w:pPr>
    </w:p>
    <w:p w:rsidR="00D5771F" w:rsidRDefault="00E34329">
      <w:pPr>
        <w:pStyle w:val="ListParagraph"/>
        <w:numPr>
          <w:ilvl w:val="0"/>
          <w:numId w:val="183"/>
        </w:numPr>
        <w:spacing w:before="240" w:after="240"/>
        <w:ind w:left="1440"/>
        <w:contextualSpacing/>
        <w:rPr>
          <w:rFonts w:cs="Calibri"/>
        </w:rPr>
      </w:pPr>
      <w:r w:rsidRPr="00E34329">
        <w:rPr>
          <w:rFonts w:cs="Calibri"/>
        </w:rPr>
        <w:t xml:space="preserve">There is no clarity on how the single point consumer will recover line losses incurred during supply of electricity on the distribution network maintained by developer/mall owner. The lack of recovery of transmission / distribution losses is adversely impacting the single-point consumers. In view of such lack of methodology, it has requested the Commission to provide clarity on method of calculation and components for billing of additional 10% to consumers. </w:t>
      </w:r>
    </w:p>
    <w:p w:rsidR="00D5771F" w:rsidRDefault="00D5771F">
      <w:pPr>
        <w:pStyle w:val="ListParagraph"/>
        <w:spacing w:before="240" w:after="240"/>
        <w:ind w:left="1440"/>
        <w:contextualSpacing/>
        <w:rPr>
          <w:rFonts w:cs="Calibri"/>
        </w:rPr>
      </w:pPr>
    </w:p>
    <w:p w:rsidR="00D5771F" w:rsidRDefault="00E34329">
      <w:pPr>
        <w:pStyle w:val="ListParagraph"/>
        <w:numPr>
          <w:ilvl w:val="0"/>
          <w:numId w:val="183"/>
        </w:numPr>
        <w:spacing w:before="240" w:after="240"/>
        <w:ind w:left="1440"/>
        <w:contextualSpacing/>
        <w:rPr>
          <w:rFonts w:cs="Calibri"/>
        </w:rPr>
      </w:pPr>
      <w:r w:rsidRPr="00E34329">
        <w:rPr>
          <w:rFonts w:cs="Calibri"/>
        </w:rPr>
        <w:t>Instead of allowing levy and recovery of additional 10% from the consumer, the Commission may consider granting 10% to 15% rebate to single point consumers on the units consumed by them as they have to compensate on account of the power loss and also they have to construct, maintain and upgrade their own infrastructure /network for distributing power to end - consumers.</w:t>
      </w:r>
    </w:p>
    <w:p w:rsidR="00D5771F" w:rsidRDefault="00D5771F">
      <w:pPr>
        <w:pStyle w:val="ListParagraph"/>
        <w:spacing w:before="240" w:after="240"/>
        <w:ind w:left="1440"/>
        <w:contextualSpacing/>
        <w:rPr>
          <w:rFonts w:cs="Calibri"/>
        </w:rPr>
      </w:pPr>
    </w:p>
    <w:p w:rsidR="00D5771F" w:rsidRDefault="00E34329">
      <w:pPr>
        <w:pStyle w:val="ListParagraph"/>
        <w:numPr>
          <w:ilvl w:val="0"/>
          <w:numId w:val="183"/>
        </w:numPr>
        <w:spacing w:before="240" w:after="240"/>
        <w:ind w:left="1440"/>
        <w:contextualSpacing/>
        <w:rPr>
          <w:rFonts w:cs="Calibri"/>
        </w:rPr>
      </w:pPr>
      <w:r w:rsidRPr="00E34329">
        <w:rPr>
          <w:rFonts w:cs="Calibri"/>
        </w:rPr>
        <w:t>There is no minimum charge specified for single-point consumer. Therefore, the methodology for recovering minimum charge by single-point consumers from end consumers needs to be specified.</w:t>
      </w:r>
    </w:p>
    <w:p w:rsidR="00D5771F" w:rsidRDefault="00E34329">
      <w:pPr>
        <w:pStyle w:val="Heading3"/>
        <w:tabs>
          <w:tab w:val="clear" w:pos="720"/>
        </w:tabs>
        <w:ind w:left="993" w:hanging="993"/>
        <w:rPr>
          <w:szCs w:val="24"/>
        </w:rPr>
      </w:pPr>
      <w:r w:rsidRPr="00E34329">
        <w:rPr>
          <w:szCs w:val="24"/>
        </w:rPr>
        <w:t xml:space="preserve">Shalimar Corp Limited and ANSAL API, Kasturba Ghandhi Marg, New Delhi submitted that the option of multi point connection may be provided to Mega townships </w:t>
      </w:r>
      <w:r w:rsidRPr="00E34329">
        <w:rPr>
          <w:szCs w:val="24"/>
        </w:rPr>
        <w:lastRenderedPageBreak/>
        <w:t xml:space="preserve">comprising mix of Plots, EWS Flats, Single storied individual villas /Row Houses and Multi-storied flats. </w:t>
      </w:r>
    </w:p>
    <w:p w:rsidR="00D5771F" w:rsidRDefault="00E34329">
      <w:pPr>
        <w:pStyle w:val="Heading3"/>
        <w:tabs>
          <w:tab w:val="clear" w:pos="720"/>
        </w:tabs>
        <w:ind w:left="993" w:hanging="993"/>
        <w:rPr>
          <w:rFonts w:cs="Calibri"/>
          <w:szCs w:val="24"/>
        </w:rPr>
      </w:pPr>
      <w:r w:rsidRPr="00E34329">
        <w:rPr>
          <w:szCs w:val="24"/>
        </w:rPr>
        <w:t>Shri Shivshankar Singh Chairman, Civil Lines Vyapar Mandal submitted that due to non-payment of bills by some of the consumer, honest consumers also get suffer as supply get disconnected due to non-payment of complete amount by some consumers. It is further submitted that in multi-storey building the purpose of supply varies</w:t>
      </w:r>
      <w:r w:rsidRPr="00E34329">
        <w:rPr>
          <w:rFonts w:cs="Calibri"/>
          <w:szCs w:val="24"/>
        </w:rPr>
        <w:t xml:space="preserve"> with consumer to consumer. So Single point supply should be converted into multipoint supply for multi-storey building.</w:t>
      </w:r>
    </w:p>
    <w:p w:rsidR="00D5771F" w:rsidRDefault="00E34329">
      <w:pPr>
        <w:pStyle w:val="Heading3"/>
        <w:tabs>
          <w:tab w:val="clear" w:pos="720"/>
        </w:tabs>
        <w:ind w:left="993" w:hanging="993"/>
        <w:rPr>
          <w:szCs w:val="24"/>
        </w:rPr>
      </w:pPr>
      <w:r w:rsidRPr="00E34329">
        <w:rPr>
          <w:szCs w:val="24"/>
        </w:rPr>
        <w:t>Miss Romi, Global Care Organization submitted that in case of multi-storey buildings and colonies, domestic and commercial consumers should be charged separately.</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numPr>
          <w:ilvl w:val="0"/>
          <w:numId w:val="42"/>
        </w:numPr>
        <w:spacing w:before="0"/>
        <w:contextualSpacing/>
        <w:rPr>
          <w:rFonts w:cs="Calibri"/>
          <w:b/>
          <w:bCs/>
          <w:i/>
          <w:iCs/>
        </w:rPr>
      </w:pPr>
      <w:bookmarkStart w:id="72" w:name="_Toc420960068"/>
      <w:r w:rsidRPr="00E34329">
        <w:rPr>
          <w:rFonts w:cs="Calibri"/>
          <w:b/>
          <w:bCs/>
          <w:i/>
          <w:iCs/>
        </w:rPr>
        <w:t>Petitioner’s Response</w:t>
      </w:r>
      <w:bookmarkEnd w:id="72"/>
    </w:p>
    <w:p w:rsidR="00D5771F" w:rsidRDefault="00E34329">
      <w:pPr>
        <w:pStyle w:val="Heading3"/>
        <w:tabs>
          <w:tab w:val="clear" w:pos="720"/>
        </w:tabs>
        <w:ind w:left="993" w:hanging="993"/>
        <w:rPr>
          <w:szCs w:val="24"/>
        </w:rPr>
      </w:pPr>
      <w:r w:rsidRPr="00E34329">
        <w:rPr>
          <w:szCs w:val="24"/>
        </w:rPr>
        <w:t>The Licensee submitted that Clause 4.9 (a) of supply code 2005 provides as follows:</w:t>
      </w:r>
    </w:p>
    <w:p w:rsidR="0026266F" w:rsidRPr="003D2C56" w:rsidRDefault="00E34329" w:rsidP="0026266F">
      <w:pPr>
        <w:pStyle w:val="Heading3"/>
        <w:numPr>
          <w:ilvl w:val="0"/>
          <w:numId w:val="0"/>
        </w:numPr>
        <w:tabs>
          <w:tab w:val="clear" w:pos="720"/>
        </w:tabs>
        <w:ind w:left="1440"/>
        <w:rPr>
          <w:i/>
          <w:szCs w:val="24"/>
        </w:rPr>
      </w:pPr>
      <w:r w:rsidRPr="00E34329">
        <w:rPr>
          <w:i/>
          <w:szCs w:val="24"/>
        </w:rPr>
        <w:t>"Electricity Connection at single point of supply with single point metering shall be provided to a new domestic/ non-domestic Multi storied Buildings/ Multiplex / Marriage Halls/ Cooperative Group Housing Societies / Colonies, with load exceeding 25 KW."</w:t>
      </w:r>
    </w:p>
    <w:p w:rsidR="00D5771F" w:rsidRDefault="00E34329">
      <w:pPr>
        <w:pStyle w:val="Heading3"/>
        <w:tabs>
          <w:tab w:val="clear" w:pos="720"/>
        </w:tabs>
        <w:ind w:left="993" w:hanging="993"/>
        <w:rPr>
          <w:szCs w:val="24"/>
        </w:rPr>
      </w:pPr>
      <w:r w:rsidRPr="00E34329">
        <w:rPr>
          <w:szCs w:val="24"/>
        </w:rPr>
        <w:t>The Licensee further submitted that it is clear from above that for domestic / non-domestic Multi-storied Buildings / Multiplex / Marriage Halls / Cooperative Group Housing Societies / Colonies, with load exceeding 25 kW connections has to be released on single point as sentence provides "connection shall be released". The use of word "shall" raises a presumption that the particular provision is imperative as has been held by Hon'ble Supreme Court in State of UP vs. Manbodhan Lal Srivastava. Such an interpretation that "when a statute uses the word shall, prima facia it is mandatory" has been adopted by Hon'ble Supreme Court in catena of cases such as State of UP vs. Babu Ram Upadhya, Sainik Motors, Jodhpur vs. State of Rajasthan, Govindlal Chagganlal Patel vs. Agriculture Produce Market Committee. The Licensees added that accordingly, the spirit of supply code has been implemented as per legal provisions and no doubt it helped to a certain extent, in mitigating the problem of scanty meter-reading and billing resources.</w:t>
      </w:r>
    </w:p>
    <w:p w:rsidR="00337C98" w:rsidRDefault="00E34329" w:rsidP="00337C98">
      <w:pPr>
        <w:pStyle w:val="Heading3"/>
        <w:tabs>
          <w:tab w:val="clear" w:pos="720"/>
        </w:tabs>
        <w:ind w:left="993" w:hanging="993"/>
        <w:rPr>
          <w:szCs w:val="24"/>
        </w:rPr>
      </w:pPr>
      <w:r w:rsidRPr="00E34329">
        <w:rPr>
          <w:szCs w:val="24"/>
        </w:rPr>
        <w:t xml:space="preserve">The Licensee submitted that recently number of grievances relating to individual inhabitants of these multi-storied buildings came in the notice of Licensees as well as the Commission. An understanding was evolved that a first-hand ground survey would be conducted and some kind of feasible solution will be worked out within the </w:t>
      </w:r>
      <w:r w:rsidRPr="00E34329">
        <w:rPr>
          <w:szCs w:val="24"/>
        </w:rPr>
        <w:lastRenderedPageBreak/>
        <w:t>legal framework, which would address majority of concerns. In this regard, the Commission vide its Letter No. UPERC / Secy. / D (T) / 2015-2032 dated March 3, 2015 directed the Licensees to submit a detailed proposal related to New Mechanism for Billing the Single Point Consumers.</w:t>
      </w:r>
    </w:p>
    <w:p w:rsidR="00337C98" w:rsidRDefault="00E34329" w:rsidP="00337C98">
      <w:pPr>
        <w:pStyle w:val="Heading3"/>
        <w:tabs>
          <w:tab w:val="clear" w:pos="720"/>
        </w:tabs>
        <w:ind w:left="993" w:hanging="993"/>
        <w:rPr>
          <w:szCs w:val="24"/>
        </w:rPr>
      </w:pPr>
      <w:r w:rsidRPr="00E34329">
        <w:rPr>
          <w:szCs w:val="24"/>
        </w:rPr>
        <w:t xml:space="preserve">The Licensee submitted that, in this context, a meeting with Resident Welfare Associations was organized at Noida on May 9, 2015 to discuss various issues linked with supply to Multi Storied Building including tariffs and option of individual connections to consumers residing in Multi Storied Buildings. Subsequently, the Licensee had submitted a detailed report to the Commission. </w:t>
      </w:r>
    </w:p>
    <w:p w:rsidR="00337C98" w:rsidRDefault="00E34329" w:rsidP="00337C98">
      <w:pPr>
        <w:pStyle w:val="Heading3"/>
        <w:tabs>
          <w:tab w:val="clear" w:pos="720"/>
        </w:tabs>
        <w:ind w:left="993" w:hanging="993"/>
        <w:rPr>
          <w:bCs w:val="0"/>
          <w:szCs w:val="24"/>
        </w:rPr>
      </w:pPr>
      <w:r w:rsidRPr="00E34329">
        <w:rPr>
          <w:szCs w:val="24"/>
        </w:rPr>
        <w:t>The Licensee understands that the Commission is in the process of framing Regulations for single point bulk supply and the same are expected to be issued shortly.</w:t>
      </w:r>
    </w:p>
    <w:p w:rsidR="0026266F" w:rsidRPr="003D2C56" w:rsidRDefault="0026266F" w:rsidP="0026266F">
      <w:pPr>
        <w:rPr>
          <w:rFonts w:cs="Calibri"/>
          <w:b/>
          <w:bCs/>
          <w:i/>
          <w:iCs/>
        </w:rPr>
      </w:pPr>
    </w:p>
    <w:p w:rsidR="0026266F" w:rsidRPr="003D2C56" w:rsidRDefault="00E34329" w:rsidP="0026266F">
      <w:pPr>
        <w:numPr>
          <w:ilvl w:val="0"/>
          <w:numId w:val="42"/>
        </w:numPr>
        <w:spacing w:before="0"/>
        <w:contextualSpacing/>
        <w:rPr>
          <w:b/>
          <w:i/>
        </w:rPr>
      </w:pPr>
      <w:r w:rsidRPr="00E34329">
        <w:rPr>
          <w:rFonts w:cs="Calibri"/>
          <w:b/>
          <w:bCs/>
          <w:i/>
          <w:iCs/>
        </w:rPr>
        <w:t>The Commission’s view:</w:t>
      </w:r>
    </w:p>
    <w:p w:rsidR="00D5771F" w:rsidRDefault="00E34329">
      <w:pPr>
        <w:pStyle w:val="Heading3"/>
        <w:tabs>
          <w:tab w:val="clear" w:pos="720"/>
        </w:tabs>
        <w:ind w:left="993" w:hanging="993"/>
        <w:rPr>
          <w:szCs w:val="24"/>
        </w:rPr>
      </w:pPr>
      <w:r w:rsidRPr="00E34329">
        <w:rPr>
          <w:szCs w:val="24"/>
        </w:rPr>
        <w:t>The Commission has taken note of the objections / suggestions made by the stakeholders in this regards. The Commission has already taken up this issue and  may take appropriate step in this regard. The applicable Tariffs for all the consumer categories have been designed in accordance with the Electricity Act, 2003 and the Tariff Policy. The details of all the aspects related to Tariff design have been covered subsequently in Chapter on Tariff Philosophy and Rate Schedule provided in this Order.</w:t>
      </w:r>
    </w:p>
    <w:p w:rsidR="0026266F" w:rsidRPr="003D2C56" w:rsidRDefault="0026266F" w:rsidP="0026266F">
      <w:pPr>
        <w:pStyle w:val="Heading3"/>
        <w:numPr>
          <w:ilvl w:val="0"/>
          <w:numId w:val="0"/>
        </w:numPr>
        <w:tabs>
          <w:tab w:val="clear" w:pos="720"/>
        </w:tabs>
        <w:ind w:left="993"/>
        <w:rPr>
          <w:szCs w:val="24"/>
        </w:rPr>
      </w:pPr>
    </w:p>
    <w:p w:rsidR="00D5771F" w:rsidRDefault="00E34329">
      <w:pPr>
        <w:pStyle w:val="Heading2"/>
        <w:spacing w:line="276" w:lineRule="auto"/>
        <w:rPr>
          <w:rFonts w:ascii="Calibri" w:hAnsi="Calibri"/>
        </w:rPr>
      </w:pPr>
      <w:bookmarkStart w:id="73" w:name="_Toc454277459"/>
      <w:bookmarkStart w:id="74" w:name="_Toc457603888"/>
      <w:r w:rsidRPr="00E34329">
        <w:rPr>
          <w:rFonts w:ascii="Calibri" w:hAnsi="Calibri"/>
        </w:rPr>
        <w:t>ARR &amp; TRUE UP</w:t>
      </w:r>
      <w:bookmarkEnd w:id="73"/>
      <w:bookmarkEnd w:id="74"/>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numPr>
          <w:ilvl w:val="0"/>
          <w:numId w:val="44"/>
        </w:numPr>
        <w:spacing w:before="0"/>
        <w:contextualSpacing/>
        <w:rPr>
          <w:rFonts w:cstheme="minorHAnsi"/>
        </w:rPr>
      </w:pPr>
      <w:r w:rsidRPr="00E34329">
        <w:rPr>
          <w:b/>
          <w:i/>
        </w:rPr>
        <w:t>Comments/Suggestion of the Public</w:t>
      </w:r>
    </w:p>
    <w:p w:rsidR="00D5771F" w:rsidRDefault="00E34329">
      <w:pPr>
        <w:pStyle w:val="Heading3"/>
        <w:tabs>
          <w:tab w:val="clear" w:pos="720"/>
        </w:tabs>
        <w:ind w:left="993" w:hanging="993"/>
        <w:rPr>
          <w:szCs w:val="24"/>
        </w:rPr>
      </w:pPr>
      <w:r w:rsidRPr="00E34329">
        <w:rPr>
          <w:szCs w:val="24"/>
        </w:rPr>
        <w:t>Shri Akarsh Garg, Advocate for Indian Industries Association, Shri Rama Shanker Awasthi, Shri Avadhesh Kumar Verma, Chairman, U.P. Rajya Vidyut Upbhokta Parishad and Shri Amar Singh, President Consumer protection Society submitted the following points on ARR petitions for FY 2016-17 and True Ups petitions for FY 2013-14:</w:t>
      </w:r>
    </w:p>
    <w:p w:rsidR="0026266F" w:rsidRPr="003D2C56" w:rsidRDefault="00E34329" w:rsidP="0026266F">
      <w:pPr>
        <w:pStyle w:val="Heading3"/>
        <w:numPr>
          <w:ilvl w:val="0"/>
          <w:numId w:val="0"/>
        </w:numPr>
        <w:ind w:left="1929" w:hanging="936"/>
        <w:rPr>
          <w:szCs w:val="24"/>
        </w:rPr>
      </w:pPr>
      <w:r w:rsidRPr="00E34329">
        <w:rPr>
          <w:szCs w:val="24"/>
        </w:rPr>
        <w:t>Comments and suggestion on ARR petitions for FY 2016-17</w:t>
      </w:r>
    </w:p>
    <w:p w:rsidR="0026266F" w:rsidRPr="003D2C56" w:rsidRDefault="00E34329" w:rsidP="0026266F">
      <w:pPr>
        <w:numPr>
          <w:ilvl w:val="0"/>
          <w:numId w:val="185"/>
        </w:numPr>
        <w:spacing w:before="0" w:after="200"/>
        <w:rPr>
          <w:rFonts w:cs="Calibri"/>
        </w:rPr>
      </w:pPr>
      <w:r w:rsidRPr="00E34329">
        <w:rPr>
          <w:rFonts w:cs="Calibri"/>
        </w:rPr>
        <w:t xml:space="preserve">The ARR can only be fixed after voltage wise supply study has been conducted by the utilities and the tariff of each category is in consonance with Clause 8.2.2 </w:t>
      </w:r>
      <w:r w:rsidRPr="00E34329">
        <w:rPr>
          <w:rFonts w:cs="Calibri"/>
        </w:rPr>
        <w:lastRenderedPageBreak/>
        <w:t xml:space="preserve">of the Tariff Policy. Stakeholder further submitted that the tariff of each category should be within +/- 20% of the average cost of supply of electricity. </w:t>
      </w:r>
    </w:p>
    <w:p w:rsidR="0026266F" w:rsidRPr="003D2C56" w:rsidRDefault="00E34329" w:rsidP="0026266F">
      <w:pPr>
        <w:numPr>
          <w:ilvl w:val="0"/>
          <w:numId w:val="185"/>
        </w:numPr>
        <w:spacing w:before="0" w:after="200"/>
        <w:rPr>
          <w:rFonts w:cs="Calibri"/>
        </w:rPr>
      </w:pPr>
      <w:r w:rsidRPr="00E34329">
        <w:rPr>
          <w:rFonts w:cs="Calibri"/>
        </w:rPr>
        <w:t>Capital Investment Plan: Capital investment plan is not in consonance with Regulation 4.5 of Tariff Regulation and may be rejected. The capital sought to be invested by Discoms may be allowed only after through verification of investment already been made by Discoms. The investments are being made for procuring low-quality and sub-slandered products to favor certain people at the cost of consumers. Discoms have indulged into malpractice for paying for products which are not supplied by approved sellers.</w:t>
      </w:r>
    </w:p>
    <w:p w:rsidR="0026266F" w:rsidRPr="003D2C56" w:rsidRDefault="00E34329" w:rsidP="0026266F">
      <w:pPr>
        <w:numPr>
          <w:ilvl w:val="0"/>
          <w:numId w:val="185"/>
        </w:numPr>
        <w:spacing w:before="0" w:after="200"/>
        <w:rPr>
          <w:rFonts w:cs="Calibri"/>
        </w:rPr>
      </w:pPr>
      <w:r w:rsidRPr="00E34329">
        <w:rPr>
          <w:rFonts w:cs="Calibri"/>
        </w:rPr>
        <w:t>Fixed Asset Register, Gross Fixed Asset and Depreciation: It is submitted that in absence of Fixed Asset Register, the GFA of utility be considered as zero. The main reason behind non-creation or creation of fixed asset register is siphoning off money by officials of Discoms in the name of capital investment. It is further submitted that Discoms have inflated GFA and adding the burden on consumers every year by paying huge sums in the name of capital investment.</w:t>
      </w:r>
    </w:p>
    <w:p w:rsidR="0026266F" w:rsidRPr="003D2C56" w:rsidRDefault="00E34329" w:rsidP="0026266F">
      <w:pPr>
        <w:numPr>
          <w:ilvl w:val="0"/>
          <w:numId w:val="185"/>
        </w:numPr>
        <w:spacing w:before="0" w:after="200"/>
        <w:rPr>
          <w:rFonts w:cs="Calibri"/>
        </w:rPr>
      </w:pPr>
      <w:r w:rsidRPr="00E34329">
        <w:rPr>
          <w:rFonts w:cs="Calibri"/>
        </w:rPr>
        <w:t xml:space="preserve">Finance charges: Discoms have sought finance charges without giving any details of the same. </w:t>
      </w:r>
    </w:p>
    <w:p w:rsidR="0026266F" w:rsidRPr="003D2C56" w:rsidRDefault="00E34329" w:rsidP="0026266F">
      <w:pPr>
        <w:numPr>
          <w:ilvl w:val="0"/>
          <w:numId w:val="185"/>
        </w:numPr>
        <w:spacing w:before="0" w:after="200"/>
        <w:rPr>
          <w:rFonts w:cs="Calibri"/>
        </w:rPr>
      </w:pPr>
      <w:r w:rsidRPr="00E34329">
        <w:rPr>
          <w:rFonts w:cs="Calibri"/>
        </w:rPr>
        <w:t>Bad and doubtful debt: No bad and doubtful debt can be allowed in ARR for the ensuing year.</w:t>
      </w:r>
    </w:p>
    <w:p w:rsidR="0026266F" w:rsidRPr="003D2C56" w:rsidRDefault="00E34329" w:rsidP="0026266F">
      <w:pPr>
        <w:numPr>
          <w:ilvl w:val="0"/>
          <w:numId w:val="185"/>
        </w:numPr>
        <w:spacing w:before="0" w:after="200"/>
        <w:rPr>
          <w:rFonts w:cs="Calibri"/>
        </w:rPr>
      </w:pPr>
      <w:r w:rsidRPr="00E34329">
        <w:rPr>
          <w:rFonts w:cs="Calibri"/>
        </w:rPr>
        <w:t>Return on Equity and Tariff for LMV-10 consumers: Discoms have sought 50% discount on the tariff of departmental employees instead of Return on Equity. Such an act of Discoms should not be allowed since it would mean burdening the consumers by depriving the benefits of the ‘Return on Equity’.</w:t>
      </w:r>
    </w:p>
    <w:p w:rsidR="0026266F" w:rsidRPr="003D2C56" w:rsidRDefault="00E34329" w:rsidP="0026266F">
      <w:pPr>
        <w:pStyle w:val="Heading3"/>
        <w:numPr>
          <w:ilvl w:val="0"/>
          <w:numId w:val="0"/>
        </w:numPr>
        <w:ind w:left="1929" w:hanging="936"/>
        <w:rPr>
          <w:szCs w:val="24"/>
        </w:rPr>
      </w:pPr>
      <w:r w:rsidRPr="00E34329">
        <w:rPr>
          <w:szCs w:val="24"/>
        </w:rPr>
        <w:t>Comment and suggestion for True Up petitions for FY 2013-14</w:t>
      </w:r>
    </w:p>
    <w:p w:rsidR="0026266F" w:rsidRPr="003D2C56" w:rsidRDefault="00E34329" w:rsidP="0026266F">
      <w:pPr>
        <w:numPr>
          <w:ilvl w:val="0"/>
          <w:numId w:val="185"/>
        </w:numPr>
        <w:spacing w:before="0" w:after="200"/>
        <w:rPr>
          <w:rFonts w:cs="Calibri"/>
        </w:rPr>
      </w:pPr>
      <w:r w:rsidRPr="00E34329">
        <w:rPr>
          <w:rFonts w:cs="Calibri"/>
        </w:rPr>
        <w:t>Power Purchase Expense: They requested the Commission to conduct a prudence check of the rates at which power has been purchased by Discoms vis-à-vis price at which power available in the market and also initiate appropriate proceedings against the Discoms.</w:t>
      </w:r>
    </w:p>
    <w:p w:rsidR="0026266F" w:rsidRPr="003D2C56" w:rsidRDefault="00E34329" w:rsidP="0026266F">
      <w:pPr>
        <w:numPr>
          <w:ilvl w:val="0"/>
          <w:numId w:val="185"/>
        </w:numPr>
        <w:spacing w:before="0" w:after="200"/>
        <w:rPr>
          <w:rFonts w:cs="Calibri"/>
        </w:rPr>
      </w:pPr>
      <w:r w:rsidRPr="00E34329">
        <w:rPr>
          <w:rFonts w:cs="Calibri"/>
        </w:rPr>
        <w:t xml:space="preserve">Repair &amp; Maintenance Expense: R&amp;M being controllable factor, inefficiency of Discoms should not be passed on the consumers. Purchase of faulty transformers and equipments is also one of the major reasons for higher R&amp;M expenses than expected. They requested the Commission to conduct a </w:t>
      </w:r>
      <w:r w:rsidRPr="00E34329">
        <w:rPr>
          <w:rFonts w:cs="Calibri"/>
        </w:rPr>
        <w:lastRenderedPageBreak/>
        <w:t>prudence check of the quality of equipments procured by Discoms vis-à-vis price at which they are available in the market and initiate appropriate proceedings against the Discoms.</w:t>
      </w:r>
    </w:p>
    <w:p w:rsidR="0026266F" w:rsidRPr="003D2C56" w:rsidRDefault="00E34329" w:rsidP="0026266F">
      <w:pPr>
        <w:numPr>
          <w:ilvl w:val="0"/>
          <w:numId w:val="185"/>
        </w:numPr>
        <w:spacing w:before="0" w:after="200"/>
        <w:rPr>
          <w:rFonts w:cs="Calibri"/>
        </w:rPr>
      </w:pPr>
      <w:r w:rsidRPr="00E34329">
        <w:rPr>
          <w:rFonts w:cs="Calibri"/>
        </w:rPr>
        <w:t>Proposed Investment should be disallowed: Discoms have been procuring goods/machineries including transformers from the companies which were blacklisted without prejudice to the same, it is submitted that the Discoms have been falsely capitalizing the machinery without actual purchase of the same. Therefore, they requested the Commission to allow capitalization after verifying the physical existence of the assets.</w:t>
      </w:r>
    </w:p>
    <w:p w:rsidR="0026266F" w:rsidRPr="003D2C56" w:rsidRDefault="00E34329" w:rsidP="0026266F">
      <w:pPr>
        <w:numPr>
          <w:ilvl w:val="0"/>
          <w:numId w:val="185"/>
        </w:numPr>
        <w:spacing w:before="0" w:after="200"/>
        <w:rPr>
          <w:rFonts w:cs="Calibri"/>
        </w:rPr>
      </w:pPr>
      <w:r w:rsidRPr="00E34329">
        <w:rPr>
          <w:rFonts w:cs="Calibri"/>
        </w:rPr>
        <w:t>Depreciation: Discoms are not entitled for any depreciation in absence of Gross Fixed Asset Register.</w:t>
      </w:r>
    </w:p>
    <w:p w:rsidR="0026266F" w:rsidRPr="003D2C56" w:rsidRDefault="00E34329" w:rsidP="0026266F">
      <w:pPr>
        <w:numPr>
          <w:ilvl w:val="0"/>
          <w:numId w:val="185"/>
        </w:numPr>
        <w:spacing w:before="0" w:after="200"/>
        <w:rPr>
          <w:rFonts w:cs="Calibri"/>
        </w:rPr>
      </w:pPr>
      <w:r w:rsidRPr="00E34329">
        <w:rPr>
          <w:rFonts w:cs="Calibri"/>
        </w:rPr>
        <w:t>Prior Period Expense: It is submitted that prior period expense ought to be disallowed as Discoms have not given any details of the same (year and purpose for which these expense were incurred).</w:t>
      </w:r>
    </w:p>
    <w:p w:rsidR="0026266F" w:rsidRPr="003D2C56" w:rsidRDefault="00E34329" w:rsidP="0026266F">
      <w:pPr>
        <w:numPr>
          <w:ilvl w:val="0"/>
          <w:numId w:val="185"/>
        </w:numPr>
        <w:spacing w:before="0" w:after="200"/>
        <w:rPr>
          <w:rFonts w:cs="Calibri"/>
        </w:rPr>
      </w:pPr>
      <w:r w:rsidRPr="00E34329">
        <w:rPr>
          <w:rFonts w:cs="Calibri"/>
        </w:rPr>
        <w:t>Bad &amp; Doubtful Debt: PVVNL has submitted Rs. 54.64 Crore towards bad and doubtful debt which is contrary to Clause4.4 of the Tariff Regulations, 2006.</w:t>
      </w:r>
    </w:p>
    <w:p w:rsidR="0026266F" w:rsidRPr="003D2C56" w:rsidRDefault="00E34329" w:rsidP="0026266F">
      <w:pPr>
        <w:numPr>
          <w:ilvl w:val="0"/>
          <w:numId w:val="185"/>
        </w:numPr>
        <w:spacing w:before="0" w:after="200"/>
        <w:rPr>
          <w:rFonts w:cs="Calibri"/>
        </w:rPr>
      </w:pPr>
      <w:r w:rsidRPr="00E34329">
        <w:rPr>
          <w:rFonts w:cs="Calibri"/>
        </w:rPr>
        <w:t>Carrying Cost: It is submitted that carrying cost, if any, should not be allowed on account of True-up of ARR for FY 2013-14 as Discoms failed in filling True-up Petition in time. It is submitted that consumers should not be burdened due to inefficiency and negligence on the part of Discoms. It is submitted that audited accounts of a company for FY 2013-14, should have been finalized by September, 2014. However, Discoms chose to file True-up Petition for FY 2013-14 after a period more than two years.</w:t>
      </w:r>
    </w:p>
    <w:p w:rsidR="0026266F" w:rsidRPr="003D2C56" w:rsidRDefault="00E34329" w:rsidP="0026266F">
      <w:pPr>
        <w:numPr>
          <w:ilvl w:val="0"/>
          <w:numId w:val="185"/>
        </w:numPr>
        <w:spacing w:before="0" w:after="200"/>
        <w:rPr>
          <w:rFonts w:cstheme="minorHAnsi"/>
        </w:rPr>
      </w:pPr>
      <w:r w:rsidRPr="00E34329">
        <w:rPr>
          <w:rFonts w:cstheme="minorHAnsi"/>
        </w:rPr>
        <w:t>Security Deposit: The Commission may not allow interest on security deposit amount in ARR claimed by Licensees because Licensees had failed to pay the amount of interest on security deposit deposited by the consumers.</w:t>
      </w:r>
    </w:p>
    <w:p w:rsidR="0026266F" w:rsidRPr="003D2C56" w:rsidRDefault="00E34329" w:rsidP="0026266F">
      <w:pPr>
        <w:numPr>
          <w:ilvl w:val="0"/>
          <w:numId w:val="185"/>
        </w:numPr>
        <w:spacing w:before="0" w:after="200"/>
        <w:rPr>
          <w:rFonts w:cstheme="minorHAnsi"/>
        </w:rPr>
      </w:pPr>
      <w:r w:rsidRPr="00E34329">
        <w:rPr>
          <w:rFonts w:cstheme="minorHAnsi"/>
        </w:rPr>
        <w:t>The State Discoms never filed ARR petition as per provisions specified in Conduct of Business Regulations and Tariff Regulations. It is further submitted that provisions in the Regulation are mandatory to be followed by Licensee a well as Commission.</w:t>
      </w:r>
    </w:p>
    <w:p w:rsidR="0026266F" w:rsidRPr="003D2C56" w:rsidRDefault="00E34329" w:rsidP="0026266F">
      <w:pPr>
        <w:numPr>
          <w:ilvl w:val="0"/>
          <w:numId w:val="185"/>
        </w:numPr>
        <w:spacing w:before="0" w:after="200"/>
        <w:rPr>
          <w:rFonts w:cstheme="minorHAnsi"/>
        </w:rPr>
      </w:pPr>
      <w:r w:rsidRPr="00E34329">
        <w:rPr>
          <w:rFonts w:cstheme="minorHAnsi"/>
        </w:rPr>
        <w:lastRenderedPageBreak/>
        <w:t xml:space="preserve">O&amp;M Expenses: O&amp;M expenses of the Licensees are very high as compared to the other utilities across the country, which shows Licensees’ inefficiency. </w:t>
      </w:r>
    </w:p>
    <w:p w:rsidR="0026266F" w:rsidRPr="003D2C56" w:rsidRDefault="00E34329" w:rsidP="0026266F">
      <w:pPr>
        <w:numPr>
          <w:ilvl w:val="0"/>
          <w:numId w:val="185"/>
        </w:numPr>
        <w:spacing w:before="0" w:after="200"/>
        <w:rPr>
          <w:rFonts w:cstheme="minorHAnsi"/>
        </w:rPr>
      </w:pPr>
      <w:r w:rsidRPr="00E34329">
        <w:rPr>
          <w:rFonts w:cstheme="minorHAnsi"/>
        </w:rPr>
        <w:t xml:space="preserve">The scanned copies of vital documents like category details of consumers and tariff schedule are not good for reference and hence, such information should be in word / excel format. Further, it is submitted that ARR petitions are incorrect, vague, incomplete and is not specific. </w:t>
      </w:r>
    </w:p>
    <w:p w:rsidR="0026266F" w:rsidRPr="003D2C56" w:rsidRDefault="00E34329" w:rsidP="0026266F">
      <w:pPr>
        <w:ind w:left="993"/>
        <w:rPr>
          <w:rFonts w:cstheme="minorHAnsi"/>
        </w:rPr>
      </w:pPr>
      <w:r w:rsidRPr="00E34329">
        <w:rPr>
          <w:rFonts w:cstheme="minorHAnsi"/>
        </w:rPr>
        <w:t xml:space="preserve">ARR Petitions contains proposal for capital investments of more than Rs 20,000 Crore for FY 2015-16 and FY 2016-17 in respect of improvement of distribution network system but it is highly disgusting and unfortunate that the Petitioners have assumed arbitrary quantities. </w:t>
      </w:r>
    </w:p>
    <w:p w:rsidR="006B71CD" w:rsidRPr="003D2C56" w:rsidRDefault="006B71CD" w:rsidP="0026266F">
      <w:pPr>
        <w:ind w:left="993"/>
        <w:rPr>
          <w:highlight w:val="yellow"/>
        </w:rPr>
      </w:pPr>
    </w:p>
    <w:p w:rsidR="0026266F" w:rsidRPr="003D2C56" w:rsidRDefault="00E34329" w:rsidP="0026266F">
      <w:pPr>
        <w:numPr>
          <w:ilvl w:val="0"/>
          <w:numId w:val="44"/>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s>
        <w:ind w:left="993" w:hanging="993"/>
        <w:rPr>
          <w:szCs w:val="24"/>
        </w:rPr>
      </w:pPr>
      <w:r w:rsidRPr="00E34329">
        <w:rPr>
          <w:szCs w:val="24"/>
        </w:rPr>
        <w:t>The Licensee submitted that opening balance of assets and year wise capitalisations as provided in the audited financial statements have been considered for truing up and Tariff purposes and the same have been approved by the independent statutory auditor as well as by CAG. The Licensee further submitted that the growth in the distribution network and consumer base is also a testimony of the large capital investment undertaken by the Licensees in the State. Hence, it cannot be denied that the capital investment has been put to beneficial use.</w:t>
      </w:r>
    </w:p>
    <w:p w:rsidR="00D5771F" w:rsidRDefault="00E34329">
      <w:pPr>
        <w:pStyle w:val="Heading3"/>
        <w:tabs>
          <w:tab w:val="clear" w:pos="720"/>
        </w:tabs>
        <w:ind w:left="993" w:hanging="993"/>
        <w:rPr>
          <w:szCs w:val="24"/>
        </w:rPr>
      </w:pPr>
      <w:r w:rsidRPr="00E34329">
        <w:rPr>
          <w:szCs w:val="24"/>
        </w:rPr>
        <w:t xml:space="preserve">The Licensee further submitted that the accounting policy in relation to fixed assets is provided as part of the Audited Accounts. However, the fixed assets are shown at the value transferred as per the second Transfer Scheme as opening balance. The Licensee submitted that all the costs relating to the acquisition and installation of fixed assets till the date of their commissioning are capitalised in the accounts. The Licensee submitted that based on this policy, the capitalisations have been accounted in Audited Accounts of each year and the statutory auditors have approved the overall balance sheet of the Licensees. Further, the Licensee submitted that even the supplementary audit report of the Auditor General of Uttar Pradesh has not found any discrepancy in this policy. However, the licensee is committed in this direction. </w:t>
      </w:r>
    </w:p>
    <w:p w:rsidR="00D5771F" w:rsidRDefault="00E34329">
      <w:pPr>
        <w:pStyle w:val="Heading3"/>
        <w:tabs>
          <w:tab w:val="clear" w:pos="720"/>
        </w:tabs>
        <w:ind w:left="993" w:hanging="993"/>
        <w:rPr>
          <w:szCs w:val="24"/>
        </w:rPr>
      </w:pPr>
      <w:r w:rsidRPr="00E34329">
        <w:rPr>
          <w:szCs w:val="24"/>
        </w:rPr>
        <w:t>The capital investment plan has been duly submitted in the ARR Petition. Finance charges have been claimed towards guarantee charges payable to banks and financial institutions, bank charges etc. The rationale for claiming bad and doubtful debts has been elaborated in the ARR Petition.</w:t>
      </w:r>
    </w:p>
    <w:p w:rsidR="00D5771F" w:rsidRDefault="00E34329">
      <w:pPr>
        <w:pStyle w:val="Heading3"/>
        <w:tabs>
          <w:tab w:val="clear" w:pos="720"/>
        </w:tabs>
        <w:ind w:left="993" w:hanging="993"/>
        <w:rPr>
          <w:szCs w:val="24"/>
        </w:rPr>
      </w:pPr>
      <w:r w:rsidRPr="00E34329">
        <w:rPr>
          <w:szCs w:val="24"/>
        </w:rPr>
        <w:lastRenderedPageBreak/>
        <w:t>The Licensee submitted that various sub-components of the ARR have been claimed by the Petitioner strictly in line with the provisions of the UPERC (Terms and Conditions of Distribution Tariff) Regulations, 2006.</w:t>
      </w:r>
    </w:p>
    <w:p w:rsidR="0026266F" w:rsidRPr="003D2C56" w:rsidRDefault="0026266F" w:rsidP="0026266F">
      <w:pPr>
        <w:contextualSpacing/>
        <w:rPr>
          <w:rFonts w:cs="Arial"/>
          <w:bCs/>
        </w:rPr>
      </w:pPr>
    </w:p>
    <w:p w:rsidR="0026266F" w:rsidRPr="003D2C56" w:rsidRDefault="00E34329" w:rsidP="0026266F">
      <w:pPr>
        <w:pStyle w:val="ListParagraph"/>
        <w:numPr>
          <w:ilvl w:val="0"/>
          <w:numId w:val="44"/>
        </w:numPr>
        <w:spacing w:before="0" w:after="200"/>
        <w:contextualSpacing/>
        <w:rPr>
          <w:rFonts w:cs="Arial"/>
          <w:bCs/>
        </w:rPr>
      </w:pPr>
      <w:r w:rsidRPr="00E34329">
        <w:rPr>
          <w:rFonts w:cs="Arial"/>
          <w:b/>
          <w:bCs/>
        </w:rPr>
        <w:t>The Commission’s view:</w:t>
      </w:r>
    </w:p>
    <w:p w:rsidR="00D5771F" w:rsidRDefault="00E34329">
      <w:pPr>
        <w:pStyle w:val="Heading3"/>
        <w:tabs>
          <w:tab w:val="clear" w:pos="720"/>
        </w:tabs>
        <w:ind w:left="993" w:hanging="993"/>
        <w:rPr>
          <w:szCs w:val="24"/>
        </w:rPr>
      </w:pPr>
      <w:r w:rsidRPr="00E34329">
        <w:rPr>
          <w:szCs w:val="24"/>
        </w:rPr>
        <w:t xml:space="preserve">The Commission has taken note of the objections / suggestions made by the stakeholders in this regards. The detailed analysis of various elements of ARR and True-up has been carried out by the Commission in accordance of the Distribution Tariff Regulations, 2006 and Tariff Policy as elaborated in subsequent sections of the Order. </w:t>
      </w:r>
    </w:p>
    <w:p w:rsidR="0026266F" w:rsidRPr="003D2C56" w:rsidRDefault="0026266F" w:rsidP="0026266F">
      <w:pPr>
        <w:pStyle w:val="Heading3"/>
        <w:numPr>
          <w:ilvl w:val="0"/>
          <w:numId w:val="0"/>
        </w:numPr>
        <w:tabs>
          <w:tab w:val="clear" w:pos="720"/>
        </w:tabs>
        <w:ind w:left="1929" w:hanging="936"/>
        <w:rPr>
          <w:szCs w:val="24"/>
        </w:rPr>
      </w:pPr>
    </w:p>
    <w:p w:rsidR="00D5771F" w:rsidRDefault="00E34329">
      <w:pPr>
        <w:pStyle w:val="Heading2"/>
        <w:spacing w:line="276" w:lineRule="auto"/>
        <w:rPr>
          <w:rFonts w:ascii="Calibri" w:hAnsi="Calibri" w:cs="Arial"/>
          <w:color w:val="auto"/>
        </w:rPr>
      </w:pPr>
      <w:bookmarkStart w:id="75" w:name="_Toc453506797"/>
      <w:bookmarkStart w:id="76" w:name="_Toc453522754"/>
      <w:bookmarkStart w:id="77" w:name="_Toc453506798"/>
      <w:bookmarkStart w:id="78" w:name="_Toc453522755"/>
      <w:bookmarkStart w:id="79" w:name="_Toc454277460"/>
      <w:bookmarkStart w:id="80" w:name="_Toc457603889"/>
      <w:bookmarkEnd w:id="75"/>
      <w:bookmarkEnd w:id="76"/>
      <w:bookmarkEnd w:id="77"/>
      <w:bookmarkEnd w:id="78"/>
      <w:r w:rsidRPr="00E34329">
        <w:rPr>
          <w:rFonts w:ascii="Calibri" w:hAnsi="Calibri" w:cs="Arial"/>
          <w:color w:val="auto"/>
        </w:rPr>
        <w:t>TIME OF DAY TARIFF</w:t>
      </w:r>
      <w:bookmarkEnd w:id="79"/>
      <w:bookmarkEnd w:id="80"/>
    </w:p>
    <w:p w:rsidR="0026266F" w:rsidRPr="003D2C56" w:rsidRDefault="0026266F" w:rsidP="0026266F">
      <w:pPr>
        <w:pStyle w:val="Heading2"/>
        <w:numPr>
          <w:ilvl w:val="0"/>
          <w:numId w:val="0"/>
        </w:numPr>
        <w:spacing w:line="276" w:lineRule="auto"/>
        <w:rPr>
          <w:rFonts w:ascii="Calibri" w:hAnsi="Calibri" w:cs="Arial"/>
          <w:color w:val="auto"/>
        </w:rPr>
      </w:pPr>
    </w:p>
    <w:p w:rsidR="0026266F" w:rsidRPr="003D2C56" w:rsidRDefault="00E34329" w:rsidP="0026266F">
      <w:pPr>
        <w:numPr>
          <w:ilvl w:val="0"/>
          <w:numId w:val="186"/>
        </w:numPr>
        <w:spacing w:before="0"/>
        <w:contextualSpacing/>
        <w:rPr>
          <w:rFonts w:cs="Arial"/>
          <w:bCs/>
        </w:rPr>
      </w:pPr>
      <w:r w:rsidRPr="00E34329">
        <w:rPr>
          <w:rFonts w:cs="Arial"/>
          <w:b/>
          <w:bCs/>
        </w:rPr>
        <w:t>Comments/Suggestions of the Public</w:t>
      </w:r>
    </w:p>
    <w:p w:rsidR="00D5771F" w:rsidRDefault="00E34329">
      <w:pPr>
        <w:pStyle w:val="Heading3"/>
        <w:tabs>
          <w:tab w:val="clear" w:pos="720"/>
        </w:tabs>
        <w:ind w:left="993" w:hanging="993"/>
        <w:rPr>
          <w:szCs w:val="24"/>
        </w:rPr>
      </w:pPr>
      <w:r w:rsidRPr="00E34329">
        <w:rPr>
          <w:szCs w:val="24"/>
        </w:rPr>
        <w:t>Shri Vishnu Bhagwan Agarwal Chairman, Agra Chapter, ASSOCHAM, U.P and Ashok Kumar Goyal President, National Chamber of Industries &amp; Commerce submitted that  the TOD charges may be made more consumer /Industry friendly and off peak hours should be between 22:00 PM to 7:00 AM.</w:t>
      </w:r>
    </w:p>
    <w:p w:rsidR="00D5771F" w:rsidRDefault="00E34329">
      <w:pPr>
        <w:pStyle w:val="Heading3"/>
        <w:tabs>
          <w:tab w:val="clear" w:pos="720"/>
        </w:tabs>
        <w:ind w:left="993" w:hanging="993"/>
        <w:rPr>
          <w:szCs w:val="24"/>
        </w:rPr>
      </w:pPr>
      <w:r w:rsidRPr="00E34329">
        <w:rPr>
          <w:szCs w:val="24"/>
        </w:rPr>
        <w:t>Shri K. L. Aggarwal chairman Associate Chambers of Commerce and Industries of U. P suggested following rates for TOD for HV-2 and LMV-6 tariff categories.</w:t>
      </w:r>
    </w:p>
    <w:p w:rsidR="0026266F" w:rsidRPr="00BC6A33" w:rsidRDefault="0026266F" w:rsidP="0026266F">
      <w:pPr>
        <w:pStyle w:val="Heading3"/>
        <w:numPr>
          <w:ilvl w:val="0"/>
          <w:numId w:val="0"/>
        </w:numPr>
        <w:tabs>
          <w:tab w:val="clear" w:pos="720"/>
        </w:tabs>
        <w:ind w:left="993"/>
        <w:rPr>
          <w:rFonts w:asciiTheme="minorHAnsi" w:hAnsiTheme="minorHAnsi"/>
          <w:szCs w:val="24"/>
        </w:rPr>
      </w:pPr>
    </w:p>
    <w:tbl>
      <w:tblPr>
        <w:tblW w:w="0" w:type="auto"/>
        <w:jc w:val="center"/>
        <w:tblInd w:w="13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047"/>
        <w:gridCol w:w="2250"/>
        <w:gridCol w:w="2610"/>
      </w:tblGrid>
      <w:tr w:rsidR="0026266F" w:rsidRPr="003D2C56" w:rsidTr="008C632E">
        <w:trPr>
          <w:jc w:val="center"/>
        </w:trPr>
        <w:tc>
          <w:tcPr>
            <w:tcW w:w="2047" w:type="dxa"/>
            <w:shd w:val="clear" w:color="auto" w:fill="C6D9F1" w:themeFill="text2" w:themeFillTint="33"/>
          </w:tcPr>
          <w:p w:rsidR="00D5771F" w:rsidRDefault="00E34329">
            <w:pPr>
              <w:spacing w:before="0" w:line="240" w:lineRule="auto"/>
              <w:jc w:val="center"/>
              <w:rPr>
                <w:rFonts w:asciiTheme="minorHAnsi" w:hAnsiTheme="minorHAnsi" w:cs="Arial"/>
                <w:bCs/>
                <w:sz w:val="22"/>
              </w:rPr>
            </w:pPr>
            <w:r w:rsidRPr="00E34329">
              <w:rPr>
                <w:rFonts w:asciiTheme="minorHAnsi" w:hAnsiTheme="minorHAnsi" w:cs="Arial"/>
                <w:bCs/>
                <w:sz w:val="22"/>
              </w:rPr>
              <w:t>Time hrs.</w:t>
            </w:r>
          </w:p>
        </w:tc>
        <w:tc>
          <w:tcPr>
            <w:tcW w:w="2250" w:type="dxa"/>
            <w:shd w:val="clear" w:color="auto" w:fill="C6D9F1" w:themeFill="text2" w:themeFillTint="33"/>
          </w:tcPr>
          <w:p w:rsidR="00D5771F" w:rsidRDefault="00E34329">
            <w:pPr>
              <w:spacing w:before="0" w:line="240" w:lineRule="auto"/>
              <w:jc w:val="center"/>
              <w:rPr>
                <w:rFonts w:asciiTheme="minorHAnsi" w:hAnsiTheme="minorHAnsi" w:cs="Arial"/>
                <w:bCs/>
                <w:sz w:val="22"/>
              </w:rPr>
            </w:pPr>
            <w:r w:rsidRPr="00E34329">
              <w:rPr>
                <w:rFonts w:asciiTheme="minorHAnsi" w:hAnsiTheme="minorHAnsi" w:cs="Arial"/>
                <w:bCs/>
                <w:sz w:val="22"/>
              </w:rPr>
              <w:t>Proposed TOD Rate</w:t>
            </w:r>
          </w:p>
        </w:tc>
        <w:tc>
          <w:tcPr>
            <w:tcW w:w="2610" w:type="dxa"/>
            <w:shd w:val="clear" w:color="auto" w:fill="C6D9F1" w:themeFill="text2" w:themeFillTint="33"/>
          </w:tcPr>
          <w:p w:rsidR="00D5771F" w:rsidRDefault="00E34329">
            <w:pPr>
              <w:spacing w:before="0" w:line="240" w:lineRule="auto"/>
              <w:jc w:val="center"/>
              <w:rPr>
                <w:rFonts w:asciiTheme="minorHAnsi" w:hAnsiTheme="minorHAnsi" w:cs="Arial"/>
                <w:bCs/>
                <w:sz w:val="22"/>
              </w:rPr>
            </w:pPr>
            <w:r w:rsidRPr="00E34329">
              <w:rPr>
                <w:rFonts w:asciiTheme="minorHAnsi" w:hAnsiTheme="minorHAnsi" w:cs="Arial"/>
                <w:bCs/>
                <w:sz w:val="22"/>
              </w:rPr>
              <w:t>Suggestive TOD Rate</w:t>
            </w:r>
          </w:p>
        </w:tc>
      </w:tr>
      <w:tr w:rsidR="0026266F" w:rsidRPr="003D2C56" w:rsidTr="008C632E">
        <w:trPr>
          <w:jc w:val="center"/>
        </w:trPr>
        <w:tc>
          <w:tcPr>
            <w:tcW w:w="2047" w:type="dxa"/>
            <w:shd w:val="clear" w:color="auto" w:fill="auto"/>
          </w:tcPr>
          <w:p w:rsidR="00D5771F" w:rsidRDefault="00E34329">
            <w:pPr>
              <w:spacing w:before="0" w:line="240" w:lineRule="auto"/>
              <w:rPr>
                <w:rFonts w:asciiTheme="minorHAnsi" w:hAnsiTheme="minorHAnsi" w:cs="Arial"/>
                <w:bCs/>
                <w:sz w:val="22"/>
              </w:rPr>
            </w:pPr>
            <w:r w:rsidRPr="00E34329">
              <w:rPr>
                <w:rFonts w:asciiTheme="minorHAnsi" w:hAnsiTheme="minorHAnsi" w:cs="Arial"/>
                <w:bCs/>
                <w:sz w:val="22"/>
              </w:rPr>
              <w:t>22.00 to 06.00</w:t>
            </w:r>
          </w:p>
        </w:tc>
        <w:tc>
          <w:tcPr>
            <w:tcW w:w="2250" w:type="dxa"/>
            <w:shd w:val="clear" w:color="auto" w:fill="auto"/>
          </w:tcPr>
          <w:p w:rsidR="00D5771F" w:rsidRDefault="00E34329">
            <w:pPr>
              <w:spacing w:before="0" w:line="240" w:lineRule="auto"/>
              <w:jc w:val="center"/>
              <w:rPr>
                <w:rFonts w:asciiTheme="minorHAnsi" w:hAnsiTheme="minorHAnsi" w:cs="Arial"/>
                <w:bCs/>
                <w:sz w:val="22"/>
              </w:rPr>
            </w:pPr>
            <w:r w:rsidRPr="00E34329">
              <w:rPr>
                <w:rFonts w:asciiTheme="minorHAnsi" w:hAnsiTheme="minorHAnsi" w:cs="Arial"/>
                <w:bCs/>
                <w:sz w:val="22"/>
              </w:rPr>
              <w:t>(-)7.5%</w:t>
            </w:r>
          </w:p>
        </w:tc>
        <w:tc>
          <w:tcPr>
            <w:tcW w:w="2610" w:type="dxa"/>
            <w:shd w:val="clear" w:color="auto" w:fill="auto"/>
          </w:tcPr>
          <w:p w:rsidR="00D5771F" w:rsidRDefault="00E34329">
            <w:pPr>
              <w:spacing w:before="0" w:line="240" w:lineRule="auto"/>
              <w:jc w:val="center"/>
              <w:rPr>
                <w:rFonts w:asciiTheme="minorHAnsi" w:hAnsiTheme="minorHAnsi" w:cs="Arial"/>
                <w:bCs/>
                <w:sz w:val="22"/>
              </w:rPr>
            </w:pPr>
            <w:r w:rsidRPr="00E34329">
              <w:rPr>
                <w:rFonts w:asciiTheme="minorHAnsi" w:hAnsiTheme="minorHAnsi" w:cs="Arial"/>
                <w:bCs/>
                <w:sz w:val="22"/>
              </w:rPr>
              <w:t>(-)10%</w:t>
            </w:r>
          </w:p>
        </w:tc>
      </w:tr>
      <w:tr w:rsidR="0026266F" w:rsidRPr="003D2C56" w:rsidTr="008C632E">
        <w:trPr>
          <w:jc w:val="center"/>
        </w:trPr>
        <w:tc>
          <w:tcPr>
            <w:tcW w:w="2047" w:type="dxa"/>
            <w:shd w:val="clear" w:color="auto" w:fill="auto"/>
          </w:tcPr>
          <w:p w:rsidR="00D5771F" w:rsidRDefault="00E34329">
            <w:pPr>
              <w:spacing w:before="0" w:line="240" w:lineRule="auto"/>
              <w:rPr>
                <w:rFonts w:asciiTheme="minorHAnsi" w:hAnsiTheme="minorHAnsi" w:cs="Arial"/>
                <w:bCs/>
                <w:sz w:val="22"/>
              </w:rPr>
            </w:pPr>
            <w:r w:rsidRPr="00E34329">
              <w:rPr>
                <w:rFonts w:asciiTheme="minorHAnsi" w:hAnsiTheme="minorHAnsi" w:cs="Arial"/>
                <w:bCs/>
                <w:sz w:val="22"/>
              </w:rPr>
              <w:t>06.00 to 17.00</w:t>
            </w:r>
          </w:p>
        </w:tc>
        <w:tc>
          <w:tcPr>
            <w:tcW w:w="2250" w:type="dxa"/>
            <w:shd w:val="clear" w:color="auto" w:fill="auto"/>
          </w:tcPr>
          <w:p w:rsidR="00D5771F" w:rsidRDefault="00E34329">
            <w:pPr>
              <w:spacing w:before="0" w:line="240" w:lineRule="auto"/>
              <w:jc w:val="center"/>
              <w:rPr>
                <w:rFonts w:asciiTheme="minorHAnsi" w:hAnsiTheme="minorHAnsi" w:cs="Arial"/>
                <w:bCs/>
                <w:sz w:val="22"/>
              </w:rPr>
            </w:pPr>
            <w:r w:rsidRPr="00E34329">
              <w:rPr>
                <w:rFonts w:asciiTheme="minorHAnsi" w:hAnsiTheme="minorHAnsi" w:cs="Arial"/>
                <w:bCs/>
                <w:sz w:val="22"/>
              </w:rPr>
              <w:t>0.0%</w:t>
            </w:r>
          </w:p>
        </w:tc>
        <w:tc>
          <w:tcPr>
            <w:tcW w:w="2610" w:type="dxa"/>
            <w:shd w:val="clear" w:color="auto" w:fill="auto"/>
          </w:tcPr>
          <w:p w:rsidR="00D5771F" w:rsidRDefault="00E34329">
            <w:pPr>
              <w:spacing w:before="0" w:line="240" w:lineRule="auto"/>
              <w:jc w:val="center"/>
              <w:rPr>
                <w:rFonts w:asciiTheme="minorHAnsi" w:hAnsiTheme="minorHAnsi" w:cs="Arial"/>
                <w:bCs/>
                <w:sz w:val="22"/>
              </w:rPr>
            </w:pPr>
            <w:r w:rsidRPr="00E34329">
              <w:rPr>
                <w:rFonts w:asciiTheme="minorHAnsi" w:hAnsiTheme="minorHAnsi" w:cs="Arial"/>
                <w:bCs/>
                <w:sz w:val="22"/>
              </w:rPr>
              <w:t>0.0%</w:t>
            </w:r>
          </w:p>
        </w:tc>
      </w:tr>
      <w:tr w:rsidR="0026266F" w:rsidRPr="003D2C56" w:rsidTr="008C632E">
        <w:trPr>
          <w:jc w:val="center"/>
        </w:trPr>
        <w:tc>
          <w:tcPr>
            <w:tcW w:w="2047" w:type="dxa"/>
            <w:shd w:val="clear" w:color="auto" w:fill="auto"/>
          </w:tcPr>
          <w:p w:rsidR="00D5771F" w:rsidRDefault="00E34329">
            <w:pPr>
              <w:spacing w:before="0" w:line="240" w:lineRule="auto"/>
              <w:rPr>
                <w:rFonts w:asciiTheme="minorHAnsi" w:hAnsiTheme="minorHAnsi" w:cs="Arial"/>
                <w:bCs/>
                <w:sz w:val="22"/>
              </w:rPr>
            </w:pPr>
            <w:r w:rsidRPr="00E34329">
              <w:rPr>
                <w:rFonts w:asciiTheme="minorHAnsi" w:hAnsiTheme="minorHAnsi" w:cs="Arial"/>
                <w:bCs/>
                <w:sz w:val="22"/>
              </w:rPr>
              <w:t>17.00 to 22.00</w:t>
            </w:r>
          </w:p>
        </w:tc>
        <w:tc>
          <w:tcPr>
            <w:tcW w:w="2250" w:type="dxa"/>
            <w:shd w:val="clear" w:color="auto" w:fill="auto"/>
          </w:tcPr>
          <w:p w:rsidR="00D5771F" w:rsidRDefault="00E34329">
            <w:pPr>
              <w:spacing w:before="0" w:line="240" w:lineRule="auto"/>
              <w:jc w:val="center"/>
              <w:rPr>
                <w:rFonts w:asciiTheme="minorHAnsi" w:hAnsiTheme="minorHAnsi" w:cs="Arial"/>
                <w:bCs/>
                <w:sz w:val="22"/>
              </w:rPr>
            </w:pPr>
            <w:r w:rsidRPr="00E34329">
              <w:rPr>
                <w:rFonts w:asciiTheme="minorHAnsi" w:hAnsiTheme="minorHAnsi" w:cs="Arial"/>
                <w:bCs/>
                <w:sz w:val="22"/>
              </w:rPr>
              <w:t>(+)15%</w:t>
            </w:r>
          </w:p>
        </w:tc>
        <w:tc>
          <w:tcPr>
            <w:tcW w:w="2610" w:type="dxa"/>
            <w:shd w:val="clear" w:color="auto" w:fill="auto"/>
          </w:tcPr>
          <w:p w:rsidR="00D5771F" w:rsidRDefault="00E34329">
            <w:pPr>
              <w:spacing w:before="0" w:line="240" w:lineRule="auto"/>
              <w:jc w:val="center"/>
              <w:rPr>
                <w:rFonts w:asciiTheme="minorHAnsi" w:hAnsiTheme="minorHAnsi" w:cs="Arial"/>
                <w:bCs/>
                <w:sz w:val="22"/>
              </w:rPr>
            </w:pPr>
            <w:r w:rsidRPr="00E34329">
              <w:rPr>
                <w:rFonts w:asciiTheme="minorHAnsi" w:hAnsiTheme="minorHAnsi" w:cs="Arial"/>
                <w:bCs/>
                <w:sz w:val="22"/>
              </w:rPr>
              <w:t>(+)10%</w:t>
            </w:r>
          </w:p>
        </w:tc>
      </w:tr>
    </w:tbl>
    <w:p w:rsidR="00D5771F" w:rsidRDefault="00D5771F">
      <w:pPr>
        <w:pStyle w:val="Heading3"/>
        <w:numPr>
          <w:ilvl w:val="0"/>
          <w:numId w:val="0"/>
        </w:numPr>
        <w:tabs>
          <w:tab w:val="clear" w:pos="720"/>
        </w:tabs>
        <w:spacing w:before="0"/>
        <w:rPr>
          <w:rFonts w:asciiTheme="minorHAnsi" w:hAnsiTheme="minorHAnsi"/>
          <w:szCs w:val="24"/>
        </w:rPr>
      </w:pPr>
    </w:p>
    <w:p w:rsidR="00D5771F" w:rsidRDefault="00E34329">
      <w:pPr>
        <w:pStyle w:val="Heading3"/>
        <w:tabs>
          <w:tab w:val="clear" w:pos="720"/>
        </w:tabs>
        <w:ind w:left="993" w:hanging="993"/>
        <w:rPr>
          <w:szCs w:val="24"/>
        </w:rPr>
      </w:pPr>
      <w:r w:rsidRPr="00E34329">
        <w:rPr>
          <w:szCs w:val="24"/>
        </w:rPr>
        <w:t xml:space="preserve">Shri Sudhir Chandra Goyal, M/s Khatauli Cold Storage submitted that the proposal for cold storage under HV-2 category which is proposed to be without TOD slabs may be adopted for cold storage under LMV-6 tariff Category.  </w:t>
      </w:r>
    </w:p>
    <w:p w:rsidR="00D5771F" w:rsidRDefault="00E34329">
      <w:pPr>
        <w:pStyle w:val="Heading3"/>
        <w:tabs>
          <w:tab w:val="clear" w:pos="720"/>
        </w:tabs>
        <w:ind w:left="993" w:hanging="993"/>
        <w:rPr>
          <w:szCs w:val="24"/>
        </w:rPr>
      </w:pPr>
      <w:r w:rsidRPr="00E34329">
        <w:rPr>
          <w:szCs w:val="24"/>
        </w:rPr>
        <w:t>Aligarh Furnace &amp; Rolling Mill Association submitted that the electricity tariff should be reduced up to 50% to 60 % during night hours as power is available at Rs 2 per Unit in exchanges.</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numPr>
          <w:ilvl w:val="0"/>
          <w:numId w:val="186"/>
        </w:numPr>
        <w:spacing w:before="0"/>
        <w:contextualSpacing/>
        <w:rPr>
          <w:rFonts w:cs="Arial"/>
          <w:b/>
          <w:bCs/>
        </w:rPr>
      </w:pPr>
      <w:r w:rsidRPr="00E34329">
        <w:rPr>
          <w:rFonts w:cs="Arial"/>
          <w:b/>
          <w:bCs/>
        </w:rPr>
        <w:lastRenderedPageBreak/>
        <w:t>Petitioner’s Response</w:t>
      </w:r>
    </w:p>
    <w:p w:rsidR="00D5771F" w:rsidRDefault="00E34329">
      <w:pPr>
        <w:pStyle w:val="Heading3"/>
        <w:tabs>
          <w:tab w:val="clear" w:pos="720"/>
        </w:tabs>
        <w:ind w:left="993" w:hanging="993"/>
      </w:pPr>
      <w:r w:rsidRPr="00E34329">
        <w:rPr>
          <w:szCs w:val="24"/>
        </w:rPr>
        <w:t xml:space="preserve">The Licensee submitted that no revision in the TOD structure has been proposed in the instant petition. </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pStyle w:val="ListParagraph"/>
        <w:numPr>
          <w:ilvl w:val="0"/>
          <w:numId w:val="186"/>
        </w:numPr>
        <w:spacing w:before="0"/>
        <w:contextualSpacing/>
        <w:rPr>
          <w:b/>
          <w:i/>
        </w:rPr>
      </w:pPr>
      <w:r w:rsidRPr="00E34329">
        <w:rPr>
          <w:b/>
          <w:i/>
        </w:rPr>
        <w:t>The Commission’s view:</w:t>
      </w:r>
    </w:p>
    <w:p w:rsidR="00D5771F" w:rsidRDefault="00E34329">
      <w:pPr>
        <w:pStyle w:val="Heading3"/>
        <w:tabs>
          <w:tab w:val="clear" w:pos="720"/>
        </w:tabs>
        <w:ind w:left="993" w:hanging="993"/>
        <w:rPr>
          <w:szCs w:val="24"/>
        </w:rPr>
      </w:pPr>
      <w:r w:rsidRPr="00E34329">
        <w:rPr>
          <w:szCs w:val="24"/>
        </w:rPr>
        <w:t>The Commission has taken note of the above objections / suggestions given by the stakeholders in this regard. The detailed design for TOD Tariff has been further, discussed in Chapter on Tariff Philosophy and the Rate Schedule provided subsequently in this Order.</w:t>
      </w:r>
    </w:p>
    <w:p w:rsidR="0026266F" w:rsidRPr="003D2C56" w:rsidRDefault="0026266F" w:rsidP="0026266F">
      <w:pPr>
        <w:pStyle w:val="Heading3"/>
        <w:numPr>
          <w:ilvl w:val="0"/>
          <w:numId w:val="0"/>
        </w:numPr>
        <w:ind w:left="1929" w:hanging="936"/>
        <w:rPr>
          <w:szCs w:val="24"/>
        </w:rPr>
      </w:pPr>
    </w:p>
    <w:p w:rsidR="00D5771F" w:rsidRDefault="00E34329">
      <w:pPr>
        <w:pStyle w:val="Heading2"/>
        <w:spacing w:line="276" w:lineRule="auto"/>
        <w:rPr>
          <w:rFonts w:ascii="Calibri" w:hAnsi="Calibri"/>
        </w:rPr>
      </w:pPr>
      <w:bookmarkStart w:id="81" w:name="_Toc454277461"/>
      <w:bookmarkStart w:id="82" w:name="_Toc457603890"/>
      <w:r w:rsidRPr="00E34329">
        <w:rPr>
          <w:rFonts w:ascii="Calibri" w:hAnsi="Calibri"/>
        </w:rPr>
        <w:t>REGULATORY SURCHARGE</w:t>
      </w:r>
      <w:bookmarkEnd w:id="81"/>
      <w:bookmarkEnd w:id="82"/>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pStyle w:val="ListParagraph"/>
        <w:numPr>
          <w:ilvl w:val="0"/>
          <w:numId w:val="187"/>
        </w:numPr>
        <w:spacing w:before="0"/>
        <w:contextualSpacing/>
        <w:rPr>
          <w:b/>
          <w:i/>
        </w:rPr>
      </w:pPr>
      <w:r w:rsidRPr="00E34329">
        <w:rPr>
          <w:b/>
          <w:i/>
        </w:rPr>
        <w:t>Comments/Suggestions of the Public</w:t>
      </w:r>
    </w:p>
    <w:p w:rsidR="00D5771F" w:rsidRDefault="00E34329">
      <w:pPr>
        <w:pStyle w:val="Heading3"/>
        <w:tabs>
          <w:tab w:val="clear" w:pos="720"/>
        </w:tabs>
        <w:ind w:left="993" w:hanging="993"/>
        <w:rPr>
          <w:szCs w:val="24"/>
        </w:rPr>
      </w:pPr>
      <w:r w:rsidRPr="00E34329">
        <w:rPr>
          <w:szCs w:val="24"/>
        </w:rPr>
        <w:t>Shri Vishnu Bhagwan Agarwal Chairman, Agra Chapter, ASSOCHAM, U.P and Ashok Kumar Goyal President, National Chamber of Industries &amp; Commerce submitted that the regulatory surcharge has to be a non- repetitive temporary surcharge and to be imposed in extra ordinary circumstances only. This regulatory surcharge has become permanent feature of ARR and Discoms are deliberately taking advantage of this.</w:t>
      </w:r>
    </w:p>
    <w:p w:rsidR="00D5771F" w:rsidRDefault="00E34329">
      <w:pPr>
        <w:pStyle w:val="Heading3"/>
        <w:tabs>
          <w:tab w:val="clear" w:pos="720"/>
        </w:tabs>
        <w:ind w:left="993" w:hanging="993"/>
        <w:rPr>
          <w:szCs w:val="24"/>
        </w:rPr>
      </w:pPr>
      <w:r w:rsidRPr="00E34329">
        <w:rPr>
          <w:szCs w:val="24"/>
        </w:rPr>
        <w:t>Shri K. L. Aggarwal chairman Associate Chambers of Commerce &amp; Industries of U. P submitted that the collection amount figures of RS-1 and RS-2 has to be submitted by Discoms.</w:t>
      </w:r>
    </w:p>
    <w:p w:rsidR="00D5771F" w:rsidRDefault="00E34329">
      <w:pPr>
        <w:pStyle w:val="Heading3"/>
        <w:tabs>
          <w:tab w:val="clear" w:pos="720"/>
        </w:tabs>
        <w:ind w:left="993" w:hanging="993"/>
        <w:rPr>
          <w:szCs w:val="24"/>
        </w:rPr>
      </w:pPr>
      <w:r w:rsidRPr="00E34329">
        <w:rPr>
          <w:szCs w:val="24"/>
        </w:rPr>
        <w:t>Shri K. L. Aggarwal chairman Associate Chambers of Commerce &amp; Industries of U. P submitted that the imposition of Regulatory Surcharge additionally on total amount results in addition of 0.50 paisa per unit in the electricity bill. The regulatory surcharge so imposed on the electricity consumers are against the alleged accumulated losses of the Discoms from past 8 years, which is irrational &amp; unjustified.  Hence, it is suggested to meet out such alleged accumulated losses of the Discoms by way of direct state subsidy, instead of passing the burden on the consumers.</w:t>
      </w:r>
    </w:p>
    <w:p w:rsidR="00D5771F" w:rsidRDefault="00E34329">
      <w:pPr>
        <w:pStyle w:val="Heading3"/>
        <w:tabs>
          <w:tab w:val="clear" w:pos="720"/>
        </w:tabs>
        <w:ind w:left="993" w:hanging="993"/>
        <w:rPr>
          <w:szCs w:val="24"/>
        </w:rPr>
      </w:pPr>
      <w:r w:rsidRPr="00E34329">
        <w:rPr>
          <w:szCs w:val="24"/>
        </w:rPr>
        <w:t xml:space="preserve">Shri K. L. Aggarwal chairman Associate Chambers of Commerce &amp; Industries of U. P submitted that Commission’s Order dated June 06, 2014 in regard to levy of 2.84% of Regulatory Surcharge (RS) has been implemented without any notice to the public. Further, vide the Commission’s Tariff Order dated October 01, 2014 levy of </w:t>
      </w:r>
      <w:r w:rsidRPr="00E34329">
        <w:rPr>
          <w:szCs w:val="24"/>
        </w:rPr>
        <w:lastRenderedPageBreak/>
        <w:t>additional Regulatory Surcharge @ 2.38% is made applicable. As a result thereof the period from 06/06/2014 to 11/10/2014 remains un-notified by UPPCL. Stakeholder further submitted that realization of Regulatory Surcharge @ 2.84% is not incompliance of rule 139 of UPERC conduct of business Regulations 2004. Stakeholder requested to refund the entire amount so realized in RS @ 2.84% to all consumers.</w:t>
      </w:r>
    </w:p>
    <w:p w:rsidR="00D5771F" w:rsidRDefault="00E34329">
      <w:pPr>
        <w:pStyle w:val="Heading3"/>
        <w:tabs>
          <w:tab w:val="clear" w:pos="720"/>
        </w:tabs>
        <w:ind w:left="993" w:hanging="993"/>
        <w:rPr>
          <w:szCs w:val="24"/>
        </w:rPr>
      </w:pPr>
      <w:r w:rsidRPr="00E34329">
        <w:rPr>
          <w:szCs w:val="24"/>
        </w:rPr>
        <w:t xml:space="preserve">The Mahabir Jute Mills Ltd. and Shri K. L. Aggarwal chairman Associate Chambers of Commerce &amp; Industries submitted that the Commission’s Order to stop charging regulatory Surcharge-1 from April 2016 is not followed till May 2016, which is the clear violation of rule 139 of Conduct of Business Regulations. Therefore, differential amount with interest thereof must be refunded to the relative consumer by the Discoms. </w:t>
      </w:r>
    </w:p>
    <w:p w:rsidR="00D5771F" w:rsidRDefault="00E34329">
      <w:pPr>
        <w:pStyle w:val="Heading3"/>
        <w:tabs>
          <w:tab w:val="clear" w:pos="720"/>
        </w:tabs>
        <w:ind w:left="993" w:hanging="993"/>
        <w:rPr>
          <w:szCs w:val="24"/>
        </w:rPr>
      </w:pPr>
      <w:r w:rsidRPr="00E34329">
        <w:rPr>
          <w:szCs w:val="24"/>
        </w:rPr>
        <w:t xml:space="preserve">Shri Avadhesh Kumar, Chairman, Uttar Pradesh Rajya Vidyut Upbhoktha Parishad submitted that as per UDAY scheme launched by GOI, net loss for UPPCL is Rs.70738 Crore out of which bank loan is Rs.53211 Crore.  As per UDAY scheme guidelines 75% of the loan will be taken over by GoUP, so it’s not justified to levy Regulatory Surcharge i.e. 4.28% which is continuing year on year on the verge of losses. Stakeholder further requested the Commission to abolish Regulatory Surcharge.  </w:t>
      </w:r>
    </w:p>
    <w:p w:rsidR="00D5771F" w:rsidRDefault="00E34329">
      <w:pPr>
        <w:pStyle w:val="Heading3"/>
        <w:tabs>
          <w:tab w:val="clear" w:pos="720"/>
        </w:tabs>
        <w:ind w:left="993" w:hanging="993"/>
        <w:rPr>
          <w:szCs w:val="24"/>
        </w:rPr>
      </w:pPr>
      <w:r w:rsidRPr="00E34329">
        <w:rPr>
          <w:szCs w:val="24"/>
        </w:rPr>
        <w:t>Shri Niraj Khandelwal, B.L. Agro Oils Limited and Shri Rahul Agarwal Director (Operations), Vacmet India Ltd. submitted that Regulatory Surcharge is being levied by Discoms on consumers to cover-up there earlier gaps. If a consumer is not having any arrear on his service it means that he has paid all his electricity bills on time. If a consumer have paid all the bills which are raised by Discoms regularly then why he has to pay the Regulatory Surcharge, which is demanded by Discoms for their past losses Hence, it is requested before the commission to abolish the Regulatory Surcharge.</w:t>
      </w:r>
    </w:p>
    <w:p w:rsidR="00D5771F" w:rsidRDefault="00E34329">
      <w:pPr>
        <w:pStyle w:val="Heading3"/>
        <w:tabs>
          <w:tab w:val="clear" w:pos="720"/>
        </w:tabs>
        <w:ind w:left="993" w:hanging="993"/>
        <w:rPr>
          <w:szCs w:val="24"/>
        </w:rPr>
      </w:pPr>
      <w:r w:rsidRPr="00E34329">
        <w:rPr>
          <w:szCs w:val="24"/>
        </w:rPr>
        <w:t>Shri Vishnu Bhagwan Agarwal Chairman, Agra Chapter, ASSOCHAM, U.P suggested that no regulatory surcharge should be levied unless the Discoms submit ARR petition on time and achieve 100% metering.</w:t>
      </w:r>
    </w:p>
    <w:p w:rsidR="00D5771F" w:rsidRDefault="00E34329">
      <w:pPr>
        <w:pStyle w:val="Heading3"/>
        <w:tabs>
          <w:tab w:val="clear" w:pos="720"/>
        </w:tabs>
        <w:ind w:left="993" w:hanging="993"/>
        <w:rPr>
          <w:szCs w:val="24"/>
        </w:rPr>
      </w:pPr>
      <w:r w:rsidRPr="00E34329">
        <w:rPr>
          <w:szCs w:val="24"/>
        </w:rPr>
        <w:t xml:space="preserve">Shri Rama Shanker Awasthi submitted that the State Discoms must provide information, pertaining to collection of Regulatory Surcharge-1 and Regulatory Surcharge-2, consumer category /sub-category wise. The Commission issued a direction to the State Discoms to submit year wise collection of Regulatory </w:t>
      </w:r>
      <w:r w:rsidRPr="00E34329">
        <w:rPr>
          <w:szCs w:val="24"/>
        </w:rPr>
        <w:lastRenderedPageBreak/>
        <w:t>Surcharge-1 and Regulatory Surcharge-2 but the details are not submitted by the State Discoms till date.</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numPr>
          <w:ilvl w:val="0"/>
          <w:numId w:val="187"/>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s>
        <w:ind w:left="993" w:hanging="993"/>
        <w:rPr>
          <w:szCs w:val="24"/>
        </w:rPr>
      </w:pPr>
      <w:r w:rsidRPr="00E34329">
        <w:rPr>
          <w:szCs w:val="24"/>
        </w:rPr>
        <w:t>Clause 6.12 of the UPERC (Terms and Conditions of Distribution Tariff) Regulations, 2006 provides:</w:t>
      </w:r>
    </w:p>
    <w:p w:rsidR="0026266F" w:rsidRPr="003D2C56" w:rsidRDefault="00E34329" w:rsidP="0026266F">
      <w:pPr>
        <w:pStyle w:val="Heading3"/>
        <w:numPr>
          <w:ilvl w:val="0"/>
          <w:numId w:val="0"/>
        </w:numPr>
        <w:tabs>
          <w:tab w:val="clear" w:pos="720"/>
        </w:tabs>
        <w:ind w:left="1440"/>
        <w:rPr>
          <w:i/>
          <w:szCs w:val="24"/>
        </w:rPr>
      </w:pPr>
      <w:r w:rsidRPr="00E34329">
        <w:rPr>
          <w:i/>
          <w:szCs w:val="24"/>
        </w:rPr>
        <w:t>“1. Creation of Regulatory Asset only for the purposes of avoiding tariff increase shall not be allowed and it shall only be created to take care of natural causes or force majeure conditions or major tariff shocks. The Commission shall have the discretion of providing regulatory asset.</w:t>
      </w:r>
    </w:p>
    <w:p w:rsidR="0026266F" w:rsidRPr="003D2C56" w:rsidRDefault="00E34329" w:rsidP="0026266F">
      <w:pPr>
        <w:pStyle w:val="Heading3"/>
        <w:numPr>
          <w:ilvl w:val="0"/>
          <w:numId w:val="0"/>
        </w:numPr>
        <w:tabs>
          <w:tab w:val="clear" w:pos="720"/>
        </w:tabs>
        <w:ind w:left="1440"/>
        <w:rPr>
          <w:i/>
          <w:szCs w:val="24"/>
        </w:rPr>
      </w:pPr>
      <w:r w:rsidRPr="00E34329">
        <w:rPr>
          <w:i/>
          <w:szCs w:val="24"/>
        </w:rPr>
        <w:t xml:space="preserve">2. The use of the facility of Regulatory Asset shall not be repetitive. </w:t>
      </w:r>
    </w:p>
    <w:p w:rsidR="0026266F" w:rsidRPr="003D2C56" w:rsidRDefault="00E34329" w:rsidP="0026266F">
      <w:pPr>
        <w:pStyle w:val="Heading3"/>
        <w:numPr>
          <w:ilvl w:val="0"/>
          <w:numId w:val="0"/>
        </w:numPr>
        <w:tabs>
          <w:tab w:val="clear" w:pos="720"/>
        </w:tabs>
        <w:ind w:left="1440"/>
        <w:rPr>
          <w:i/>
          <w:szCs w:val="24"/>
        </w:rPr>
      </w:pPr>
      <w:r w:rsidRPr="00E34329">
        <w:rPr>
          <w:i/>
          <w:szCs w:val="24"/>
        </w:rPr>
        <w:t>3. Depending on the amount of Regulatory Asset accepted by the Commission, the Commission shall stipulate the amortization and financing of such assets. Regulatory Asset shall be recovered within a period not exceeding three years immediately following the year in which it is created.”</w:t>
      </w:r>
    </w:p>
    <w:p w:rsidR="00D5771F" w:rsidRDefault="00E34329">
      <w:pPr>
        <w:pStyle w:val="Heading3"/>
        <w:tabs>
          <w:tab w:val="clear" w:pos="720"/>
        </w:tabs>
        <w:ind w:left="993" w:hanging="993"/>
        <w:rPr>
          <w:szCs w:val="24"/>
        </w:rPr>
      </w:pPr>
      <w:r w:rsidRPr="00E34329">
        <w:rPr>
          <w:szCs w:val="24"/>
        </w:rPr>
        <w:t>The Licensee submitted that the regulatory asset had been created by the Commission towards unrecovered gap pursuant to the final true ups based on audited accounts. Thus, the regulatory surcharge is valid in law and is in accordance with the Distribution Tariff Regulations, 2006 and is being charged subsequent to the Orders of the Commission.</w:t>
      </w:r>
    </w:p>
    <w:p w:rsidR="00D5771F" w:rsidRDefault="00E34329">
      <w:pPr>
        <w:pStyle w:val="Heading3"/>
        <w:tabs>
          <w:tab w:val="clear" w:pos="720"/>
        </w:tabs>
        <w:ind w:left="993" w:hanging="993"/>
        <w:rPr>
          <w:szCs w:val="24"/>
        </w:rPr>
      </w:pPr>
      <w:r w:rsidRPr="00E34329">
        <w:rPr>
          <w:szCs w:val="24"/>
        </w:rPr>
        <w:t>Regarding capturing of the regulatory surcharge data separately, the Licensee submitted that the data from field units is being collected.</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187"/>
        </w:numPr>
        <w:spacing w:before="0"/>
        <w:contextualSpacing/>
        <w:rPr>
          <w:b/>
          <w:i/>
        </w:rPr>
      </w:pPr>
      <w:r w:rsidRPr="00E34329">
        <w:rPr>
          <w:b/>
          <w:i/>
        </w:rPr>
        <w:t>The Commission’s view:</w:t>
      </w:r>
    </w:p>
    <w:p w:rsidR="00D5771F" w:rsidRDefault="00E34329">
      <w:pPr>
        <w:pStyle w:val="Heading3"/>
        <w:tabs>
          <w:tab w:val="clear" w:pos="720"/>
        </w:tabs>
        <w:ind w:left="993" w:hanging="993"/>
        <w:rPr>
          <w:szCs w:val="24"/>
        </w:rPr>
      </w:pPr>
      <w:r w:rsidRPr="00E34329">
        <w:rPr>
          <w:szCs w:val="24"/>
        </w:rPr>
        <w:t xml:space="preserve">The Commission has taken note of the above objections / suggestions given by the stakeholders in this regard. The Commission would like to clarify that the recovery of Regulatory Surcharge allowed is towards the unrecovered gap allowed by the Commission based on truing up carried out after prudence check and not towards the entire losses of the Distribution Licensees. The matter of accounting of Regulatory surcharge is of great concern to the Commission and accordingly, the Commission deficiency note dated January 29, 2016 directed the Licensees to submit details regarding Regulatory Surcharge. The Commission has also issued a separate Order on April 18, 2016 “Suo-Moto Proceedings in the matter of Regulatory </w:t>
      </w:r>
      <w:r w:rsidRPr="00E34329">
        <w:rPr>
          <w:szCs w:val="24"/>
        </w:rPr>
        <w:lastRenderedPageBreak/>
        <w:t>Surcharge” and directed Licensees to stop the collection of Regulatory Surcharge-1 after March 31 2016. The Commission has also discussed this issue in detail subsequently in this Order.</w:t>
      </w:r>
    </w:p>
    <w:p w:rsidR="0026266F" w:rsidRPr="003D2C56" w:rsidRDefault="0026266F" w:rsidP="0026266F">
      <w:pPr>
        <w:rPr>
          <w:rFonts w:cs="Calibri"/>
        </w:rPr>
      </w:pPr>
    </w:p>
    <w:p w:rsidR="00D5771F" w:rsidRDefault="00E34329">
      <w:pPr>
        <w:pStyle w:val="Heading2"/>
        <w:spacing w:line="276" w:lineRule="auto"/>
        <w:rPr>
          <w:rFonts w:ascii="Calibri" w:hAnsi="Calibri"/>
        </w:rPr>
      </w:pPr>
      <w:bookmarkStart w:id="83" w:name="_Toc454277462"/>
      <w:bookmarkStart w:id="84" w:name="_Toc457603891"/>
      <w:r w:rsidRPr="00E34329">
        <w:rPr>
          <w:rFonts w:ascii="Calibri" w:hAnsi="Calibri"/>
        </w:rPr>
        <w:t>HIGH COST OF ELECTRICITY</w:t>
      </w:r>
      <w:bookmarkEnd w:id="83"/>
      <w:bookmarkEnd w:id="84"/>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pStyle w:val="ListParagraph"/>
        <w:numPr>
          <w:ilvl w:val="0"/>
          <w:numId w:val="188"/>
        </w:numPr>
        <w:spacing w:before="0"/>
        <w:contextualSpacing/>
        <w:rPr>
          <w:b/>
          <w:i/>
        </w:rPr>
      </w:pPr>
      <w:r w:rsidRPr="00E34329">
        <w:rPr>
          <w:b/>
          <w:i/>
        </w:rPr>
        <w:t>Comments/Suggestions of the Public</w:t>
      </w:r>
    </w:p>
    <w:p w:rsidR="00D5771F" w:rsidRDefault="00E34329">
      <w:pPr>
        <w:pStyle w:val="Heading3"/>
        <w:tabs>
          <w:tab w:val="clear" w:pos="720"/>
        </w:tabs>
        <w:ind w:left="993" w:hanging="993"/>
        <w:rPr>
          <w:szCs w:val="24"/>
        </w:rPr>
      </w:pPr>
      <w:r w:rsidRPr="00E34329">
        <w:rPr>
          <w:szCs w:val="24"/>
        </w:rPr>
        <w:t>Shri Vishnu Bhagwan Agarwal Chairman, Agra Chapter, ASSOCHAM, U.P submitted that high cost of electricity in Uttar Pradesh is making Industrial products un-competitive.</w:t>
      </w:r>
    </w:p>
    <w:p w:rsidR="00D5771F" w:rsidRDefault="00E34329">
      <w:pPr>
        <w:pStyle w:val="Heading3"/>
        <w:tabs>
          <w:tab w:val="clear" w:pos="720"/>
        </w:tabs>
        <w:ind w:left="993" w:hanging="993"/>
        <w:rPr>
          <w:szCs w:val="24"/>
        </w:rPr>
      </w:pPr>
      <w:r w:rsidRPr="00E34329">
        <w:rPr>
          <w:szCs w:val="24"/>
        </w:rPr>
        <w:t xml:space="preserve">North Central Railway submitted that the traction tariff should not be further hiked and existing traction tariff for the Railway should be brought down to a reasonable level by determining category-wise voltage-wise cost of Supply, cross subsidy and further, ensuring direct subsidy to be borne by the State Government in line with Electricity Act 2003, Section 60 (g) 65 &amp; Para 8.3 of National Tariff policy. North Central Railway further submitted that Railway Traction Tariff should not be more than HT industrial category HV-2 i.e. other bulk supply tariff category, in line with Article 287 of the Constitution of India. </w:t>
      </w:r>
    </w:p>
    <w:p w:rsidR="00D5771F" w:rsidRDefault="00E34329">
      <w:pPr>
        <w:pStyle w:val="Heading3"/>
        <w:tabs>
          <w:tab w:val="clear" w:pos="720"/>
        </w:tabs>
        <w:ind w:left="993" w:hanging="993"/>
        <w:rPr>
          <w:szCs w:val="24"/>
        </w:rPr>
      </w:pPr>
      <w:r w:rsidRPr="00E34329">
        <w:rPr>
          <w:szCs w:val="24"/>
        </w:rPr>
        <w:t>Shri Naveen Gupta Manager Rimjhim Ispat Ltd., M/s Kanpur Fertilizer &amp; Cement Limited and M/s Ambika Steel submitted that higher industrial tariff and uncertain power availability in UP is adversely affecting the commercial viability of industries. It is suggested that affordable and reasonable industrial tariff maybe declared in the State to promote the industries.</w:t>
      </w:r>
    </w:p>
    <w:p w:rsidR="00D5771F" w:rsidRDefault="00E34329">
      <w:pPr>
        <w:pStyle w:val="Heading3"/>
        <w:tabs>
          <w:tab w:val="clear" w:pos="720"/>
        </w:tabs>
        <w:ind w:left="993" w:hanging="993"/>
        <w:rPr>
          <w:szCs w:val="24"/>
        </w:rPr>
      </w:pPr>
      <w:r w:rsidRPr="00E34329">
        <w:rPr>
          <w:szCs w:val="24"/>
        </w:rPr>
        <w:t>Shri K. L. Aggarwal Chairman Associate Chambers of Commerce &amp; Industries of Muzaffarnagar, U. P submitted that there is continue general recession in the industries particularly. Due to the un-precedent increase in the energy rates i.e., approx. 45% to 50% w.e.f. 1</w:t>
      </w:r>
      <w:r w:rsidRPr="00E34329">
        <w:rPr>
          <w:szCs w:val="24"/>
          <w:vertAlign w:val="superscript"/>
        </w:rPr>
        <w:t>st</w:t>
      </w:r>
      <w:r w:rsidRPr="00E34329">
        <w:rPr>
          <w:szCs w:val="24"/>
        </w:rPr>
        <w:t xml:space="preserve"> Nov 2012, most of the furnace industries in U.P. have been closed during the period from 2013 to 2015.Further, the stakeholder submitted that present existing rates of energy charges for HV-2 category of consumers deserve to be reduced at least by 8% to 10%. </w:t>
      </w:r>
    </w:p>
    <w:p w:rsidR="00D5771F" w:rsidRDefault="00E34329">
      <w:pPr>
        <w:pStyle w:val="Heading3"/>
        <w:tabs>
          <w:tab w:val="clear" w:pos="720"/>
        </w:tabs>
        <w:ind w:left="993" w:hanging="993"/>
        <w:rPr>
          <w:szCs w:val="24"/>
        </w:rPr>
      </w:pPr>
      <w:r w:rsidRPr="00E34329">
        <w:rPr>
          <w:szCs w:val="24"/>
        </w:rPr>
        <w:t xml:space="preserve"> Shri Rahul Agarwal Director Manager (Operations), Vacmet India Ltd. Submitted that the electricity tariff for surrounding states like Rajasthan, Madhya Pradesh, Uttarakhand etc. are quite reasonable, low &amp; supportive to the Industries. Difference of even Rs. 1.00 / unit makes huge difference in cost of production so far as bulk </w:t>
      </w:r>
      <w:r w:rsidRPr="00E34329">
        <w:rPr>
          <w:szCs w:val="24"/>
        </w:rPr>
        <w:lastRenderedPageBreak/>
        <w:t>power is concerned. Therefore, it is requested to rationalize the tariff with the surrounding States.</w:t>
      </w:r>
    </w:p>
    <w:p w:rsidR="00D5771F" w:rsidRDefault="00E34329">
      <w:pPr>
        <w:pStyle w:val="Heading3"/>
        <w:tabs>
          <w:tab w:val="clear" w:pos="720"/>
        </w:tabs>
        <w:ind w:left="993" w:hanging="993"/>
        <w:rPr>
          <w:szCs w:val="24"/>
        </w:rPr>
      </w:pPr>
      <w:r w:rsidRPr="00E34329">
        <w:rPr>
          <w:szCs w:val="24"/>
        </w:rPr>
        <w:t>Shri Akarsh Garg, Advocate for Indian Industries Association, submitted that the distribution utilities have been enshrined with the duty of supplying electricity to consumers on the basis of cost of supply of electricity for each category of consumers. The Industrial consumers are being made to pay higher cost to cross-subsidize the tariff of other categories, which is contrary to the objective of Electricity Act, 2003 principles enshrined under Section 61 of the Act of 2003 and Tariff policy.</w:t>
      </w:r>
    </w:p>
    <w:p w:rsidR="00D5771F" w:rsidRDefault="00E34329">
      <w:pPr>
        <w:pStyle w:val="Heading3"/>
        <w:tabs>
          <w:tab w:val="clear" w:pos="720"/>
        </w:tabs>
        <w:ind w:left="993" w:hanging="993"/>
        <w:rPr>
          <w:szCs w:val="24"/>
        </w:rPr>
      </w:pPr>
      <w:r w:rsidRPr="00E34329">
        <w:rPr>
          <w:szCs w:val="24"/>
        </w:rPr>
        <w:t>The Mahabir Jute Mills Ltd. submitted that protective load is meaningless as industries are paying double that of power purchase cost.</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numPr>
          <w:ilvl w:val="0"/>
          <w:numId w:val="188"/>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s>
        <w:ind w:left="993" w:hanging="993"/>
        <w:rPr>
          <w:szCs w:val="24"/>
        </w:rPr>
      </w:pPr>
      <w:r w:rsidRPr="00E34329">
        <w:rPr>
          <w:szCs w:val="24"/>
        </w:rPr>
        <w:t xml:space="preserve">The Licensee submitted that the Annual Revenue Requirement is being determined in accordance with the Tariff Regulations framed by the Commission. The tariff is being proposed to recover the gap between the Annual Revenue Requirement and the revenue at current tariffs. Different states have different cost of service, subsidy levels, different power procurement costs, etc., and hence, while fixing tariffs all these issues have to be taken into account. </w:t>
      </w:r>
    </w:p>
    <w:p w:rsidR="00D5771F" w:rsidRDefault="00E34329">
      <w:pPr>
        <w:pStyle w:val="Heading3"/>
        <w:tabs>
          <w:tab w:val="clear" w:pos="720"/>
        </w:tabs>
        <w:ind w:left="993" w:hanging="993"/>
        <w:rPr>
          <w:szCs w:val="24"/>
        </w:rPr>
      </w:pPr>
      <w:r w:rsidRPr="00E34329">
        <w:rPr>
          <w:szCs w:val="24"/>
        </w:rPr>
        <w:t xml:space="preserve">The Licensee further submitted that the Retail Tariff within the State has been kept uniform as per guidelines provided in the Sec 8.4 (2) of the National Tariff Policy issued by Ministry of Power, Government of India. </w:t>
      </w:r>
    </w:p>
    <w:p w:rsidR="00D5771F" w:rsidRDefault="00E34329">
      <w:pPr>
        <w:pStyle w:val="Heading3"/>
        <w:tabs>
          <w:tab w:val="clear" w:pos="720"/>
        </w:tabs>
        <w:ind w:left="993" w:hanging="993"/>
        <w:rPr>
          <w:szCs w:val="24"/>
        </w:rPr>
      </w:pPr>
      <w:r w:rsidRPr="00E34329">
        <w:rPr>
          <w:szCs w:val="24"/>
        </w:rPr>
        <w:t xml:space="preserve">The Petitioner submitted that the Railway Traction Tariff has been increased in accordance with Article 287 of the Constitution of India. Further, the billing is being done in accordance with the Rate Schedule approved by the Commission. The Petitioner submitted that the Tariff for HV-3 consumers is within +/- 20% of the average cost of service of the licensee, as stated in the Tariff Policy, 2006. </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188"/>
        </w:numPr>
        <w:spacing w:before="0"/>
        <w:contextualSpacing/>
        <w:rPr>
          <w:b/>
          <w:i/>
        </w:rPr>
      </w:pPr>
      <w:r w:rsidRPr="00E34329">
        <w:rPr>
          <w:b/>
          <w:i/>
        </w:rPr>
        <w:t>The Commission’s view:</w:t>
      </w:r>
    </w:p>
    <w:p w:rsidR="00D5771F" w:rsidRDefault="00E34329">
      <w:pPr>
        <w:pStyle w:val="Heading3"/>
        <w:tabs>
          <w:tab w:val="clear" w:pos="720"/>
        </w:tabs>
        <w:ind w:left="993" w:hanging="993"/>
        <w:rPr>
          <w:szCs w:val="24"/>
        </w:rPr>
      </w:pPr>
      <w:r w:rsidRPr="00E34329">
        <w:rPr>
          <w:szCs w:val="24"/>
        </w:rPr>
        <w:t xml:space="preserve">The Commission has taken note of the objections / suggestions made by the stakeholders in this regards. The applicable Tariffs for all the consumer categories have been designed in accordance with the Electricity Act, 2003 and the Tariff Policy. </w:t>
      </w:r>
      <w:r w:rsidRPr="00E34329">
        <w:rPr>
          <w:szCs w:val="24"/>
        </w:rPr>
        <w:lastRenderedPageBreak/>
        <w:t>The details of all the aspects related to Tariff design have been covered subsequently in Tariff Philosophy and Rate Schedule chapters of this Order.</w:t>
      </w:r>
    </w:p>
    <w:p w:rsidR="0026266F" w:rsidRPr="003D2C56" w:rsidRDefault="0026266F" w:rsidP="0026266F"/>
    <w:p w:rsidR="00D5771F" w:rsidRDefault="00E34329">
      <w:pPr>
        <w:pStyle w:val="Heading2"/>
        <w:spacing w:line="276" w:lineRule="auto"/>
        <w:rPr>
          <w:rFonts w:ascii="Calibri" w:hAnsi="Calibri"/>
        </w:rPr>
      </w:pPr>
      <w:bookmarkStart w:id="85" w:name="_Toc454277463"/>
      <w:bookmarkStart w:id="86" w:name="_Toc457603892"/>
      <w:r w:rsidRPr="00E34329">
        <w:rPr>
          <w:rFonts w:ascii="Calibri" w:hAnsi="Calibri"/>
        </w:rPr>
        <w:t>LOAD FACTOR REBATE</w:t>
      </w:r>
      <w:bookmarkEnd w:id="85"/>
      <w:bookmarkEnd w:id="86"/>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pStyle w:val="ListParagraph"/>
        <w:numPr>
          <w:ilvl w:val="0"/>
          <w:numId w:val="189"/>
        </w:numPr>
        <w:spacing w:before="0"/>
        <w:contextualSpacing/>
        <w:rPr>
          <w:rFonts w:cs="Calibri"/>
          <w:b/>
          <w:bCs/>
        </w:rPr>
      </w:pPr>
      <w:r w:rsidRPr="00E34329">
        <w:rPr>
          <w:b/>
          <w:i/>
        </w:rPr>
        <w:t>Comments/Suggestions of the Public</w:t>
      </w:r>
    </w:p>
    <w:p w:rsidR="00D5771F" w:rsidRDefault="00E34329">
      <w:pPr>
        <w:pStyle w:val="Heading3"/>
        <w:tabs>
          <w:tab w:val="clear" w:pos="720"/>
        </w:tabs>
        <w:ind w:left="993" w:hanging="993"/>
        <w:rPr>
          <w:szCs w:val="24"/>
        </w:rPr>
      </w:pPr>
      <w:r w:rsidRPr="00E34329">
        <w:rPr>
          <w:szCs w:val="24"/>
        </w:rPr>
        <w:t>Shri K. L. Aggarwal chairman Associate Chambers of Commerce &amp; Industries of U. P, Shri Rahul Agarwal Director (Operations) Vacmet India Ltd. and The Mahabir Jute Mills Ltd. submitted that the Load factor rebate to be re-introduced for better utilization of load and to encourage industrial consumers.</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numPr>
          <w:ilvl w:val="0"/>
          <w:numId w:val="189"/>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s>
        <w:ind w:left="993" w:hanging="993"/>
        <w:rPr>
          <w:szCs w:val="24"/>
        </w:rPr>
      </w:pPr>
      <w:r w:rsidRPr="00E34329">
        <w:rPr>
          <w:szCs w:val="24"/>
        </w:rPr>
        <w:t xml:space="preserve">Load Factor rebate was approved by the Commission in the Tariff Order for FY 2001-02 with a view to encourage better load utilisation to HV-2 consumers above 50% utilisation, lower system losses and better system operation. At that point of time, theft in industries was rampant. </w:t>
      </w:r>
    </w:p>
    <w:p w:rsidR="0026266F" w:rsidRPr="003D2C56" w:rsidRDefault="00E34329" w:rsidP="0026266F">
      <w:pPr>
        <w:pStyle w:val="Heading3"/>
        <w:numPr>
          <w:ilvl w:val="0"/>
          <w:numId w:val="0"/>
        </w:numPr>
        <w:tabs>
          <w:tab w:val="clear" w:pos="720"/>
        </w:tabs>
        <w:ind w:left="993"/>
        <w:rPr>
          <w:szCs w:val="24"/>
        </w:rPr>
      </w:pPr>
      <w:r w:rsidRPr="00E34329">
        <w:rPr>
          <w:bCs w:val="0"/>
          <w:szCs w:val="24"/>
        </w:rPr>
        <w:t>In the current context, the situation has changed. Load factor rebate had been introduced earlier in large and heavy consumers to curb the theft of electricity. But, now licensee has installed high precision meters to monitor the trend and other parameters and as such it appears that there is no need to provide incentive for consumption. Hence, the licensee is of the view that there is no necessity to provide load factor rebate.</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pStyle w:val="ListParagraph"/>
        <w:numPr>
          <w:ilvl w:val="0"/>
          <w:numId w:val="189"/>
        </w:numPr>
        <w:spacing w:before="0"/>
        <w:contextualSpacing/>
        <w:rPr>
          <w:b/>
          <w:i/>
        </w:rPr>
      </w:pPr>
      <w:r w:rsidRPr="00E34329">
        <w:rPr>
          <w:b/>
          <w:i/>
        </w:rPr>
        <w:t>The Commission’s view:</w:t>
      </w:r>
    </w:p>
    <w:p w:rsidR="006C63AF" w:rsidRDefault="00E34329" w:rsidP="006C63AF">
      <w:pPr>
        <w:pStyle w:val="Heading3"/>
        <w:tabs>
          <w:tab w:val="clear" w:pos="720"/>
        </w:tabs>
        <w:ind w:left="993" w:hanging="993"/>
      </w:pPr>
      <w:r w:rsidRPr="00E34329">
        <w:rPr>
          <w:rFonts w:cstheme="minorHAnsi"/>
          <w:bCs w:val="0"/>
          <w:szCs w:val="24"/>
        </w:rPr>
        <w:t>The Commission after detailed deliberation on this issue has abolished the Load Factor Rebate in the Tariff Order for FY 2014-15 and finds no merit in stockholder suggestion.</w:t>
      </w:r>
    </w:p>
    <w:p w:rsidR="000355BC" w:rsidRPr="003D2C56" w:rsidRDefault="000355BC" w:rsidP="0026266F">
      <w:pPr>
        <w:rPr>
          <w:rFonts w:cs="Calibri"/>
          <w:b/>
          <w:bCs/>
        </w:rPr>
      </w:pPr>
    </w:p>
    <w:p w:rsidR="00D5771F" w:rsidRDefault="00E34329">
      <w:pPr>
        <w:pStyle w:val="Heading2"/>
        <w:spacing w:line="276" w:lineRule="auto"/>
        <w:rPr>
          <w:rFonts w:ascii="Calibri" w:hAnsi="Calibri"/>
        </w:rPr>
      </w:pPr>
      <w:bookmarkStart w:id="87" w:name="_Toc454277464"/>
      <w:bookmarkStart w:id="88" w:name="_Toc457603893"/>
      <w:r w:rsidRPr="00E34329">
        <w:rPr>
          <w:rFonts w:ascii="Calibri" w:hAnsi="Calibri"/>
        </w:rPr>
        <w:t>OVER LOAD PENALTY</w:t>
      </w:r>
      <w:bookmarkEnd w:id="87"/>
      <w:bookmarkEnd w:id="88"/>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pStyle w:val="ListParagraph"/>
        <w:numPr>
          <w:ilvl w:val="0"/>
          <w:numId w:val="190"/>
        </w:numPr>
        <w:spacing w:before="0"/>
        <w:contextualSpacing/>
        <w:rPr>
          <w:b/>
          <w:i/>
        </w:rPr>
      </w:pPr>
      <w:r w:rsidRPr="00E34329">
        <w:rPr>
          <w:b/>
          <w:i/>
        </w:rPr>
        <w:t>Comments/Suggestions of the Public</w:t>
      </w:r>
    </w:p>
    <w:p w:rsidR="00D5771F" w:rsidRDefault="00E34329">
      <w:pPr>
        <w:pStyle w:val="Heading3"/>
        <w:tabs>
          <w:tab w:val="clear" w:pos="720"/>
        </w:tabs>
        <w:ind w:left="993" w:hanging="993"/>
        <w:rPr>
          <w:szCs w:val="24"/>
        </w:rPr>
      </w:pPr>
      <w:r w:rsidRPr="00E34329">
        <w:rPr>
          <w:szCs w:val="24"/>
        </w:rPr>
        <w:lastRenderedPageBreak/>
        <w:t xml:space="preserve">Shri Vishnu Bhagwan Agarwal Chairman, Agra Chapter, ASSOCHAM, U.P, Ashok kumar Goyal President, National Chamber of Industries &amp; Commerce and Shri K. L. Aggarwal chairman Associate Chambers of Commerce &amp; Industries of U. P submitted that double penalty i.e. charging fixed charge on enhanced load plus overload penalty is unreasonable and only single penalty should be imposed. </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numPr>
          <w:ilvl w:val="0"/>
          <w:numId w:val="190"/>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s>
        <w:ind w:left="993" w:hanging="993"/>
        <w:rPr>
          <w:szCs w:val="24"/>
        </w:rPr>
      </w:pPr>
      <w:r w:rsidRPr="00E34329">
        <w:rPr>
          <w:bCs w:val="0"/>
          <w:szCs w:val="24"/>
        </w:rPr>
        <w:t>Petitioner submitted that the charges for exceeding contracted demand are levied as per the rate approved by the Commission in last Tariff Order or subsequent amendment.</w:t>
      </w:r>
    </w:p>
    <w:p w:rsidR="00D5771F" w:rsidRDefault="00D5771F">
      <w:pPr>
        <w:pStyle w:val="Heading3"/>
        <w:numPr>
          <w:ilvl w:val="0"/>
          <w:numId w:val="0"/>
        </w:numPr>
        <w:tabs>
          <w:tab w:val="clear" w:pos="720"/>
        </w:tabs>
        <w:ind w:left="993"/>
        <w:rPr>
          <w:szCs w:val="24"/>
        </w:rPr>
      </w:pPr>
    </w:p>
    <w:p w:rsidR="0026266F" w:rsidRPr="003D2C56" w:rsidRDefault="00E34329" w:rsidP="0026266F">
      <w:pPr>
        <w:pStyle w:val="ListParagraph"/>
        <w:numPr>
          <w:ilvl w:val="0"/>
          <w:numId w:val="190"/>
        </w:numPr>
        <w:spacing w:before="0"/>
        <w:contextualSpacing/>
        <w:rPr>
          <w:b/>
          <w:i/>
        </w:rPr>
      </w:pPr>
      <w:r w:rsidRPr="00E34329">
        <w:rPr>
          <w:b/>
          <w:i/>
        </w:rPr>
        <w:t>The Commission’s view:</w:t>
      </w:r>
    </w:p>
    <w:p w:rsidR="00D5771F" w:rsidRDefault="00E34329">
      <w:pPr>
        <w:pStyle w:val="Heading3"/>
        <w:tabs>
          <w:tab w:val="clear" w:pos="720"/>
        </w:tabs>
        <w:ind w:left="993" w:hanging="993"/>
        <w:rPr>
          <w:szCs w:val="24"/>
        </w:rPr>
      </w:pPr>
      <w:r w:rsidRPr="00E34329">
        <w:rPr>
          <w:szCs w:val="24"/>
        </w:rPr>
        <w:t xml:space="preserve">The Commission would like to clarify that each and every Licensee has to plan and make arrangements for supplying power which the Utility estimates based on Contract Demand. In case of increase in Contract Demand, the Utility has to arrange costly power or carry out the load shedding. Hence, the penalty mechanism has been designed for restricting consumers from exceeding the contract demand and avoid unplanned purchase of costly power. </w:t>
      </w:r>
    </w:p>
    <w:p w:rsidR="0026266F" w:rsidRPr="003D2C56" w:rsidRDefault="0026266F" w:rsidP="0026266F">
      <w:pPr>
        <w:tabs>
          <w:tab w:val="left" w:pos="720"/>
        </w:tabs>
        <w:rPr>
          <w:rFonts w:cs="Calibri"/>
        </w:rPr>
      </w:pPr>
    </w:p>
    <w:p w:rsidR="00D5771F" w:rsidRDefault="00E34329">
      <w:pPr>
        <w:pStyle w:val="Heading2"/>
        <w:spacing w:line="276" w:lineRule="auto"/>
        <w:rPr>
          <w:rFonts w:ascii="Calibri" w:hAnsi="Calibri"/>
        </w:rPr>
      </w:pPr>
      <w:bookmarkStart w:id="89" w:name="_Toc453746303"/>
      <w:bookmarkStart w:id="90" w:name="_Toc453746304"/>
      <w:bookmarkStart w:id="91" w:name="_Toc453746305"/>
      <w:bookmarkStart w:id="92" w:name="_Toc453746306"/>
      <w:bookmarkStart w:id="93" w:name="_Toc453746307"/>
      <w:bookmarkStart w:id="94" w:name="_Toc453746308"/>
      <w:bookmarkStart w:id="95" w:name="_Toc453746309"/>
      <w:bookmarkStart w:id="96" w:name="_Toc453746310"/>
      <w:bookmarkStart w:id="97" w:name="_Toc453746311"/>
      <w:bookmarkStart w:id="98" w:name="_Toc453746312"/>
      <w:bookmarkStart w:id="99" w:name="_Toc453746313"/>
      <w:bookmarkStart w:id="100" w:name="_Toc453746314"/>
      <w:bookmarkStart w:id="101" w:name="_Toc453746315"/>
      <w:bookmarkStart w:id="102" w:name="_Toc454277465"/>
      <w:bookmarkStart w:id="103" w:name="_Toc457603894"/>
      <w:bookmarkEnd w:id="89"/>
      <w:bookmarkEnd w:id="90"/>
      <w:bookmarkEnd w:id="91"/>
      <w:bookmarkEnd w:id="92"/>
      <w:bookmarkEnd w:id="93"/>
      <w:bookmarkEnd w:id="94"/>
      <w:bookmarkEnd w:id="95"/>
      <w:bookmarkEnd w:id="96"/>
      <w:bookmarkEnd w:id="97"/>
      <w:bookmarkEnd w:id="98"/>
      <w:bookmarkEnd w:id="99"/>
      <w:bookmarkEnd w:id="100"/>
      <w:bookmarkEnd w:id="101"/>
      <w:r w:rsidRPr="00E34329">
        <w:rPr>
          <w:rFonts w:ascii="Calibri" w:hAnsi="Calibri"/>
        </w:rPr>
        <w:t>KVAH BILLING</w:t>
      </w:r>
      <w:bookmarkEnd w:id="102"/>
      <w:bookmarkEnd w:id="103"/>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pStyle w:val="ListParagraph"/>
        <w:numPr>
          <w:ilvl w:val="0"/>
          <w:numId w:val="191"/>
        </w:numPr>
        <w:spacing w:before="0"/>
        <w:contextualSpacing/>
        <w:rPr>
          <w:b/>
          <w:i/>
        </w:rPr>
      </w:pPr>
      <w:r w:rsidRPr="00E34329">
        <w:rPr>
          <w:b/>
          <w:i/>
        </w:rPr>
        <w:t>Comments/Suggestions of the Public</w:t>
      </w:r>
    </w:p>
    <w:p w:rsidR="00D5771F" w:rsidRDefault="00E34329">
      <w:pPr>
        <w:pStyle w:val="Heading3"/>
        <w:tabs>
          <w:tab w:val="clear" w:pos="720"/>
        </w:tabs>
        <w:ind w:left="993" w:hanging="993"/>
        <w:rPr>
          <w:szCs w:val="24"/>
        </w:rPr>
      </w:pPr>
      <w:r w:rsidRPr="00E34329">
        <w:rPr>
          <w:szCs w:val="24"/>
        </w:rPr>
        <w:t>Shri K. L. Aggarwal chairman Associate Chambers of Commerce &amp; Industries of U. P suggested that till the required KVAH meters (which automatically takes PF between 0.95 to 1.00 as unity for KVAh reading) are not installed, the consumers be given the benefit by treating, kWh units for the purpose of the application of tariff in case the PF of th</w:t>
      </w:r>
      <w:r w:rsidRPr="00E34329">
        <w:rPr>
          <w:rFonts w:cs="Calibri"/>
          <w:szCs w:val="24"/>
        </w:rPr>
        <w:t>e</w:t>
      </w:r>
      <w:r w:rsidRPr="00E34329">
        <w:rPr>
          <w:szCs w:val="24"/>
        </w:rPr>
        <w:t xml:space="preserve"> relative consumer is in the range of between 0.95 -1.00, as unity.</w:t>
      </w:r>
    </w:p>
    <w:p w:rsidR="00D5771F" w:rsidRDefault="00E34329">
      <w:pPr>
        <w:pStyle w:val="Heading3"/>
        <w:tabs>
          <w:tab w:val="clear" w:pos="720"/>
        </w:tabs>
        <w:ind w:left="993" w:hanging="993"/>
        <w:rPr>
          <w:szCs w:val="24"/>
        </w:rPr>
      </w:pPr>
      <w:r w:rsidRPr="00E34329">
        <w:rPr>
          <w:szCs w:val="24"/>
        </w:rPr>
        <w:t>Shri D.S. Verma Executive Director, Indian Industries Association submitted that due to electrical load conditions, the power factor of the consumer is leading. In such situation the leading power factor gets the same treatment as that for lagging power factor while computing electricity bills and the consumer is penalized with higher electricity bills. If power factor in the consumer’s premises is leading then the power factor should be treated as unity.</w:t>
      </w:r>
    </w:p>
    <w:p w:rsidR="0026266F" w:rsidRPr="003D2C56" w:rsidRDefault="0026266F" w:rsidP="0026266F">
      <w:pPr>
        <w:pStyle w:val="ListParagraph"/>
        <w:rPr>
          <w:rFonts w:cs="Calibri"/>
        </w:rPr>
      </w:pPr>
    </w:p>
    <w:p w:rsidR="0026266F" w:rsidRPr="003D2C56" w:rsidRDefault="00E34329" w:rsidP="0026266F">
      <w:pPr>
        <w:numPr>
          <w:ilvl w:val="0"/>
          <w:numId w:val="191"/>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s>
        <w:ind w:left="993" w:hanging="993"/>
        <w:rPr>
          <w:szCs w:val="24"/>
        </w:rPr>
      </w:pPr>
      <w:r w:rsidRPr="00E34329">
        <w:rPr>
          <w:szCs w:val="24"/>
        </w:rPr>
        <w:t>The Licensee submitted that the kVAh based billing is being done as per the Tariff Orders of the Commission.</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pStyle w:val="ListParagraph"/>
        <w:numPr>
          <w:ilvl w:val="0"/>
          <w:numId w:val="191"/>
        </w:numPr>
        <w:spacing w:before="0"/>
        <w:contextualSpacing/>
        <w:rPr>
          <w:b/>
          <w:i/>
        </w:rPr>
      </w:pPr>
      <w:r w:rsidRPr="00E34329">
        <w:rPr>
          <w:b/>
          <w:i/>
        </w:rPr>
        <w:t>The Commission’s view:</w:t>
      </w:r>
    </w:p>
    <w:p w:rsidR="00D5771F" w:rsidRDefault="00E34329">
      <w:pPr>
        <w:pStyle w:val="Heading3"/>
        <w:tabs>
          <w:tab w:val="clear" w:pos="720"/>
        </w:tabs>
        <w:ind w:left="993" w:hanging="993"/>
        <w:rPr>
          <w:szCs w:val="24"/>
        </w:rPr>
      </w:pPr>
      <w:r w:rsidRPr="00E34329">
        <w:rPr>
          <w:szCs w:val="24"/>
        </w:rPr>
        <w:t xml:space="preserve">The Commission has taken note of the objections / suggestions made by the stakeholders with regard to kVAh billing of the consumers. The Commission feels that kVAh billing is a better way of billing than kWh which helps in enhancing system performance by encouraging the consumers to correct their power factor. The Commission has also addressed this issue in the Tariff Philosophy chapter. </w:t>
      </w:r>
    </w:p>
    <w:p w:rsidR="00D5771F" w:rsidRDefault="00D5771F">
      <w:pPr>
        <w:pStyle w:val="Heading3"/>
        <w:numPr>
          <w:ilvl w:val="0"/>
          <w:numId w:val="0"/>
        </w:numPr>
        <w:tabs>
          <w:tab w:val="clear" w:pos="720"/>
        </w:tabs>
        <w:ind w:left="993"/>
        <w:rPr>
          <w:szCs w:val="24"/>
        </w:rPr>
      </w:pPr>
    </w:p>
    <w:p w:rsidR="00D5771F" w:rsidRDefault="00E34329">
      <w:pPr>
        <w:pStyle w:val="Heading2"/>
        <w:spacing w:line="276" w:lineRule="auto"/>
        <w:rPr>
          <w:rFonts w:ascii="Calibri" w:hAnsi="Calibri"/>
        </w:rPr>
      </w:pPr>
      <w:bookmarkStart w:id="104" w:name="_Toc454277466"/>
      <w:bookmarkStart w:id="105" w:name="_Toc457603895"/>
      <w:r w:rsidRPr="00E34329">
        <w:rPr>
          <w:rFonts w:ascii="Calibri" w:hAnsi="Calibri"/>
        </w:rPr>
        <w:t>TARIFF HIKE</w:t>
      </w:r>
      <w:bookmarkEnd w:id="104"/>
      <w:bookmarkEnd w:id="105"/>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pStyle w:val="ListParagraph"/>
        <w:numPr>
          <w:ilvl w:val="0"/>
          <w:numId w:val="192"/>
        </w:numPr>
        <w:spacing w:before="0"/>
        <w:contextualSpacing/>
        <w:rPr>
          <w:b/>
          <w:i/>
        </w:rPr>
      </w:pPr>
      <w:r w:rsidRPr="00E34329">
        <w:rPr>
          <w:b/>
          <w:i/>
        </w:rPr>
        <w:t>Comments/Suggestions of the Public</w:t>
      </w:r>
    </w:p>
    <w:p w:rsidR="00D5771F" w:rsidRDefault="00E34329">
      <w:pPr>
        <w:pStyle w:val="Heading3"/>
        <w:tabs>
          <w:tab w:val="clear" w:pos="720"/>
        </w:tabs>
        <w:ind w:left="993" w:hanging="993"/>
        <w:rPr>
          <w:bCs w:val="0"/>
          <w:szCs w:val="24"/>
        </w:rPr>
      </w:pPr>
      <w:r w:rsidRPr="00E34329">
        <w:rPr>
          <w:szCs w:val="24"/>
        </w:rPr>
        <w:t>Shri K. L. Aggarwal Chairman, Associate Chambers of Commerce &amp; Industries of U. P submitted that the sharp upward revision on fixed charges for LMV-2 (a), LMV-2 (c), LMV-4(b), LMV-6 and LMV-9 (b) will ruin the economic growth of MSME sector in both Urban and Rural areas.</w:t>
      </w:r>
    </w:p>
    <w:p w:rsidR="00D5771F" w:rsidRDefault="00E34329">
      <w:pPr>
        <w:pStyle w:val="Heading3"/>
        <w:tabs>
          <w:tab w:val="clear" w:pos="720"/>
        </w:tabs>
        <w:ind w:left="993" w:hanging="993"/>
        <w:rPr>
          <w:bCs w:val="0"/>
          <w:szCs w:val="24"/>
        </w:rPr>
      </w:pPr>
      <w:r w:rsidRPr="00E34329">
        <w:rPr>
          <w:szCs w:val="24"/>
        </w:rPr>
        <w:t>Shri Vishnu Bhagwan Agarwal Chairman, Agra Chapter, ASSOCHAM, U.P and Shri Ashok Kumar Goyal, President of National Chamber of Industries &amp; Commerce submitted that no further increase in tariff should be allowed for LMV-6 and HV-1 consumers in line with Delhi and the other neighbouring States so that the products manufactured could be made competitive.</w:t>
      </w:r>
    </w:p>
    <w:p w:rsidR="00D5771F" w:rsidRDefault="00E34329">
      <w:pPr>
        <w:pStyle w:val="Heading3"/>
        <w:tabs>
          <w:tab w:val="clear" w:pos="720"/>
        </w:tabs>
        <w:ind w:left="993" w:hanging="993"/>
        <w:rPr>
          <w:bCs w:val="0"/>
          <w:szCs w:val="24"/>
        </w:rPr>
      </w:pPr>
      <w:r w:rsidRPr="00E34329">
        <w:rPr>
          <w:szCs w:val="24"/>
        </w:rPr>
        <w:t xml:space="preserve">Shri Anand Singh Secretary, Laghu Udyog Bharti submitted that small &amp; medium enterprises are main sources of employment in the States like U.P. Hence, instead of increasing the tariff of LMV-6 it should be reduced and in rural areas rebate for said category be increased up to 50%. </w:t>
      </w:r>
    </w:p>
    <w:p w:rsidR="00D5771F" w:rsidRDefault="00E34329">
      <w:pPr>
        <w:pStyle w:val="Heading3"/>
        <w:tabs>
          <w:tab w:val="clear" w:pos="720"/>
        </w:tabs>
        <w:ind w:left="993" w:hanging="993"/>
        <w:rPr>
          <w:szCs w:val="24"/>
        </w:rPr>
      </w:pPr>
      <w:r w:rsidRPr="00E34329">
        <w:rPr>
          <w:szCs w:val="24"/>
        </w:rPr>
        <w:t xml:space="preserve">Shri Avadhesh Kumar, Chairman, Uttar Pradesh Rajya Vidyut Upbhoktha Parishad submitted that tariff for rural schedule should not be increased on the verge of increased hours of supply. It is further submitted that Discoms have to charge lower fixed charges from the consumers where power supply is less than 16 hours. </w:t>
      </w:r>
    </w:p>
    <w:p w:rsidR="00D5771F" w:rsidRDefault="00E34329">
      <w:pPr>
        <w:pStyle w:val="Heading3"/>
        <w:tabs>
          <w:tab w:val="clear" w:pos="720"/>
        </w:tabs>
        <w:ind w:left="993" w:hanging="993"/>
        <w:rPr>
          <w:szCs w:val="24"/>
        </w:rPr>
      </w:pPr>
      <w:r w:rsidRPr="00E34329">
        <w:rPr>
          <w:szCs w:val="24"/>
        </w:rPr>
        <w:lastRenderedPageBreak/>
        <w:t>Shri Ganesh Tiwari President, U.P. Chamber of Steel Industries Association submitted that losses have increased abnormally since 1998. Thus, tremendous increase in losses gives impact in increase rates. Controlling the losses is the duty of UPPCL but their inefficiency is being burdened on the industry by increasing tariff rates. Stakeholder further submitted that due to highest rate of tariff, the industries are unable to run. Stakeholder further requested Commission to reduce the tariff.</w:t>
      </w:r>
    </w:p>
    <w:p w:rsidR="00D5771F" w:rsidRDefault="00E34329">
      <w:pPr>
        <w:pStyle w:val="Heading3"/>
        <w:tabs>
          <w:tab w:val="clear" w:pos="720"/>
        </w:tabs>
        <w:ind w:left="993" w:hanging="993"/>
        <w:rPr>
          <w:szCs w:val="24"/>
        </w:rPr>
      </w:pPr>
      <w:r w:rsidRPr="00E34329">
        <w:rPr>
          <w:szCs w:val="24"/>
        </w:rPr>
        <w:t>Shri Gyan Chandra Varshney, Aligarh Udyog Vyapar Pratinidhi Mandal submitted that increasing the tariff indicates that honest consumer is forcefully burdened with loss due to theft, hence in spite of increasing Tariff, AT &amp;C losses must be reduced and cheaper power to be made available to the consumers.</w:t>
      </w:r>
    </w:p>
    <w:p w:rsidR="00D5771F" w:rsidRDefault="00E34329">
      <w:pPr>
        <w:pStyle w:val="Heading3"/>
        <w:tabs>
          <w:tab w:val="clear" w:pos="720"/>
        </w:tabs>
        <w:ind w:left="993" w:hanging="993"/>
        <w:rPr>
          <w:szCs w:val="24"/>
        </w:rPr>
      </w:pPr>
      <w:r w:rsidRPr="00E34329">
        <w:rPr>
          <w:szCs w:val="24"/>
        </w:rPr>
        <w:t xml:space="preserve">ANSAL API, Kasturba Ghandhi Marg New Delhi submitted that there is steep increase in tariff proposal from the tariff determined for HV-1 category in Tariff Order dated 18.06.2015 which is unsuitable and arbitrary. </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numPr>
          <w:ilvl w:val="0"/>
          <w:numId w:val="192"/>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s>
        <w:ind w:left="993" w:hanging="993"/>
        <w:rPr>
          <w:szCs w:val="24"/>
        </w:rPr>
      </w:pPr>
      <w:r w:rsidRPr="00E34329">
        <w:rPr>
          <w:szCs w:val="24"/>
        </w:rPr>
        <w:t>The Licensee submitted that the Annual Revenue Requirement is being determined in accordance with the Tariff Regulations framed by the Commission. The Tariff is being proposed to recover the gap between the Annual Revenue Requirement and the revenue at current tariffs. Different States have different cost of service, subsidy levels, different power procurement costs, etc., and hence, while fixing tariffs all these issues have to be taken into account. The Licensees have submitted that the Retail Tariff for each category within the State has been kept uniform as per guidelines provided in the Sec 8.4 (2) of the National Tariff Policy issued by Ministry of Power, Government of India.</w:t>
      </w:r>
    </w:p>
    <w:p w:rsidR="00D5771F" w:rsidRDefault="00E34329">
      <w:pPr>
        <w:pStyle w:val="Heading3"/>
        <w:tabs>
          <w:tab w:val="clear" w:pos="720"/>
        </w:tabs>
        <w:ind w:left="993" w:hanging="993"/>
        <w:rPr>
          <w:szCs w:val="24"/>
        </w:rPr>
      </w:pPr>
      <w:r w:rsidRPr="00E34329">
        <w:rPr>
          <w:szCs w:val="24"/>
        </w:rPr>
        <w:t xml:space="preserve">The Licensee submitted that the power purchase cost projections have been made in the Tariff Petition as per the latest power purchase bills. Additionally, the Commission had sought the month wise details of the power purchase bills for the last three years. Such details already submitted to the Commission. It is evident that the licensee is not getting cheap power from the generators. </w:t>
      </w:r>
    </w:p>
    <w:p w:rsidR="00D5771F" w:rsidRDefault="00E34329">
      <w:pPr>
        <w:pStyle w:val="Heading3"/>
        <w:tabs>
          <w:tab w:val="clear" w:pos="720"/>
        </w:tabs>
        <w:ind w:left="993" w:hanging="993"/>
        <w:rPr>
          <w:szCs w:val="24"/>
        </w:rPr>
      </w:pPr>
      <w:r w:rsidRPr="00E34329">
        <w:rPr>
          <w:szCs w:val="24"/>
        </w:rPr>
        <w:t>The cross subsidy levels for HT consumers are within the threshold limits prescribed under the Tariff Policy. The Tariff has been proposed in line with the Tariff Regulations framed by the Commission, the National Tariff Policy, 2006 and the Electricity Act, 2003.</w:t>
      </w:r>
    </w:p>
    <w:p w:rsidR="00D5771F" w:rsidRDefault="00E34329">
      <w:pPr>
        <w:pStyle w:val="Heading3"/>
        <w:tabs>
          <w:tab w:val="clear" w:pos="720"/>
        </w:tabs>
        <w:ind w:left="993" w:hanging="993"/>
        <w:rPr>
          <w:szCs w:val="24"/>
        </w:rPr>
      </w:pPr>
      <w:r w:rsidRPr="00E34329">
        <w:rPr>
          <w:szCs w:val="24"/>
        </w:rPr>
        <w:lastRenderedPageBreak/>
        <w:t>The Licensee further submitted that while framing the proposal for rate revision in FY 2016-17, it has considered the broad aspects laid down in the Tariff Policy, Electricity Act 2003, Tariff Regulations, actual consumer profile and realities existing at the ground and has also considered the prevailing tariff structures across the different States. Further, the underlying objective is such that consumers with higher consumption should pay near the cost of service. Based on such aspects, the licensees feel that it has taken a balanced view of various pertinent issues.</w:t>
      </w:r>
    </w:p>
    <w:p w:rsidR="00D5771F" w:rsidRDefault="00E34329">
      <w:pPr>
        <w:pStyle w:val="Heading3"/>
        <w:tabs>
          <w:tab w:val="clear" w:pos="720"/>
        </w:tabs>
        <w:ind w:left="993" w:hanging="993"/>
        <w:rPr>
          <w:szCs w:val="24"/>
        </w:rPr>
      </w:pPr>
      <w:r w:rsidRPr="00E34329">
        <w:rPr>
          <w:szCs w:val="24"/>
        </w:rPr>
        <w:t>The Licensee has submitted the tariff revision proposals considering its power purchase cost from various sources, normative operating expenditure and the overall cost of service. While framing the tariff, the Petitioner was guided by the provisions of the UPERC (Terms and Conditions of Distribution Tariff) Regulations, 2006, Tariff Policy 2006 and the Electricity Act, 2003.</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192"/>
        </w:numPr>
        <w:spacing w:before="0"/>
        <w:contextualSpacing/>
        <w:rPr>
          <w:b/>
          <w:i/>
        </w:rPr>
      </w:pPr>
      <w:r w:rsidRPr="00E34329">
        <w:rPr>
          <w:b/>
          <w:i/>
        </w:rPr>
        <w:t>The Commission’s view:</w:t>
      </w:r>
    </w:p>
    <w:p w:rsidR="00D5771F" w:rsidRDefault="00E34329">
      <w:pPr>
        <w:pStyle w:val="Heading3"/>
        <w:tabs>
          <w:tab w:val="clear" w:pos="720"/>
        </w:tabs>
        <w:ind w:left="993" w:hanging="993"/>
        <w:rPr>
          <w:szCs w:val="24"/>
        </w:rPr>
      </w:pPr>
      <w:r w:rsidRPr="00E34329">
        <w:rPr>
          <w:szCs w:val="24"/>
        </w:rPr>
        <w:t>The Commission has taken note of the objections / suggestions made by the stakeholders in this regards. The applicable Tariffs for all the consumer categories have been designed in accordance with the Electricity Act, 2003 and the Tariff Policy. The details of all the aspects related to approval of ARR and Tariff design have been covered subsequently in ARR for FY 2016-17, Tariff Philosophy and Rate Schedule chapters of this Order.</w:t>
      </w:r>
    </w:p>
    <w:p w:rsidR="0026266F" w:rsidRPr="003D2C56" w:rsidRDefault="0026266F" w:rsidP="0026266F">
      <w:pPr>
        <w:pStyle w:val="ListParagraph"/>
        <w:rPr>
          <w:rFonts w:cs="Calibri"/>
          <w:color w:val="000000"/>
        </w:rPr>
      </w:pPr>
    </w:p>
    <w:p w:rsidR="00D5771F" w:rsidRDefault="00E34329">
      <w:pPr>
        <w:pStyle w:val="Heading2"/>
        <w:spacing w:line="276" w:lineRule="auto"/>
        <w:rPr>
          <w:rFonts w:ascii="Calibri" w:hAnsi="Calibri"/>
        </w:rPr>
      </w:pPr>
      <w:bookmarkStart w:id="106" w:name="_Toc454277467"/>
      <w:bookmarkStart w:id="107" w:name="_Toc457603896"/>
      <w:r w:rsidRPr="00E34329">
        <w:rPr>
          <w:rFonts w:ascii="Calibri" w:hAnsi="Calibri"/>
        </w:rPr>
        <w:t>REDUCED HOURS OF SUPPLY</w:t>
      </w:r>
      <w:bookmarkEnd w:id="106"/>
      <w:bookmarkEnd w:id="107"/>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numPr>
          <w:ilvl w:val="0"/>
          <w:numId w:val="193"/>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szCs w:val="24"/>
        </w:rPr>
      </w:pPr>
      <w:r w:rsidRPr="00E34329">
        <w:rPr>
          <w:szCs w:val="24"/>
        </w:rPr>
        <w:t>Shri Gyan Chandra Varshney, Aligarh Udyog Vyapar Pratinidhi Mandal submitted that there is un-declared power cut of approx 6 to 8 hours in Mahanagar areas, against 2 hours as per Order. Because of this business is affected and businessmen are forced to move. It is requested that power supply to the commercial category should be provided from 10 Am to 8 PM.</w:t>
      </w:r>
    </w:p>
    <w:p w:rsidR="006C63AF" w:rsidRDefault="006C63AF" w:rsidP="006C63AF">
      <w:pPr>
        <w:pStyle w:val="Heading3"/>
        <w:numPr>
          <w:ilvl w:val="0"/>
          <w:numId w:val="0"/>
        </w:numPr>
        <w:tabs>
          <w:tab w:val="clear" w:pos="720"/>
        </w:tabs>
        <w:rPr>
          <w:szCs w:val="24"/>
        </w:rPr>
      </w:pPr>
    </w:p>
    <w:p w:rsidR="0026266F" w:rsidRPr="003D2C56" w:rsidRDefault="00E34329" w:rsidP="0026266F">
      <w:pPr>
        <w:numPr>
          <w:ilvl w:val="0"/>
          <w:numId w:val="193"/>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lastRenderedPageBreak/>
        <w:t>The Licensee submitted that the hours of supply is normally as per schedule, however, sometimes it may be less than that of schedule hours due to emergency rostering which is beyond the control of the Licensees.</w:t>
      </w:r>
    </w:p>
    <w:p w:rsidR="0026266F" w:rsidRPr="003D2C56" w:rsidRDefault="00E34329" w:rsidP="0026266F">
      <w:pPr>
        <w:pStyle w:val="Heading3"/>
        <w:numPr>
          <w:ilvl w:val="0"/>
          <w:numId w:val="0"/>
        </w:numPr>
        <w:tabs>
          <w:tab w:val="clear" w:pos="720"/>
          <w:tab w:val="left" w:pos="4860"/>
        </w:tabs>
        <w:ind w:left="993"/>
        <w:rPr>
          <w:bCs w:val="0"/>
          <w:szCs w:val="24"/>
        </w:rPr>
      </w:pPr>
      <w:r w:rsidRPr="00E34329">
        <w:rPr>
          <w:szCs w:val="24"/>
        </w:rPr>
        <w:t>Regarding, the demand supply gap, the Licensee submitted that it is endeavouring to reduce the distribution losses. Capacity augmentation is being planned by the State Government. The growth in the capacity addition has been outnumbered by the growth in the demand.</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193"/>
        </w:numPr>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 xml:space="preserve">The Commission has noted the objections / suggestions of the stakeholders in this regards. The Licensee should properly plan and take corrective measures for reducing the demand supply gap. </w:t>
      </w:r>
    </w:p>
    <w:p w:rsidR="0026266F" w:rsidRPr="003D2C56" w:rsidRDefault="0026266F" w:rsidP="0026266F">
      <w:pPr>
        <w:pStyle w:val="Heading3"/>
        <w:numPr>
          <w:ilvl w:val="0"/>
          <w:numId w:val="0"/>
        </w:numPr>
        <w:tabs>
          <w:tab w:val="clear" w:pos="720"/>
          <w:tab w:val="left" w:pos="4860"/>
        </w:tabs>
        <w:ind w:left="993"/>
        <w:rPr>
          <w:szCs w:val="24"/>
        </w:rPr>
      </w:pPr>
    </w:p>
    <w:p w:rsidR="00D5771F" w:rsidRDefault="00E34329">
      <w:pPr>
        <w:pStyle w:val="Heading2"/>
        <w:spacing w:line="276" w:lineRule="auto"/>
        <w:rPr>
          <w:rFonts w:ascii="Calibri" w:hAnsi="Calibri"/>
        </w:rPr>
      </w:pPr>
      <w:bookmarkStart w:id="108" w:name="_Toc453522765"/>
      <w:bookmarkStart w:id="109" w:name="_Toc454277468"/>
      <w:bookmarkStart w:id="110" w:name="_Toc457603897"/>
      <w:bookmarkEnd w:id="108"/>
      <w:r w:rsidRPr="00E34329">
        <w:rPr>
          <w:rFonts w:ascii="Calibri" w:hAnsi="Calibri"/>
        </w:rPr>
        <w:t>T&amp;D LOSSES AND AT&amp;C LOSSES</w:t>
      </w:r>
      <w:bookmarkEnd w:id="109"/>
      <w:bookmarkEnd w:id="110"/>
    </w:p>
    <w:p w:rsidR="0026266F" w:rsidRPr="003D2C56" w:rsidRDefault="0026266F" w:rsidP="0026266F">
      <w:pPr>
        <w:pStyle w:val="Heading2"/>
        <w:numPr>
          <w:ilvl w:val="0"/>
          <w:numId w:val="0"/>
        </w:numPr>
        <w:spacing w:line="276" w:lineRule="auto"/>
        <w:rPr>
          <w:rFonts w:ascii="Calibri" w:hAnsi="Calibri"/>
        </w:rPr>
      </w:pPr>
    </w:p>
    <w:p w:rsidR="0026266F" w:rsidRPr="003D2C56" w:rsidRDefault="00E34329" w:rsidP="0026266F">
      <w:pPr>
        <w:numPr>
          <w:ilvl w:val="0"/>
          <w:numId w:val="194"/>
        </w:numPr>
        <w:spacing w:before="0"/>
        <w:contextualSpacing/>
        <w:rPr>
          <w:b/>
          <w:bCs/>
        </w:rPr>
      </w:pPr>
      <w:r w:rsidRPr="00E34329">
        <w:rPr>
          <w:rFonts w:cs="Calibri"/>
          <w:b/>
          <w:bCs/>
          <w:i/>
          <w:iCs/>
        </w:rPr>
        <w:t>Comments/Suggestions of the Public</w:t>
      </w:r>
    </w:p>
    <w:p w:rsidR="00D5771F" w:rsidRDefault="00E34329">
      <w:pPr>
        <w:pStyle w:val="Heading3"/>
        <w:tabs>
          <w:tab w:val="clear" w:pos="720"/>
          <w:tab w:val="left" w:pos="4860"/>
        </w:tabs>
        <w:ind w:left="993" w:hanging="993"/>
        <w:rPr>
          <w:bCs w:val="0"/>
          <w:szCs w:val="24"/>
        </w:rPr>
      </w:pPr>
      <w:r w:rsidRPr="00E34329">
        <w:rPr>
          <w:szCs w:val="24"/>
        </w:rPr>
        <w:t xml:space="preserve">Shri K. L. Aggarwal chairman Associate Chambers of Commerce &amp; Industries of U. P submitted that line losses data submitted by Discoms must be audited separately by outside independent agency duly approved by the Commission. Further, the stakeholder submitted that if Discoms are not able to achieve losses as per loss trajectory, the additional losses should be borne by the Discoms. </w:t>
      </w:r>
    </w:p>
    <w:p w:rsidR="00D5771F" w:rsidRDefault="00E34329">
      <w:pPr>
        <w:pStyle w:val="Heading3"/>
        <w:tabs>
          <w:tab w:val="clear" w:pos="720"/>
          <w:tab w:val="left" w:pos="4860"/>
        </w:tabs>
        <w:ind w:left="993" w:hanging="993"/>
        <w:rPr>
          <w:bCs w:val="0"/>
          <w:szCs w:val="24"/>
        </w:rPr>
      </w:pPr>
      <w:r w:rsidRPr="00E34329">
        <w:rPr>
          <w:szCs w:val="24"/>
        </w:rPr>
        <w:t xml:space="preserve"> Shri D.S.Verma Executive Director, Indian Industries Association submitted that incentives should be extended to the consumers and Discoms Employees where T&amp;D loss are less, lower the losses higher should be the incentiv</w:t>
      </w:r>
      <w:r w:rsidRPr="00E34329">
        <w:rPr>
          <w:bCs w:val="0"/>
          <w:szCs w:val="24"/>
        </w:rPr>
        <w:t>e</w:t>
      </w:r>
      <w:r w:rsidRPr="00E34329">
        <w:rPr>
          <w:szCs w:val="24"/>
        </w:rPr>
        <w:t>. It is further stated that till Discoms bring down the losses to less than 15%, strict actions may be taken against them and the Commission may not allow any hike in the tariff.</w:t>
      </w:r>
    </w:p>
    <w:p w:rsidR="00D5771F" w:rsidRDefault="00E34329">
      <w:pPr>
        <w:pStyle w:val="Heading3"/>
        <w:tabs>
          <w:tab w:val="clear" w:pos="720"/>
          <w:tab w:val="left" w:pos="4860"/>
        </w:tabs>
        <w:ind w:left="993" w:hanging="993"/>
        <w:rPr>
          <w:szCs w:val="24"/>
        </w:rPr>
      </w:pPr>
      <w:r w:rsidRPr="00E34329">
        <w:rPr>
          <w:szCs w:val="24"/>
        </w:rPr>
        <w:t>Shri Ashok Kumar Aggarwal President, National Chamber of Industries &amp; Commerce, U.P. submitted that there is zero line loss on industrial feeders and connections and the revenue realization is 110%. Stakeholder further submitted that this Honest and soft target is being unduly penalized in Tariff fixation because of line losses created by unmetered rural and politically supported consumers.</w:t>
      </w:r>
    </w:p>
    <w:p w:rsidR="00D5771F" w:rsidRDefault="00E34329">
      <w:pPr>
        <w:pStyle w:val="Heading3"/>
        <w:tabs>
          <w:tab w:val="clear" w:pos="720"/>
          <w:tab w:val="left" w:pos="4860"/>
        </w:tabs>
        <w:ind w:left="993" w:hanging="993"/>
        <w:rPr>
          <w:szCs w:val="24"/>
        </w:rPr>
      </w:pPr>
      <w:r w:rsidRPr="00E34329">
        <w:rPr>
          <w:szCs w:val="24"/>
        </w:rPr>
        <w:t xml:space="preserve">Shri Avadhesh Kumar, Chairman, Uttar Pradesh Rajya Vidyut Upbhoktha Parishad submitted that High Power Committee constituted by Hon’ble Supreme Court has </w:t>
      </w:r>
      <w:r w:rsidRPr="00E34329">
        <w:rPr>
          <w:szCs w:val="24"/>
        </w:rPr>
        <w:lastRenderedPageBreak/>
        <w:t>recommended time bound reduction in T&amp;D losses to 12% by FY 2003-04 which was also accepted by the Energy Task force, constituted by GoUP. Stakeholder further submitted that as per affidavit the Licensee must have saved approx Rs. 27000 Crore by now. Stakeholder requested the Commission to provide benefit of this to consumers.</w:t>
      </w:r>
    </w:p>
    <w:p w:rsidR="00D5771F" w:rsidRDefault="00E34329">
      <w:pPr>
        <w:pStyle w:val="Heading3"/>
        <w:tabs>
          <w:tab w:val="clear" w:pos="720"/>
          <w:tab w:val="left" w:pos="4860"/>
        </w:tabs>
        <w:ind w:left="993" w:hanging="993"/>
        <w:rPr>
          <w:szCs w:val="24"/>
        </w:rPr>
      </w:pPr>
      <w:r w:rsidRPr="00E34329">
        <w:rPr>
          <w:szCs w:val="24"/>
        </w:rPr>
        <w:t>Shri B.K. Gujrati Submitted that power companies should upload line losses of feeders on the website and also supply plan for the month of each feeder per day in hours as it will increase transparency in the system.</w:t>
      </w:r>
    </w:p>
    <w:p w:rsidR="00D5771F" w:rsidRDefault="00E34329">
      <w:pPr>
        <w:pStyle w:val="Heading3"/>
        <w:tabs>
          <w:tab w:val="clear" w:pos="720"/>
          <w:tab w:val="left" w:pos="4860"/>
        </w:tabs>
        <w:ind w:left="993" w:hanging="993"/>
        <w:rPr>
          <w:szCs w:val="24"/>
        </w:rPr>
      </w:pPr>
      <w:r w:rsidRPr="00E34329">
        <w:rPr>
          <w:szCs w:val="24"/>
        </w:rPr>
        <w:t>Shri Niraj Khandelwal, B.L. Agro Oils Limited submitted that the cost of construction of substation increases with voltage of supply, and at the same time Discoms do not invest any amount to construct such substations. Further, at higher voltage services T&amp;D losses becomes zero as consumer gets supply directly from 220 kV substations. Hence, the consumers who are having services of higher voltage are generally zero arrear consumers. This results in lesser AT&amp;C losses to the Discoms. Stakeholder further requested the Commission to maintain the ratio of rates for HV-2 category for different type of voltage supply as it was in 2008-09.</w:t>
      </w:r>
    </w:p>
    <w:p w:rsidR="00D5771F" w:rsidRDefault="00E34329">
      <w:pPr>
        <w:pStyle w:val="Heading3"/>
        <w:tabs>
          <w:tab w:val="clear" w:pos="720"/>
          <w:tab w:val="left" w:pos="4860"/>
        </w:tabs>
        <w:ind w:left="993" w:hanging="993"/>
        <w:rPr>
          <w:szCs w:val="24"/>
        </w:rPr>
      </w:pPr>
      <w:r w:rsidRPr="00E34329">
        <w:rPr>
          <w:szCs w:val="24"/>
        </w:rPr>
        <w:t>Shri Rama Shanker Awasthi submitted that there is no progress in reduction of line loss from FY 2011-12 to FY 2015-16. The State Discoms are reluctant in reducing the distribution loss, therefore, stringent action must be taken against the State Discoms. Stakeholder further submitted that even if the Discoms failed to achieve the target, the Commission should disallow line loss.</w:t>
      </w:r>
    </w:p>
    <w:p w:rsidR="00D5771F" w:rsidRDefault="00E34329">
      <w:pPr>
        <w:pStyle w:val="Heading3"/>
        <w:tabs>
          <w:tab w:val="clear" w:pos="720"/>
          <w:tab w:val="left" w:pos="4860"/>
        </w:tabs>
        <w:ind w:left="993" w:hanging="993"/>
        <w:rPr>
          <w:szCs w:val="24"/>
        </w:rPr>
      </w:pPr>
      <w:r w:rsidRPr="00E34329">
        <w:rPr>
          <w:szCs w:val="24"/>
        </w:rPr>
        <w:t>Miss Romi, Global Care Organization submitted that the Commission should do prudence check of power theft issue in the State and should penalize the Licensees for such losses.</w:t>
      </w:r>
    </w:p>
    <w:p w:rsidR="00D5771F" w:rsidRDefault="00E34329">
      <w:pPr>
        <w:pStyle w:val="Heading3"/>
        <w:tabs>
          <w:tab w:val="clear" w:pos="720"/>
          <w:tab w:val="left" w:pos="4860"/>
        </w:tabs>
        <w:ind w:left="993" w:hanging="993"/>
        <w:rPr>
          <w:szCs w:val="24"/>
        </w:rPr>
      </w:pPr>
      <w:r w:rsidRPr="00E34329">
        <w:rPr>
          <w:szCs w:val="24"/>
        </w:rPr>
        <w:t xml:space="preserve">Shri Vimal Kumar Kemani, TRAP submitted that due to corruption, power theft is going on large scale in the State and strong steps should be taken to reduce the inefficiency and corruption. </w:t>
      </w:r>
    </w:p>
    <w:p w:rsidR="00D5771F" w:rsidRDefault="00E34329">
      <w:pPr>
        <w:pStyle w:val="Heading3"/>
        <w:tabs>
          <w:tab w:val="clear" w:pos="720"/>
          <w:tab w:val="left" w:pos="4860"/>
        </w:tabs>
        <w:ind w:left="993" w:hanging="993"/>
        <w:rPr>
          <w:szCs w:val="24"/>
        </w:rPr>
      </w:pPr>
      <w:r w:rsidRPr="00E34329">
        <w:rPr>
          <w:szCs w:val="24"/>
        </w:rPr>
        <w:t>Shri Avadhesh Kumar, Chairman, Uttar Pradesh Rajya Vidyut Upbhoktha Parishad submitted that there is loss of approx. Rs 7000 to Rs 8000 Crore due to power theft every year. It can be seen there is 26.84% line losses in the 11 kV feeder of Chirauri, Ghaziabad and 38.12 % line losses registered for Rohana mill feeder, Saharanpur. The drive to control power theft seems ineffective. Stakeholder further requested the Commission that the loss due to power theft should not be passed on to the consumers.</w:t>
      </w:r>
    </w:p>
    <w:p w:rsidR="00D5771F" w:rsidRDefault="00E34329">
      <w:pPr>
        <w:pStyle w:val="Heading3"/>
        <w:tabs>
          <w:tab w:val="clear" w:pos="720"/>
          <w:tab w:val="left" w:pos="4860"/>
        </w:tabs>
        <w:ind w:left="993" w:hanging="993"/>
        <w:rPr>
          <w:szCs w:val="24"/>
        </w:rPr>
      </w:pPr>
      <w:r w:rsidRPr="00E34329">
        <w:rPr>
          <w:szCs w:val="24"/>
        </w:rPr>
        <w:lastRenderedPageBreak/>
        <w:t xml:space="preserve">Shri Sandeep Ranjan Gupta submitted that the overhead lines should be underground to reduce the power theft. </w:t>
      </w:r>
    </w:p>
    <w:p w:rsidR="0026266F" w:rsidRPr="003D2C56" w:rsidRDefault="0026266F" w:rsidP="0026266F">
      <w:pPr>
        <w:ind w:left="360"/>
        <w:contextualSpacing/>
        <w:rPr>
          <w:rFonts w:cs="Calibri"/>
          <w:b/>
          <w:bCs/>
          <w:i/>
          <w:iCs/>
        </w:rPr>
      </w:pPr>
    </w:p>
    <w:p w:rsidR="0026266F" w:rsidRPr="003D2C56" w:rsidRDefault="00E34329" w:rsidP="0026266F">
      <w:pPr>
        <w:numPr>
          <w:ilvl w:val="0"/>
          <w:numId w:val="194"/>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 xml:space="preserve">The Licensee submitted that it has planned and proposed a gradual reduction in distribution losses up to FY 2021-22 in line with the directives of the Ministry of Power, Govt. of India. </w:t>
      </w:r>
    </w:p>
    <w:p w:rsidR="00D5771F" w:rsidRDefault="00E34329">
      <w:pPr>
        <w:pStyle w:val="Heading3"/>
        <w:tabs>
          <w:tab w:val="clear" w:pos="720"/>
          <w:tab w:val="left" w:pos="4860"/>
        </w:tabs>
        <w:ind w:left="993" w:hanging="993"/>
        <w:rPr>
          <w:szCs w:val="24"/>
        </w:rPr>
      </w:pPr>
      <w:r w:rsidRPr="00E34329">
        <w:rPr>
          <w:szCs w:val="24"/>
        </w:rPr>
        <w:t>All efforts are being made to reduce the losses as the same is beneficial to the utility as well. Tariff revision exercise is done on the basis of normative loss level. It may be noted that when losses are assumed on lower side then tariff will automatically be lesser. Hence, loss level projection is not against the interest of the consumers.</w:t>
      </w:r>
    </w:p>
    <w:p w:rsidR="00D5771F" w:rsidRDefault="00E34329">
      <w:pPr>
        <w:pStyle w:val="Heading3"/>
        <w:tabs>
          <w:tab w:val="clear" w:pos="720"/>
          <w:tab w:val="left" w:pos="4860"/>
        </w:tabs>
        <w:ind w:left="993" w:hanging="993"/>
        <w:rPr>
          <w:szCs w:val="24"/>
        </w:rPr>
      </w:pPr>
      <w:r w:rsidRPr="00E34329">
        <w:rPr>
          <w:szCs w:val="24"/>
        </w:rPr>
        <w:t>The Licensee submitted that the Commission has already issued directions to the Licensees to initiate base line loss estimation studies for assessment of technical and commercial losses. The Licensee would be appointing consulting firms for undertaking the said studies.</w:t>
      </w:r>
    </w:p>
    <w:p w:rsidR="00D5771F" w:rsidRDefault="00E34329">
      <w:pPr>
        <w:pStyle w:val="Heading3"/>
        <w:tabs>
          <w:tab w:val="clear" w:pos="720"/>
          <w:tab w:val="left" w:pos="4860"/>
        </w:tabs>
        <w:ind w:left="993" w:hanging="993"/>
        <w:rPr>
          <w:szCs w:val="24"/>
        </w:rPr>
      </w:pPr>
      <w:r w:rsidRPr="00E34329">
        <w:rPr>
          <w:szCs w:val="24"/>
        </w:rPr>
        <w:t>The Licensee submitted that various steps are being taken to curb theft which is widely prevalent across the State. Some of the steps are listed below:</w:t>
      </w:r>
    </w:p>
    <w:p w:rsidR="0026266F" w:rsidRPr="003D2C56" w:rsidRDefault="00E34329" w:rsidP="0026266F">
      <w:pPr>
        <w:pStyle w:val="ListParagraph"/>
        <w:numPr>
          <w:ilvl w:val="0"/>
          <w:numId w:val="40"/>
        </w:numPr>
        <w:spacing w:before="0" w:after="200"/>
        <w:ind w:left="1353"/>
        <w:contextualSpacing/>
      </w:pPr>
      <w:r w:rsidRPr="00E34329">
        <w:t>For proper accounting of energy &amp; reducing chances of theft, double metering system is being implemented which is yielding encouraging results.</w:t>
      </w:r>
    </w:p>
    <w:p w:rsidR="0026266F" w:rsidRPr="003D2C56" w:rsidRDefault="00E34329" w:rsidP="0026266F">
      <w:pPr>
        <w:pStyle w:val="ListParagraph"/>
        <w:numPr>
          <w:ilvl w:val="0"/>
          <w:numId w:val="40"/>
        </w:numPr>
        <w:spacing w:before="0" w:after="200"/>
        <w:ind w:left="1353"/>
        <w:contextualSpacing/>
      </w:pPr>
      <w:r w:rsidRPr="00E34329">
        <w:t>For speedy redressal of consumer grievances, call centre has been established and Control rooms have been set up.</w:t>
      </w:r>
    </w:p>
    <w:p w:rsidR="0026266F" w:rsidRPr="003D2C56" w:rsidRDefault="00E34329" w:rsidP="0026266F">
      <w:pPr>
        <w:pStyle w:val="ListParagraph"/>
        <w:numPr>
          <w:ilvl w:val="0"/>
          <w:numId w:val="40"/>
        </w:numPr>
        <w:spacing w:before="0" w:after="200"/>
        <w:ind w:left="1353"/>
        <w:contextualSpacing/>
      </w:pPr>
      <w:r w:rsidRPr="00E34329">
        <w:t>In all theft prone areas overhead conductor are being replaced with ABC (Aerial Bunched Conductor). This has helped in the reduction of line losses and break-downs and has resulted in better quality of supply &amp; consumer satisfaction.</w:t>
      </w:r>
    </w:p>
    <w:p w:rsidR="0026266F" w:rsidRPr="003D2C56" w:rsidRDefault="00E34329" w:rsidP="0026266F">
      <w:pPr>
        <w:pStyle w:val="ListParagraph"/>
        <w:numPr>
          <w:ilvl w:val="0"/>
          <w:numId w:val="40"/>
        </w:numPr>
        <w:spacing w:before="0" w:after="200"/>
        <w:ind w:left="1353"/>
        <w:contextualSpacing/>
      </w:pPr>
      <w:r w:rsidRPr="00E34329">
        <w:t>Provision of periodic checking of all static and trivector meters installed in high value consumers premises.</w:t>
      </w:r>
    </w:p>
    <w:p w:rsidR="0026266F" w:rsidRPr="003D2C56" w:rsidRDefault="00E34329" w:rsidP="0026266F">
      <w:pPr>
        <w:pStyle w:val="ListParagraph"/>
        <w:numPr>
          <w:ilvl w:val="0"/>
          <w:numId w:val="40"/>
        </w:numPr>
        <w:spacing w:before="0" w:after="200"/>
        <w:ind w:left="1353"/>
        <w:contextualSpacing/>
      </w:pPr>
      <w:r w:rsidRPr="00E34329">
        <w:t>Special drive to check the cases of theft/unauthorized use of electricity/checking of excess load being carried out in different distribution divisions by officers of the licensees.</w:t>
      </w:r>
    </w:p>
    <w:p w:rsidR="006C63AF" w:rsidRPr="006C63AF" w:rsidRDefault="00BD01EB" w:rsidP="006C63AF">
      <w:pPr>
        <w:pStyle w:val="ListParagraph"/>
        <w:numPr>
          <w:ilvl w:val="0"/>
          <w:numId w:val="40"/>
        </w:numPr>
        <w:spacing w:before="0" w:after="200"/>
        <w:ind w:left="1353"/>
        <w:contextualSpacing/>
      </w:pPr>
      <w:r w:rsidRPr="00BD01EB">
        <w:t>Special team of departmental engineers and Vigilance teams comprising of licensee’s officers and Police personnel’s have been formed in each circle.</w:t>
      </w:r>
      <w:r w:rsidR="00E34329" w:rsidRPr="00E34329">
        <w:t xml:space="preserve"> With these teams surprise raids are conducted to direct theft of energy/Katiya connections.</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Heading3"/>
        <w:numPr>
          <w:ilvl w:val="0"/>
          <w:numId w:val="194"/>
        </w:numPr>
        <w:tabs>
          <w:tab w:val="clear" w:pos="720"/>
          <w:tab w:val="left" w:pos="4860"/>
        </w:tabs>
        <w:rPr>
          <w:szCs w:val="24"/>
        </w:rPr>
      </w:pPr>
      <w:r w:rsidRPr="00E34329">
        <w:rPr>
          <w:b/>
          <w:i/>
          <w:szCs w:val="24"/>
        </w:rPr>
        <w:lastRenderedPageBreak/>
        <w:t>The Commission’s view:</w:t>
      </w:r>
    </w:p>
    <w:p w:rsidR="00D5771F" w:rsidRDefault="00E34329">
      <w:pPr>
        <w:pStyle w:val="Heading3"/>
        <w:tabs>
          <w:tab w:val="clear" w:pos="720"/>
          <w:tab w:val="left" w:pos="4860"/>
        </w:tabs>
        <w:ind w:left="993" w:hanging="993"/>
        <w:rPr>
          <w:szCs w:val="24"/>
        </w:rPr>
      </w:pPr>
      <w:r w:rsidRPr="00E34329">
        <w:rPr>
          <w:bCs w:val="0"/>
        </w:rPr>
        <w:t xml:space="preserve">The Commission recognizes the fact that the Licensees have been taking measures to reduce T&amp;D losses by implementing schemes such as laying Aerial Bunch Conductors (ABC), APDRP, R-APDRP, etc., but these efforts are yet to yield satisfactory results. On the aspect of T&amp;D losses, the Licensees should undertake necessary strengthening and R&amp;M of the distribution networks to reduce losses which would result in higher availability of power for sale to consumers. </w:t>
      </w:r>
    </w:p>
    <w:p w:rsidR="00D5771F" w:rsidRDefault="00E34329">
      <w:pPr>
        <w:pStyle w:val="Heading3"/>
        <w:tabs>
          <w:tab w:val="clear" w:pos="720"/>
          <w:tab w:val="left" w:pos="4860"/>
        </w:tabs>
        <w:ind w:left="993" w:hanging="993"/>
        <w:rPr>
          <w:rFonts w:cs="Calibri"/>
          <w:szCs w:val="24"/>
        </w:rPr>
      </w:pPr>
      <w:r w:rsidRPr="00E34329">
        <w:rPr>
          <w:szCs w:val="24"/>
        </w:rPr>
        <w:t>In this regard, the Commission had directed the Licensee to conduct the base line loss estimation studies for assessment of technical and commercial losses. As discussed in subsequent chapters of this Order the Licensees submitted that M/s PFC Consulting Ltd. was appointed to conduct the required study and it has submitted a draft approach paper which is in discussion stage. The Licensee submitted that once the approach paper is finalized, it would submit the same to the Commission. The Commission stresses that the Distribution Licensees may act speedily upon the directives and report the status on a regular monthly basis to the Commission as losses play a very crucial role in the entire process</w:t>
      </w:r>
      <w:r w:rsidRPr="00E34329">
        <w:rPr>
          <w:rFonts w:cs="Calibri"/>
          <w:szCs w:val="24"/>
          <w:lang w:val="en-IN"/>
        </w:rPr>
        <w:t>.</w:t>
      </w:r>
      <w:r w:rsidRPr="00E34329">
        <w:rPr>
          <w:rFonts w:cs="Calibri"/>
          <w:szCs w:val="24"/>
        </w:rPr>
        <w:t xml:space="preserve">Further, the Commission for the purpose of truing up of ARR for FY 2013-14 and while approving the ARR for FY 2016-17 </w:t>
      </w:r>
      <w:r w:rsidR="000355BC" w:rsidRPr="00E34329">
        <w:rPr>
          <w:rFonts w:cs="Calibri"/>
          <w:szCs w:val="24"/>
        </w:rPr>
        <w:t>have</w:t>
      </w:r>
      <w:r w:rsidRPr="00E34329">
        <w:rPr>
          <w:rFonts w:cs="Calibri"/>
          <w:szCs w:val="24"/>
        </w:rPr>
        <w:t xml:space="preserve"> judiciously approved the distribution loss as discussed subsequently in the Order.</w:t>
      </w:r>
    </w:p>
    <w:p w:rsidR="006B71CD" w:rsidRPr="003D2C56" w:rsidRDefault="006B71CD" w:rsidP="0026266F">
      <w:pPr>
        <w:pStyle w:val="Heading3"/>
        <w:numPr>
          <w:ilvl w:val="0"/>
          <w:numId w:val="0"/>
        </w:numPr>
        <w:tabs>
          <w:tab w:val="clear" w:pos="720"/>
          <w:tab w:val="left" w:pos="4860"/>
        </w:tabs>
        <w:ind w:left="993"/>
        <w:rPr>
          <w:rFonts w:cs="Calibri"/>
          <w:color w:val="000000"/>
          <w:szCs w:val="24"/>
        </w:rPr>
      </w:pPr>
    </w:p>
    <w:p w:rsidR="00D5771F" w:rsidRDefault="00E34329">
      <w:pPr>
        <w:pStyle w:val="Heading2"/>
        <w:spacing w:line="276" w:lineRule="auto"/>
        <w:rPr>
          <w:rFonts w:ascii="Calibri" w:hAnsi="Calibri"/>
        </w:rPr>
      </w:pPr>
      <w:bookmarkStart w:id="111" w:name="_Toc454277469"/>
      <w:bookmarkStart w:id="112" w:name="_Toc457603898"/>
      <w:r w:rsidRPr="00E34329">
        <w:rPr>
          <w:rFonts w:ascii="Calibri" w:hAnsi="Calibri"/>
        </w:rPr>
        <w:t>PRE-PAID METERING</w:t>
      </w:r>
      <w:bookmarkEnd w:id="111"/>
      <w:bookmarkEnd w:id="112"/>
    </w:p>
    <w:p w:rsidR="006C63AF" w:rsidRDefault="006C63AF" w:rsidP="006C63AF">
      <w:pPr>
        <w:pStyle w:val="Heading2"/>
        <w:numPr>
          <w:ilvl w:val="0"/>
          <w:numId w:val="0"/>
        </w:numPr>
        <w:spacing w:before="0" w:line="276" w:lineRule="auto"/>
        <w:ind w:left="780"/>
        <w:rPr>
          <w:rFonts w:ascii="Calibri" w:hAnsi="Calibri"/>
        </w:rPr>
      </w:pPr>
    </w:p>
    <w:p w:rsidR="006C63AF" w:rsidRDefault="00E34329" w:rsidP="006C63AF">
      <w:pPr>
        <w:pStyle w:val="Heading3"/>
        <w:numPr>
          <w:ilvl w:val="0"/>
          <w:numId w:val="195"/>
        </w:numPr>
        <w:tabs>
          <w:tab w:val="clear" w:pos="720"/>
          <w:tab w:val="left" w:pos="4860"/>
        </w:tabs>
        <w:spacing w:before="0"/>
        <w:rPr>
          <w:rFonts w:cs="Calibri"/>
          <w:b/>
          <w:bCs w:val="0"/>
          <w:szCs w:val="24"/>
        </w:rPr>
      </w:pPr>
      <w:r w:rsidRPr="00E34329">
        <w:rPr>
          <w:b/>
          <w:i/>
          <w:szCs w:val="24"/>
        </w:rPr>
        <w:t>Comments/Suggestions of the Public</w:t>
      </w:r>
    </w:p>
    <w:p w:rsidR="00D5771F" w:rsidRDefault="00E34329">
      <w:pPr>
        <w:pStyle w:val="Heading3"/>
        <w:tabs>
          <w:tab w:val="clear" w:pos="720"/>
          <w:tab w:val="left" w:pos="4860"/>
        </w:tabs>
        <w:ind w:left="993" w:hanging="993"/>
        <w:rPr>
          <w:szCs w:val="24"/>
        </w:rPr>
      </w:pPr>
      <w:r w:rsidRPr="00E34329">
        <w:rPr>
          <w:szCs w:val="24"/>
        </w:rPr>
        <w:t>Shri K. L. Aggarwal chairman Associate Chambers of Commerce &amp; Industries of U. P submitted that as per provision in Electricity Act 2003, consumers opting for prepaid meters are not required to pay security deposit. The progress of installation of pre-paid meter is far below the desired level. The proposed discount of 1.25% may be increased to 2% considering the OTS launched every year with waiver of 50% to 100% surcharge.</w:t>
      </w:r>
    </w:p>
    <w:p w:rsidR="00D5771F" w:rsidRDefault="00E34329">
      <w:pPr>
        <w:pStyle w:val="Heading3"/>
        <w:tabs>
          <w:tab w:val="clear" w:pos="720"/>
          <w:tab w:val="left" w:pos="4860"/>
        </w:tabs>
        <w:ind w:left="993" w:hanging="993"/>
        <w:rPr>
          <w:szCs w:val="24"/>
        </w:rPr>
      </w:pPr>
      <w:r w:rsidRPr="00E34329">
        <w:rPr>
          <w:szCs w:val="24"/>
        </w:rPr>
        <w:t>Shri Gyan Chandra Varshney, Aligarh Udyog Vyapar Pratinidhi Mandal submitted that the Licensees are asking for heavy amount for changing meter to smart meters. Stakeholder further requested the Commission to reduce the cost of prepaid meter so that the consumers will attracted to opt for smart meter.</w:t>
      </w:r>
    </w:p>
    <w:p w:rsidR="00D5771F" w:rsidRDefault="00E34329">
      <w:pPr>
        <w:pStyle w:val="Heading3"/>
        <w:tabs>
          <w:tab w:val="clear" w:pos="720"/>
          <w:tab w:val="left" w:pos="4860"/>
        </w:tabs>
        <w:ind w:left="993" w:hanging="993"/>
        <w:rPr>
          <w:szCs w:val="24"/>
        </w:rPr>
      </w:pPr>
      <w:r w:rsidRPr="00E34329">
        <w:rPr>
          <w:szCs w:val="24"/>
        </w:rPr>
        <w:lastRenderedPageBreak/>
        <w:t>Shri Vivek Bansal, Ex MLA Indian National Congress and Members of Jila Congress Committee submitted that the cost of prepaid meter is around Rs. 6500 to Rs. 7100 whereas cost of normal meter is only Rs. 930; there should be provision of instalment of payment for prepaid connection. Prepaid connection should not be forcefully imposed to consumers as it should be the choice. Further, prepaid metering may be started with commercial category consumers.</w:t>
      </w:r>
    </w:p>
    <w:p w:rsidR="00D5771F" w:rsidRDefault="00E34329">
      <w:pPr>
        <w:pStyle w:val="Heading3"/>
        <w:tabs>
          <w:tab w:val="clear" w:pos="720"/>
          <w:tab w:val="left" w:pos="4860"/>
        </w:tabs>
        <w:ind w:left="993" w:hanging="993"/>
        <w:rPr>
          <w:szCs w:val="24"/>
        </w:rPr>
      </w:pPr>
      <w:r w:rsidRPr="00E34329">
        <w:rPr>
          <w:szCs w:val="24"/>
        </w:rPr>
        <w:t>Associate Chambers of Commerce &amp; Industries of U. P requested to the Commission to take steps on urgent basis to make the availability of pre-paid meters above 45 kW on priority basis.</w:t>
      </w:r>
    </w:p>
    <w:p w:rsidR="0026266F" w:rsidRPr="003D2C56" w:rsidRDefault="0026266F" w:rsidP="0026266F">
      <w:pPr>
        <w:tabs>
          <w:tab w:val="left" w:pos="1980"/>
        </w:tabs>
        <w:ind w:left="720"/>
        <w:rPr>
          <w:rFonts w:cs="Calibri"/>
          <w:color w:val="000000"/>
        </w:rPr>
      </w:pPr>
    </w:p>
    <w:p w:rsidR="0026266F" w:rsidRPr="003D2C56" w:rsidRDefault="00E34329" w:rsidP="0026266F">
      <w:pPr>
        <w:numPr>
          <w:ilvl w:val="0"/>
          <w:numId w:val="195"/>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The Licensee does not agree to the proposal of enhancing the discount. However, no security deposit is applicable in case a connection is taken with prepaid meter.</w:t>
      </w:r>
    </w:p>
    <w:p w:rsidR="00D5771F" w:rsidRDefault="00E34329">
      <w:pPr>
        <w:pStyle w:val="Heading3"/>
        <w:tabs>
          <w:tab w:val="clear" w:pos="720"/>
          <w:tab w:val="left" w:pos="4860"/>
        </w:tabs>
        <w:ind w:left="993" w:hanging="993"/>
        <w:rPr>
          <w:szCs w:val="24"/>
        </w:rPr>
      </w:pPr>
      <w:r w:rsidRPr="00E34329">
        <w:rPr>
          <w:szCs w:val="24"/>
        </w:rPr>
        <w:t>Prepaid meters are being procured and will be installed at consumers’ premises. A Petition for tariff structure is being filed before the Commission. The details’ regarding the procurement and installation of prepaid meters is being regularly informed to the Commission.</w:t>
      </w:r>
    </w:p>
    <w:p w:rsidR="00D5771F" w:rsidRDefault="00E34329">
      <w:pPr>
        <w:pStyle w:val="Heading3"/>
        <w:tabs>
          <w:tab w:val="clear" w:pos="720"/>
          <w:tab w:val="left" w:pos="4860"/>
        </w:tabs>
        <w:ind w:left="993" w:hanging="993"/>
        <w:rPr>
          <w:bCs w:val="0"/>
          <w:szCs w:val="24"/>
        </w:rPr>
      </w:pPr>
      <w:r w:rsidRPr="00E34329">
        <w:rPr>
          <w:bCs w:val="0"/>
          <w:szCs w:val="24"/>
        </w:rPr>
        <w:t>Prepaid meters are being installed as an option. They are not forced upon the consumers. However, in case of Juggi Jhopri, and Patri shops, provision has been made for making the payment towards cost of pre paid meters in instalments.</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195"/>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The Commission in its earlier Orders has repeatedly directed the Distribution Licensees regarding expedition of process of introduction of Pre-paid meters. Further, details’ regarding provisions under prepaid metering is being detailed in the Tariff Philosophy and Rate Schedule chapters of this Order.</w:t>
      </w:r>
    </w:p>
    <w:p w:rsidR="00364041" w:rsidRPr="003D2C56" w:rsidRDefault="00364041" w:rsidP="0026266F">
      <w:pPr>
        <w:pStyle w:val="Heading3"/>
        <w:numPr>
          <w:ilvl w:val="0"/>
          <w:numId w:val="0"/>
        </w:numPr>
        <w:tabs>
          <w:tab w:val="clear" w:pos="720"/>
          <w:tab w:val="left" w:pos="4860"/>
        </w:tabs>
        <w:rPr>
          <w:szCs w:val="24"/>
        </w:rPr>
      </w:pPr>
    </w:p>
    <w:p w:rsidR="00D5771F" w:rsidRDefault="00E34329">
      <w:pPr>
        <w:pStyle w:val="Heading2"/>
        <w:spacing w:line="276" w:lineRule="auto"/>
        <w:rPr>
          <w:rFonts w:ascii="Calibri" w:hAnsi="Calibri"/>
        </w:rPr>
      </w:pPr>
      <w:bookmarkStart w:id="113" w:name="_Toc454277470"/>
      <w:bookmarkStart w:id="114" w:name="_Toc457603899"/>
      <w:r w:rsidRPr="00E34329">
        <w:rPr>
          <w:rFonts w:ascii="Calibri" w:hAnsi="Calibri"/>
        </w:rPr>
        <w:t>TARIFF LMV-1 &amp; LMV-5 CATEGORY</w:t>
      </w:r>
      <w:bookmarkEnd w:id="113"/>
      <w:bookmarkEnd w:id="114"/>
    </w:p>
    <w:p w:rsidR="006C63AF" w:rsidRDefault="006C63AF" w:rsidP="006C63AF">
      <w:pPr>
        <w:spacing w:before="0"/>
        <w:ind w:left="360"/>
        <w:contextualSpacing/>
        <w:rPr>
          <w:rFonts w:cs="Calibri"/>
          <w:b/>
          <w:bCs/>
          <w:i/>
          <w:iCs/>
        </w:rPr>
      </w:pPr>
    </w:p>
    <w:p w:rsidR="0026266F" w:rsidRPr="003D2C56" w:rsidRDefault="00E34329" w:rsidP="0026266F">
      <w:pPr>
        <w:numPr>
          <w:ilvl w:val="0"/>
          <w:numId w:val="196"/>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szCs w:val="24"/>
        </w:rPr>
      </w:pPr>
      <w:r w:rsidRPr="00E34329">
        <w:rPr>
          <w:szCs w:val="24"/>
        </w:rPr>
        <w:t xml:space="preserve"> Shri Avadhesh Kumar, Chairman, Uttar Pradesh Rajya Vidyut Upbhoktha Parishad submitted that no fixed charges shall be levied on BPL and other domestic consumers until and unless 24X7 electricity supply is provided. It is further submitted </w:t>
      </w:r>
      <w:r w:rsidRPr="00E34329">
        <w:rPr>
          <w:szCs w:val="24"/>
        </w:rPr>
        <w:lastRenderedPageBreak/>
        <w:t>that Tariff for BPL consumers be reduced at least by 10%. Tariff for rural unmetered consumers should be reduced to Rs. 150 per connection per month. Further, the stakeholder submitted that tariff for drought effected Bundelkhand area must be reduced to zero at least for FY 2016-17 and up to 25% to 50% reduction of electricity tariff should be allowed in other drought affected areas.</w:t>
      </w:r>
    </w:p>
    <w:p w:rsidR="00D5771F" w:rsidRDefault="00E34329">
      <w:pPr>
        <w:pStyle w:val="Heading3"/>
        <w:tabs>
          <w:tab w:val="clear" w:pos="720"/>
          <w:tab w:val="left" w:pos="4860"/>
        </w:tabs>
        <w:ind w:left="993" w:hanging="993"/>
        <w:rPr>
          <w:szCs w:val="24"/>
        </w:rPr>
      </w:pPr>
      <w:r w:rsidRPr="00E34329">
        <w:rPr>
          <w:szCs w:val="24"/>
        </w:rPr>
        <w:t>Shri Rama Shanker Awasthi submitted that the Commission may approve full cost tariff for Rural Domestic and Agriculture consumers. It is further submitted that subsidy provided by GoUP may directly pass on to consumers as Section 65 of the EA, 2003.</w:t>
      </w:r>
    </w:p>
    <w:p w:rsidR="0026266F" w:rsidRPr="003D2C56" w:rsidRDefault="0026266F" w:rsidP="0026266F">
      <w:pPr>
        <w:tabs>
          <w:tab w:val="left" w:pos="1980"/>
        </w:tabs>
        <w:ind w:left="720"/>
        <w:rPr>
          <w:rFonts w:cs="Calibri"/>
          <w:color w:val="000000"/>
        </w:rPr>
      </w:pPr>
    </w:p>
    <w:p w:rsidR="0026266F" w:rsidRPr="003D2C56" w:rsidRDefault="00E34329" w:rsidP="0026266F">
      <w:pPr>
        <w:numPr>
          <w:ilvl w:val="0"/>
          <w:numId w:val="196"/>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The Licensee submitted that no tariff hike has been proposed for rural domestic and agriculture consumers. The Licensee in the current petition has endeavoured to rationalise the tariff for various consumer categories.</w:t>
      </w:r>
    </w:p>
    <w:p w:rsidR="00D5771F" w:rsidRDefault="00E34329">
      <w:pPr>
        <w:pStyle w:val="Heading3"/>
        <w:tabs>
          <w:tab w:val="clear" w:pos="720"/>
          <w:tab w:val="left" w:pos="4860"/>
        </w:tabs>
        <w:ind w:left="993" w:hanging="993"/>
        <w:rPr>
          <w:szCs w:val="24"/>
        </w:rPr>
      </w:pPr>
      <w:r w:rsidRPr="00E34329">
        <w:rPr>
          <w:szCs w:val="24"/>
        </w:rPr>
        <w:t>The Licensee submitted that the hours of supply is normally as per schedule, however, sometimes it may be less than that of schedule hours due to emergency rostering mandated by the grid which is beyond the control of the Licensee.</w:t>
      </w:r>
    </w:p>
    <w:p w:rsidR="00D5771F" w:rsidRDefault="00E34329">
      <w:pPr>
        <w:pStyle w:val="Heading3"/>
        <w:tabs>
          <w:tab w:val="clear" w:pos="720"/>
          <w:tab w:val="left" w:pos="4860"/>
        </w:tabs>
        <w:ind w:left="993" w:hanging="993"/>
        <w:rPr>
          <w:szCs w:val="24"/>
        </w:rPr>
      </w:pPr>
      <w:r w:rsidRPr="00E34329">
        <w:rPr>
          <w:szCs w:val="24"/>
        </w:rPr>
        <w:t>Further, no tariff revision has been proposed for lifeline consumers. The proposal of the stakeholder to provide discount of 10% to lifeline consumers is not feasible as there is no subsidy support from the Government on this account and would lead to further widening of the revenue gap.</w:t>
      </w:r>
    </w:p>
    <w:p w:rsidR="00D5771F" w:rsidRDefault="00E34329">
      <w:pPr>
        <w:pStyle w:val="Heading3"/>
        <w:tabs>
          <w:tab w:val="clear" w:pos="720"/>
          <w:tab w:val="left" w:pos="4860"/>
        </w:tabs>
        <w:ind w:left="993" w:hanging="993"/>
        <w:rPr>
          <w:szCs w:val="24"/>
        </w:rPr>
      </w:pPr>
      <w:r w:rsidRPr="00E34329">
        <w:rPr>
          <w:szCs w:val="24"/>
        </w:rPr>
        <w:t>Similarly, no tariff revision has been proposed for rural domestic. The proposal of the stakeholders to provide discount to rural domestic consumers is not feasible as there is no matching subsidy support from the Government on this account and would lead to further widening of the revenue gap.</w:t>
      </w:r>
    </w:p>
    <w:p w:rsidR="00D5771F" w:rsidRDefault="00E34329">
      <w:pPr>
        <w:pStyle w:val="Heading3"/>
        <w:tabs>
          <w:tab w:val="clear" w:pos="720"/>
          <w:tab w:val="left" w:pos="4860"/>
        </w:tabs>
        <w:ind w:left="993" w:hanging="993"/>
        <w:rPr>
          <w:szCs w:val="24"/>
        </w:rPr>
      </w:pPr>
      <w:r w:rsidRPr="00E34329">
        <w:rPr>
          <w:szCs w:val="24"/>
        </w:rPr>
        <w:t>The Licensee submitted that the Annual Revenue Requirement is being determined in accordance with the Tariff Regulations framed by the Commission. The tariff is being proposed to recover the gap between the Annual Revenue Requirement and the revenue at current tariff and taking into account the cost of service, subsidy levels, power procurement costs, etc.</w:t>
      </w:r>
    </w:p>
    <w:p w:rsidR="006C63AF" w:rsidRDefault="006C63AF" w:rsidP="006C63AF">
      <w:pPr>
        <w:pStyle w:val="Heading3"/>
        <w:numPr>
          <w:ilvl w:val="0"/>
          <w:numId w:val="0"/>
        </w:numPr>
        <w:tabs>
          <w:tab w:val="clear" w:pos="720"/>
          <w:tab w:val="left" w:pos="4860"/>
        </w:tabs>
        <w:ind w:left="993"/>
        <w:rPr>
          <w:szCs w:val="24"/>
        </w:rPr>
      </w:pPr>
    </w:p>
    <w:p w:rsidR="0026266F" w:rsidRPr="003D2C56" w:rsidRDefault="00E34329" w:rsidP="0026266F">
      <w:pPr>
        <w:pStyle w:val="ListParagraph"/>
        <w:numPr>
          <w:ilvl w:val="0"/>
          <w:numId w:val="196"/>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lastRenderedPageBreak/>
        <w:t>The Tariff for various categories of consumers is being determined by the Commission in accordance with the principles enshrined in the Distribution Tariff Regulations and Tariff Policy. The Commission while approving the Tariff for the State has also made appropriate comparison with the various other States. Further, the detailed approach as considered by the Commission for approving the Tariff for various categories has been discussed subsequently in the tariff Philosophy chapter in this Order.</w:t>
      </w:r>
    </w:p>
    <w:p w:rsidR="0026266F" w:rsidRPr="003D2C56" w:rsidRDefault="0026266F" w:rsidP="0026266F">
      <w:pPr>
        <w:pStyle w:val="Heading3"/>
        <w:numPr>
          <w:ilvl w:val="0"/>
          <w:numId w:val="0"/>
        </w:numPr>
        <w:tabs>
          <w:tab w:val="clear" w:pos="720"/>
          <w:tab w:val="left" w:pos="4860"/>
        </w:tabs>
        <w:ind w:left="993"/>
        <w:rPr>
          <w:szCs w:val="24"/>
        </w:rPr>
      </w:pPr>
    </w:p>
    <w:p w:rsidR="00D5771F" w:rsidRDefault="00E34329">
      <w:pPr>
        <w:pStyle w:val="Heading2"/>
        <w:spacing w:line="276" w:lineRule="auto"/>
        <w:rPr>
          <w:rFonts w:ascii="Calibri" w:hAnsi="Calibri"/>
        </w:rPr>
      </w:pPr>
      <w:bookmarkStart w:id="115" w:name="_Toc454277471"/>
      <w:bookmarkStart w:id="116" w:name="_Toc457603900"/>
      <w:r w:rsidRPr="00E34329">
        <w:rPr>
          <w:rFonts w:ascii="Calibri" w:hAnsi="Calibri"/>
        </w:rPr>
        <w:t>METERING AND BILLING FOR LMV-10 CATEGORY</w:t>
      </w:r>
      <w:bookmarkEnd w:id="115"/>
      <w:bookmarkEnd w:id="116"/>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pStyle w:val="ListParagraph"/>
        <w:numPr>
          <w:ilvl w:val="0"/>
          <w:numId w:val="197"/>
        </w:numPr>
        <w:tabs>
          <w:tab w:val="left" w:pos="1980"/>
        </w:tabs>
        <w:spacing w:before="0"/>
        <w:contextualSpacing/>
        <w:rPr>
          <w:b/>
          <w:i/>
        </w:rPr>
      </w:pPr>
      <w:r w:rsidRPr="00E34329">
        <w:rPr>
          <w:b/>
          <w:i/>
        </w:rPr>
        <w:t>Comments/Suggestions of the Public</w:t>
      </w:r>
    </w:p>
    <w:p w:rsidR="00D5771F" w:rsidRDefault="00E34329">
      <w:pPr>
        <w:pStyle w:val="Heading3"/>
        <w:tabs>
          <w:tab w:val="clear" w:pos="720"/>
          <w:tab w:val="left" w:pos="4860"/>
        </w:tabs>
        <w:ind w:left="993" w:hanging="993"/>
        <w:rPr>
          <w:szCs w:val="24"/>
        </w:rPr>
      </w:pPr>
      <w:r w:rsidRPr="00E34329">
        <w:rPr>
          <w:szCs w:val="24"/>
        </w:rPr>
        <w:t xml:space="preserve">Shri K. L. Aggarwal chairman Associate Chambers of Commerce &amp; Industries of U. P submitted that time frame has to be decided by the Commission for the installation of 100% meters on departmental employees, which shall enable to put complete check on wasteful use of electricity and actual figures of energy consumption. Further, till these connections are not metered, such un-metered connections be billed on the different rates by creating new category for such consumers. </w:t>
      </w:r>
    </w:p>
    <w:p w:rsidR="00D5771F" w:rsidRDefault="00E34329">
      <w:pPr>
        <w:pStyle w:val="Heading3"/>
        <w:tabs>
          <w:tab w:val="clear" w:pos="720"/>
          <w:tab w:val="left" w:pos="4860"/>
        </w:tabs>
        <w:ind w:left="993" w:hanging="993"/>
        <w:rPr>
          <w:bCs w:val="0"/>
          <w:szCs w:val="24"/>
        </w:rPr>
      </w:pPr>
      <w:r w:rsidRPr="00E34329">
        <w:rPr>
          <w:szCs w:val="24"/>
        </w:rPr>
        <w:t>Vidyut Karamchari Sanyukt Sagharsh Samiti, Supervising Engineer Noida (Gautam budh nagar and others), Uttar Rajya Vidut Parishad Abhiyanta Sangh and Vidyut Pensioners welfare Association  and other stakeholders submitted  that category LMV-10 should be continue as before and not to be abolished as it is the negligence of section 21 of Indian Constitution. It is further submitted that facilities/benefit provided to employees and pensioners is as per Section 23(7) of Electricity reform Act 1999, Section 133(2) of Electricity Act 2003, Section 3 (4)  of UP Reform transfer Scheme etc.</w:t>
      </w:r>
    </w:p>
    <w:p w:rsidR="00D5771F" w:rsidRDefault="00E34329">
      <w:pPr>
        <w:pStyle w:val="Heading3"/>
        <w:tabs>
          <w:tab w:val="clear" w:pos="720"/>
          <w:tab w:val="left" w:pos="4860"/>
        </w:tabs>
        <w:ind w:left="993" w:hanging="993"/>
        <w:rPr>
          <w:bCs w:val="0"/>
          <w:szCs w:val="24"/>
        </w:rPr>
      </w:pPr>
      <w:r w:rsidRPr="00E34329">
        <w:rPr>
          <w:szCs w:val="24"/>
        </w:rPr>
        <w:t xml:space="preserve">Uttar Pradesh Rajya Vidyut Parisad Chaturth Shreni Karamchari sangh submitted that meter should not be installed in the premises of departmental Employees &amp; pensioners and metering &amp; billing should continue as before.  </w:t>
      </w:r>
    </w:p>
    <w:p w:rsidR="00D5771F" w:rsidRDefault="00E34329">
      <w:pPr>
        <w:pStyle w:val="Heading3"/>
        <w:tabs>
          <w:tab w:val="clear" w:pos="720"/>
          <w:tab w:val="left" w:pos="4860"/>
        </w:tabs>
        <w:ind w:left="993" w:hanging="993"/>
        <w:rPr>
          <w:szCs w:val="24"/>
        </w:rPr>
      </w:pPr>
      <w:r w:rsidRPr="00E34329">
        <w:rPr>
          <w:szCs w:val="24"/>
        </w:rPr>
        <w:t xml:space="preserve">Shri Ashok kumar Goyal President, National Chamber of Industries &amp; Commerce U.P submitted that free / concessional supply to pensioners should be borne by the State Govt. through a budgetary support and not through increase in tariff of industrial consumers.   </w:t>
      </w:r>
    </w:p>
    <w:p w:rsidR="00D5771F" w:rsidRDefault="00E34329">
      <w:pPr>
        <w:pStyle w:val="Heading3"/>
        <w:tabs>
          <w:tab w:val="clear" w:pos="720"/>
          <w:tab w:val="left" w:pos="4860"/>
        </w:tabs>
        <w:ind w:left="993" w:hanging="993"/>
        <w:rPr>
          <w:szCs w:val="24"/>
        </w:rPr>
      </w:pPr>
      <w:r w:rsidRPr="00E34329">
        <w:rPr>
          <w:szCs w:val="24"/>
        </w:rPr>
        <w:t xml:space="preserve">Shri Vikram Singh, Vidhyut Pensioner Parisad submitted that the tariff of LMV-10 should not be increased and it is against the Orders of Govt. providing benefit to the </w:t>
      </w:r>
      <w:r w:rsidRPr="00E34329">
        <w:rPr>
          <w:szCs w:val="24"/>
        </w:rPr>
        <w:lastRenderedPageBreak/>
        <w:t xml:space="preserve">employees. Stakeholder further submitted that same tariff for existing employees and retired employees are unlawful. </w:t>
      </w:r>
    </w:p>
    <w:p w:rsidR="0026266F" w:rsidRPr="003D2C56" w:rsidRDefault="0026266F" w:rsidP="0026266F">
      <w:pPr>
        <w:pStyle w:val="Heading3"/>
        <w:numPr>
          <w:ilvl w:val="0"/>
          <w:numId w:val="0"/>
        </w:numPr>
        <w:tabs>
          <w:tab w:val="clear" w:pos="720"/>
          <w:tab w:val="left" w:pos="4860"/>
        </w:tabs>
        <w:ind w:left="993"/>
        <w:rPr>
          <w:szCs w:val="24"/>
        </w:rPr>
      </w:pPr>
    </w:p>
    <w:p w:rsidR="0026266F" w:rsidRPr="003D2C56" w:rsidRDefault="00E34329" w:rsidP="0026266F">
      <w:pPr>
        <w:numPr>
          <w:ilvl w:val="0"/>
          <w:numId w:val="197"/>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In light of Section 23 (7) of Electricity Reforms Act, 1999, the licensee submitted their tariff proposals for metered as well as unmetered category, in the best interest of utility. The commitments of ‘UDAI’ agreement has also been taken into account while proposing the Tariff.</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pStyle w:val="ListParagraph"/>
        <w:numPr>
          <w:ilvl w:val="0"/>
          <w:numId w:val="197"/>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The Commission has taken note of the above objections / suggestions made by the stakeholders in this regards and has dealt with this issued while designing the Tariff as detailed in Rate Schedule provided subsequently in this Order.</w:t>
      </w:r>
    </w:p>
    <w:p w:rsidR="0026266F" w:rsidRPr="003D2C56" w:rsidRDefault="0026266F" w:rsidP="0026266F">
      <w:pPr>
        <w:rPr>
          <w:rFonts w:cs="Calibri"/>
          <w:bCs/>
          <w:color w:val="000000"/>
        </w:rPr>
      </w:pPr>
    </w:p>
    <w:p w:rsidR="00D5771F" w:rsidRDefault="00E34329">
      <w:pPr>
        <w:pStyle w:val="Heading2"/>
        <w:spacing w:line="276" w:lineRule="auto"/>
        <w:rPr>
          <w:rFonts w:ascii="Calibri" w:hAnsi="Calibri"/>
        </w:rPr>
      </w:pPr>
      <w:bookmarkStart w:id="117" w:name="_Toc454277472"/>
      <w:bookmarkStart w:id="118" w:name="_Toc457603901"/>
      <w:r w:rsidRPr="00E34329">
        <w:rPr>
          <w:rFonts w:ascii="Calibri" w:hAnsi="Calibri"/>
        </w:rPr>
        <w:t>COMPLAINCE OF DIRECTIVES</w:t>
      </w:r>
      <w:bookmarkEnd w:id="117"/>
      <w:bookmarkEnd w:id="118"/>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numPr>
          <w:ilvl w:val="0"/>
          <w:numId w:val="198"/>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szCs w:val="24"/>
        </w:rPr>
      </w:pPr>
      <w:r w:rsidRPr="00E34329">
        <w:rPr>
          <w:szCs w:val="24"/>
        </w:rPr>
        <w:t>Shri K.L. Aggarwal, Chairman Associate Chambers of Commerce &amp; Industries of U. P submitted that Licensees have not followed the “Suo Moto Proceedings in matter of Regulatory Surcharge” dated 18-04-2016 and OTS Order. Licensees must follow the clause 139 of the UPERC (Conduct of Business) Regulation 2004 and its amendments from time to time.</w:t>
      </w:r>
    </w:p>
    <w:p w:rsidR="00D5771F" w:rsidRDefault="00E34329">
      <w:pPr>
        <w:pStyle w:val="Heading3"/>
        <w:tabs>
          <w:tab w:val="clear" w:pos="720"/>
          <w:tab w:val="left" w:pos="4860"/>
        </w:tabs>
        <w:ind w:left="993" w:hanging="993"/>
        <w:rPr>
          <w:szCs w:val="24"/>
        </w:rPr>
      </w:pPr>
      <w:r w:rsidRPr="00E34329">
        <w:rPr>
          <w:szCs w:val="24"/>
        </w:rPr>
        <w:t>Shri D.S. Verma  Executive Director, Indian Industries Association submitted that the Commission for the past 16 years has been passing the Orders on Un-metered supply of power and it appears that the Licensees are not listening to the repeated directives of the Commission. As this situation in power starved and loss incurring Discoms is not corrected since long years, it is requested to the Commission to take a strict action and not to allow supply of unmetered electrical supply to any category of consumers.</w:t>
      </w:r>
    </w:p>
    <w:p w:rsidR="00D5771F" w:rsidRDefault="00E34329">
      <w:pPr>
        <w:pStyle w:val="Heading3"/>
        <w:tabs>
          <w:tab w:val="clear" w:pos="720"/>
          <w:tab w:val="left" w:pos="4860"/>
        </w:tabs>
        <w:ind w:left="993" w:hanging="993"/>
        <w:rPr>
          <w:szCs w:val="24"/>
        </w:rPr>
      </w:pPr>
      <w:r w:rsidRPr="00E34329">
        <w:rPr>
          <w:szCs w:val="24"/>
        </w:rPr>
        <w:t xml:space="preserve">Shri Avadhesh Kumar, Chairman, Uttar Pradesh Rajya Vidyut Upbhoktha Parishad, submitted that Discoms are filing their ARR petition every year without following the direction issued by the Commission and tariff is increasing year by year, which is not </w:t>
      </w:r>
      <w:r w:rsidRPr="00E34329">
        <w:rPr>
          <w:szCs w:val="24"/>
        </w:rPr>
        <w:lastRenderedPageBreak/>
        <w:t xml:space="preserve">justified. The commission should keep watch for compliance of direction by the Discoms in their proceedings. </w:t>
      </w:r>
    </w:p>
    <w:p w:rsidR="00D5771F" w:rsidRDefault="00E34329">
      <w:pPr>
        <w:pStyle w:val="Heading3"/>
        <w:tabs>
          <w:tab w:val="clear" w:pos="720"/>
          <w:tab w:val="left" w:pos="4860"/>
        </w:tabs>
        <w:ind w:left="993" w:hanging="993"/>
        <w:rPr>
          <w:szCs w:val="24"/>
        </w:rPr>
      </w:pPr>
      <w:r w:rsidRPr="00E34329">
        <w:rPr>
          <w:szCs w:val="24"/>
        </w:rPr>
        <w:t>Shri Akarsh Garg, Advocate for Indian Industries Association, submitted that the Commission in its earlier Orders had directed the Discoms to take several actions, which would improve the working; however, no tangible action seems to have taken in the matter so far. Repetition of the same answers year after year shows lack of willingness of Discoms to comply with such directions and wilful default on their part and hence, it is requested to the Commission to take the matter in its own hands and outsourced the tasks to a competent external authority.</w:t>
      </w:r>
    </w:p>
    <w:p w:rsidR="00D5771F" w:rsidRDefault="00E34329">
      <w:pPr>
        <w:pStyle w:val="Heading3"/>
        <w:tabs>
          <w:tab w:val="clear" w:pos="720"/>
          <w:tab w:val="left" w:pos="4860"/>
        </w:tabs>
        <w:ind w:left="993" w:hanging="993"/>
        <w:rPr>
          <w:rFonts w:cs="Calibri"/>
          <w:color w:val="000000"/>
          <w:szCs w:val="24"/>
        </w:rPr>
      </w:pPr>
      <w:r w:rsidRPr="00E34329">
        <w:rPr>
          <w:bCs w:val="0"/>
          <w:szCs w:val="24"/>
        </w:rPr>
        <w:t>Shri Rama Shanker Awasthi submitted that the Licensees should pay interest on amounts on account of bill adjustments etc. Provisions are already there in the EA 2003 and relevant Tariff Regulations. It is further submitted that the Commission may direct the State Discoms to strictly follow the said provisions.</w:t>
      </w:r>
    </w:p>
    <w:p w:rsidR="0026266F" w:rsidRPr="003D2C56" w:rsidRDefault="0026266F" w:rsidP="0026266F">
      <w:pPr>
        <w:tabs>
          <w:tab w:val="left" w:pos="1980"/>
        </w:tabs>
        <w:ind w:left="720"/>
        <w:rPr>
          <w:rFonts w:cs="Calibri"/>
          <w:color w:val="000000"/>
        </w:rPr>
      </w:pPr>
    </w:p>
    <w:p w:rsidR="0026266F" w:rsidRPr="003D2C56" w:rsidRDefault="00E34329" w:rsidP="0026266F">
      <w:pPr>
        <w:numPr>
          <w:ilvl w:val="0"/>
          <w:numId w:val="198"/>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s>
        <w:ind w:left="993" w:hanging="993"/>
        <w:contextualSpacing/>
        <w:rPr>
          <w:szCs w:val="24"/>
        </w:rPr>
      </w:pPr>
      <w:r w:rsidRPr="00E34329">
        <w:rPr>
          <w:szCs w:val="24"/>
        </w:rPr>
        <w:t xml:space="preserve">The Licensee submitted that Order dated June 6, 2014 issued by the Commission regarding regulatory surcharge for FY 2014-15 was a legal interim order and was applicable since the date of issue. Further, it is submitted that publication of any clarification is done in case the Commission specifically directs to do so. As such, the said clarification on the regulatory surcharge was not published. </w:t>
      </w:r>
      <w:r w:rsidRPr="00E34329">
        <w:rPr>
          <w:bCs w:val="0"/>
          <w:szCs w:val="24"/>
        </w:rPr>
        <w:t>However the same was published on the web-site of UPPCL for information to all the stake holders</w:t>
      </w:r>
      <w:r w:rsidRPr="00E34329">
        <w:rPr>
          <w:szCs w:val="24"/>
        </w:rPr>
        <w:t>.</w:t>
      </w:r>
    </w:p>
    <w:p w:rsidR="00D5771F" w:rsidRDefault="00E34329">
      <w:pPr>
        <w:pStyle w:val="Heading3"/>
        <w:tabs>
          <w:tab w:val="clear" w:pos="720"/>
        </w:tabs>
        <w:ind w:left="993" w:hanging="993"/>
        <w:rPr>
          <w:szCs w:val="24"/>
        </w:rPr>
      </w:pPr>
      <w:r w:rsidRPr="00E34329">
        <w:rPr>
          <w:bCs w:val="0"/>
          <w:szCs w:val="24"/>
        </w:rPr>
        <w:t>The Commission has embarked upon the glorious intention of 100% metering in the state of UP.  In view of   same, a target of 100</w:t>
      </w:r>
      <w:r w:rsidRPr="00E34329">
        <w:rPr>
          <w:szCs w:val="24"/>
        </w:rPr>
        <w:t>% metering</w:t>
      </w:r>
      <w:r w:rsidRPr="00E34329">
        <w:rPr>
          <w:bCs w:val="0"/>
          <w:szCs w:val="24"/>
        </w:rPr>
        <w:t xml:space="preserve"> of urban consumers up to December 2015 was set by the Commission. The representatives of Discoms had assured the Commission of achieving the targ</w:t>
      </w:r>
      <w:r w:rsidRPr="00E34329">
        <w:rPr>
          <w:szCs w:val="24"/>
        </w:rPr>
        <w:t>et to the satisfaction of the Commission.</w:t>
      </w:r>
    </w:p>
    <w:p w:rsidR="000355BC" w:rsidRDefault="00E34329" w:rsidP="000355BC">
      <w:pPr>
        <w:pStyle w:val="Heading3"/>
        <w:tabs>
          <w:tab w:val="clear" w:pos="720"/>
        </w:tabs>
        <w:ind w:left="993" w:hanging="993"/>
        <w:rPr>
          <w:szCs w:val="24"/>
        </w:rPr>
      </w:pPr>
      <w:r w:rsidRPr="00E34329">
        <w:rPr>
          <w:szCs w:val="24"/>
        </w:rPr>
        <w:t>Thus, it is demonstrated that the Discom is committed to achieve 100% metering and are strictly following the instructions of the Commission.</w:t>
      </w:r>
    </w:p>
    <w:p w:rsidR="00337C98" w:rsidRDefault="00337C98" w:rsidP="00337C98">
      <w:pPr>
        <w:pStyle w:val="Heading3"/>
        <w:numPr>
          <w:ilvl w:val="0"/>
          <w:numId w:val="0"/>
        </w:numPr>
        <w:tabs>
          <w:tab w:val="clear" w:pos="720"/>
        </w:tabs>
        <w:ind w:left="993"/>
        <w:rPr>
          <w:szCs w:val="24"/>
        </w:rPr>
      </w:pPr>
    </w:p>
    <w:p w:rsidR="0026266F" w:rsidRPr="003D2C56" w:rsidRDefault="00E34329" w:rsidP="0026266F">
      <w:pPr>
        <w:numPr>
          <w:ilvl w:val="0"/>
          <w:numId w:val="198"/>
        </w:numPr>
        <w:spacing w:before="0"/>
        <w:contextualSpacing/>
        <w:rPr>
          <w:b/>
          <w:i/>
        </w:rPr>
      </w:pPr>
      <w:r w:rsidRPr="00E34329">
        <w:rPr>
          <w:rFonts w:cs="Calibri"/>
          <w:b/>
          <w:bCs/>
          <w:i/>
          <w:iCs/>
        </w:rPr>
        <w:t>The Commission’s view:</w:t>
      </w:r>
    </w:p>
    <w:p w:rsidR="00D5771F" w:rsidRDefault="00E34329">
      <w:pPr>
        <w:pStyle w:val="Heading3"/>
        <w:tabs>
          <w:tab w:val="clear" w:pos="720"/>
          <w:tab w:val="left" w:pos="4860"/>
        </w:tabs>
        <w:ind w:left="993" w:hanging="993"/>
        <w:rPr>
          <w:szCs w:val="24"/>
        </w:rPr>
      </w:pPr>
      <w:r w:rsidRPr="00E34329">
        <w:rPr>
          <w:szCs w:val="24"/>
        </w:rPr>
        <w:t xml:space="preserve">As regards to compliance of directives issued by the Commission in its previous Orders the Commission has taken note of the objections / suggestions raised by the stakeholders and the replies submitted by the Licensees on the same. The detailed </w:t>
      </w:r>
      <w:r w:rsidRPr="00E34329">
        <w:rPr>
          <w:szCs w:val="24"/>
        </w:rPr>
        <w:lastRenderedPageBreak/>
        <w:t>directives as given in earlier Orders and its status of compliance submitted by the Licensees and new directives issued by the Commission have been discussed subsequently in this Order.</w:t>
      </w:r>
    </w:p>
    <w:p w:rsidR="0026266F" w:rsidRPr="003D2C56" w:rsidRDefault="0026266F" w:rsidP="0026266F">
      <w:pPr>
        <w:rPr>
          <w:rFonts w:cs="Calibri"/>
          <w:color w:val="000000"/>
        </w:rPr>
      </w:pPr>
    </w:p>
    <w:p w:rsidR="00D5771F" w:rsidRDefault="00E34329">
      <w:pPr>
        <w:pStyle w:val="Heading2"/>
        <w:spacing w:line="276" w:lineRule="auto"/>
        <w:rPr>
          <w:rFonts w:ascii="Calibri" w:hAnsi="Calibri"/>
        </w:rPr>
      </w:pPr>
      <w:bookmarkStart w:id="119" w:name="_Toc454277473"/>
      <w:bookmarkStart w:id="120" w:name="_Toc457603902"/>
      <w:r w:rsidRPr="00E34329">
        <w:rPr>
          <w:rFonts w:ascii="Calibri" w:hAnsi="Calibri"/>
        </w:rPr>
        <w:t>MINIMUM CONSUMPTION CHARGES AND FIXED CHARGES</w:t>
      </w:r>
      <w:bookmarkEnd w:id="119"/>
      <w:bookmarkEnd w:id="120"/>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numPr>
          <w:ilvl w:val="0"/>
          <w:numId w:val="199"/>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szCs w:val="24"/>
        </w:rPr>
      </w:pPr>
      <w:r w:rsidRPr="00E34329">
        <w:rPr>
          <w:szCs w:val="24"/>
        </w:rPr>
        <w:t xml:space="preserve">Shri Amar Singh, President Consumer protection Society submitted that the actual historical data of category wise revenue received including the fixed charges and minimum charges during the past years is not in ARR. Stakeholder further submitted that fixed charges and minimum charges are unlawful in view of shortage of supply than the demand and must be withdrawn. </w:t>
      </w:r>
    </w:p>
    <w:p w:rsidR="00D5771F" w:rsidRDefault="00E34329">
      <w:pPr>
        <w:pStyle w:val="Heading3"/>
        <w:tabs>
          <w:tab w:val="clear" w:pos="720"/>
          <w:tab w:val="left" w:pos="4860"/>
        </w:tabs>
        <w:ind w:left="993" w:hanging="993"/>
        <w:rPr>
          <w:szCs w:val="24"/>
        </w:rPr>
      </w:pPr>
      <w:r w:rsidRPr="00E34329">
        <w:rPr>
          <w:szCs w:val="24"/>
        </w:rPr>
        <w:t>Shri Vishnu Bhagwan Agarwal Chairman, Agra Chapter, ASSOCHAM, U.P submitted that after charging system loading charge there is no justification to charge fixed charge and minimum charge.</w:t>
      </w:r>
    </w:p>
    <w:p w:rsidR="00D5771F" w:rsidRDefault="00E34329">
      <w:pPr>
        <w:pStyle w:val="Heading3"/>
        <w:tabs>
          <w:tab w:val="clear" w:pos="720"/>
          <w:tab w:val="left" w:pos="4860"/>
        </w:tabs>
        <w:ind w:left="993" w:hanging="993"/>
        <w:rPr>
          <w:szCs w:val="24"/>
        </w:rPr>
      </w:pPr>
      <w:r w:rsidRPr="00E34329">
        <w:rPr>
          <w:szCs w:val="24"/>
        </w:rPr>
        <w:t>Shri G.C. Chaturvedi, Indian Industries Association and Lokesh Kumar Aggarwal, UP Udhyog Vyapar Patnidhi Mandal submitted that minimum charges proposed for LMV-2 category should be removed, since due to minimum charges small shopkeepers whose monthly consumption is of the range 20-50 units per month are forced to pay Rs. 25 to Rs. 35 per unit due to electricity duty, regulatory surcharge, fixed charge and minimum charge.</w:t>
      </w:r>
    </w:p>
    <w:p w:rsidR="00D5771F" w:rsidRDefault="00E34329">
      <w:pPr>
        <w:pStyle w:val="Heading3"/>
        <w:tabs>
          <w:tab w:val="clear" w:pos="720"/>
          <w:tab w:val="left" w:pos="4860"/>
        </w:tabs>
        <w:ind w:left="993" w:hanging="993"/>
        <w:rPr>
          <w:szCs w:val="24"/>
        </w:rPr>
      </w:pPr>
      <w:r w:rsidRPr="00E34329">
        <w:rPr>
          <w:szCs w:val="24"/>
        </w:rPr>
        <w:t>Shri D.S. Verma Executive Director, Indian Industries Association submitted that method for charging demand charges for HV-2 category may be implemented for LMV-6 category.</w:t>
      </w:r>
    </w:p>
    <w:p w:rsidR="00D5771F" w:rsidRDefault="00E34329">
      <w:pPr>
        <w:pStyle w:val="Heading3"/>
        <w:tabs>
          <w:tab w:val="clear" w:pos="720"/>
          <w:tab w:val="left" w:pos="4860"/>
        </w:tabs>
        <w:ind w:left="993" w:hanging="993"/>
        <w:rPr>
          <w:szCs w:val="24"/>
        </w:rPr>
      </w:pPr>
      <w:r w:rsidRPr="00E34329">
        <w:rPr>
          <w:szCs w:val="24"/>
        </w:rPr>
        <w:t>Director, The Mahabir Jute Mills Ltd. Submitted, the commercial users require maximum power in the evening time, but in most of the area power is not given during evening/ night hours. So, it is not justified to charge fixed charges to them.</w:t>
      </w:r>
    </w:p>
    <w:p w:rsidR="00D5771F" w:rsidRDefault="00E34329">
      <w:pPr>
        <w:pStyle w:val="Heading3"/>
        <w:tabs>
          <w:tab w:val="clear" w:pos="720"/>
          <w:tab w:val="left" w:pos="4860"/>
        </w:tabs>
        <w:ind w:left="993" w:hanging="993"/>
        <w:rPr>
          <w:szCs w:val="24"/>
        </w:rPr>
      </w:pPr>
      <w:r w:rsidRPr="00E34329">
        <w:rPr>
          <w:szCs w:val="24"/>
        </w:rPr>
        <w:t>Shri K. L. Aggarwal chairman Associate Chambers of Commerce &amp; Industries of U. P submitted that minimum charge may be waived off in case when supply of the consumer is disconnected for non-payment of the energy bill.</w:t>
      </w:r>
    </w:p>
    <w:p w:rsidR="00D5771F" w:rsidRDefault="00E34329">
      <w:pPr>
        <w:pStyle w:val="Heading3"/>
        <w:tabs>
          <w:tab w:val="clear" w:pos="720"/>
          <w:tab w:val="left" w:pos="4860"/>
        </w:tabs>
        <w:ind w:left="993" w:hanging="993"/>
        <w:rPr>
          <w:szCs w:val="24"/>
        </w:rPr>
      </w:pPr>
      <w:r w:rsidRPr="00E34329">
        <w:rPr>
          <w:szCs w:val="24"/>
        </w:rPr>
        <w:t>Shri K. L. Aggarwal chairman Associate Chambers of Commerce &amp; Industries of U. P and Miss Romi, Global Care Organization submitted that proposed slabs of fixed charges is not justified as the same are not allowed by the Commission.</w:t>
      </w:r>
    </w:p>
    <w:p w:rsidR="00D5771F" w:rsidRDefault="00E34329">
      <w:pPr>
        <w:pStyle w:val="Heading3"/>
        <w:tabs>
          <w:tab w:val="clear" w:pos="720"/>
          <w:tab w:val="left" w:pos="4860"/>
        </w:tabs>
        <w:ind w:left="993" w:hanging="993"/>
        <w:rPr>
          <w:szCs w:val="24"/>
        </w:rPr>
      </w:pPr>
      <w:r w:rsidRPr="00E34329">
        <w:rPr>
          <w:szCs w:val="24"/>
        </w:rPr>
        <w:lastRenderedPageBreak/>
        <w:t>Shri P.N Singh , Nagrik Adhikar Manch, Uttar Pradesh submitted that charging fixed charge along with service charge is not justified. Further, the stakeholder requested the Commission to abolish fixed charges for domestic as well as small Industries.</w:t>
      </w:r>
    </w:p>
    <w:p w:rsidR="00D5771F" w:rsidRDefault="00E34329">
      <w:pPr>
        <w:pStyle w:val="Heading3"/>
        <w:tabs>
          <w:tab w:val="clear" w:pos="720"/>
          <w:tab w:val="left" w:pos="4860"/>
        </w:tabs>
        <w:ind w:left="993" w:hanging="993"/>
        <w:rPr>
          <w:szCs w:val="24"/>
        </w:rPr>
      </w:pPr>
      <w:r w:rsidRPr="00E34329">
        <w:rPr>
          <w:szCs w:val="24"/>
        </w:rPr>
        <w:t>Shri Avadhesh Kumar, Chairman, Uttar Pradesh Rajya Vidyut Upbhoktha Parishad submitted that a rural commercial consumer is not supplied electricity during night hours, in some of district electricity supply is for few hours under such circumstances levy of minimum charges is totally unjustified and same should be abolished.</w:t>
      </w:r>
    </w:p>
    <w:p w:rsidR="00D5771F" w:rsidRDefault="00E34329">
      <w:pPr>
        <w:pStyle w:val="Heading3"/>
        <w:tabs>
          <w:tab w:val="clear" w:pos="720"/>
          <w:tab w:val="left" w:pos="4860"/>
        </w:tabs>
        <w:ind w:left="993" w:hanging="993"/>
        <w:rPr>
          <w:szCs w:val="24"/>
        </w:rPr>
      </w:pPr>
      <w:r w:rsidRPr="00E34329">
        <w:rPr>
          <w:szCs w:val="24"/>
        </w:rPr>
        <w:t>Shri Chandra Shekhar Sharma Chairman, Aligarh Tala nagri Audyogik Association submitted that in Kerala industries are having lowest tariff but in UP it is highest. Stakeholder further submitted that for seasonal industry charging same minimum charge for whole complete year is not justified. Stakeholder also submitted that to promote industries in the state some steps may be taken like charging only energy charges, allowing industries to disconnect any time, and removal of demand penalty up to 25 kW.</w:t>
      </w:r>
    </w:p>
    <w:p w:rsidR="00D5771F" w:rsidRDefault="00E34329">
      <w:pPr>
        <w:pStyle w:val="Heading3"/>
        <w:tabs>
          <w:tab w:val="clear" w:pos="720"/>
          <w:tab w:val="left" w:pos="4860"/>
        </w:tabs>
        <w:ind w:left="993" w:hanging="993"/>
        <w:rPr>
          <w:szCs w:val="24"/>
        </w:rPr>
      </w:pPr>
      <w:r w:rsidRPr="00E34329">
        <w:rPr>
          <w:szCs w:val="24"/>
        </w:rPr>
        <w:t xml:space="preserve">Shri Sandeep Ranjan Gupta submitted that in cases where demand exceeds to Contracted load for continuous 6 month, contracted load automatic should increased, and additional security may be added in electricity bill of consumer. This will increase the revenue of the Licensees. </w:t>
      </w:r>
    </w:p>
    <w:p w:rsidR="00D5771F" w:rsidRDefault="00E34329">
      <w:pPr>
        <w:pStyle w:val="Heading3"/>
        <w:tabs>
          <w:tab w:val="clear" w:pos="720"/>
          <w:tab w:val="left" w:pos="4860"/>
        </w:tabs>
        <w:ind w:left="993" w:hanging="993"/>
        <w:rPr>
          <w:szCs w:val="24"/>
        </w:rPr>
      </w:pPr>
      <w:r w:rsidRPr="00E34329">
        <w:rPr>
          <w:szCs w:val="24"/>
        </w:rPr>
        <w:t>Shri Vishnu Bhagwan Agarwal Chairman, Agra Chapter, ASSOCHAM, U.P and Shri Ashok Kumar Goyal, President of National Chamber of Industries &amp; Commerce submitted that the concept of fixed charges is wrong hence it should be removed.</w:t>
      </w:r>
    </w:p>
    <w:p w:rsidR="00D5771F" w:rsidRDefault="00E34329">
      <w:pPr>
        <w:pStyle w:val="Heading3"/>
        <w:tabs>
          <w:tab w:val="clear" w:pos="720"/>
          <w:tab w:val="left" w:pos="4860"/>
        </w:tabs>
        <w:ind w:left="993" w:hanging="993"/>
        <w:rPr>
          <w:szCs w:val="24"/>
        </w:rPr>
      </w:pPr>
      <w:r w:rsidRPr="00E34329">
        <w:rPr>
          <w:szCs w:val="24"/>
        </w:rPr>
        <w:t>Shri Rama Shanker Awasthi and Miss Romi, Global Care Organization submitted that the Commission should abolish the Minimum Consumption Charges levied on urban LMV-2 consumers as it is against the principle on conservation of Energy and principal of Economics.</w:t>
      </w:r>
    </w:p>
    <w:p w:rsidR="00D5771F" w:rsidRDefault="00E34329">
      <w:pPr>
        <w:pStyle w:val="Heading3"/>
        <w:tabs>
          <w:tab w:val="clear" w:pos="720"/>
          <w:tab w:val="left" w:pos="4860"/>
        </w:tabs>
        <w:ind w:left="993" w:hanging="993"/>
        <w:rPr>
          <w:szCs w:val="24"/>
        </w:rPr>
      </w:pPr>
      <w:r w:rsidRPr="00E34329">
        <w:rPr>
          <w:szCs w:val="24"/>
        </w:rPr>
        <w:t xml:space="preserve">Shri Tilok Singh submitted that fixed charge, surcharge and demand charge should be abolished. </w:t>
      </w:r>
    </w:p>
    <w:p w:rsidR="006C63AF" w:rsidRDefault="006C63AF" w:rsidP="006C63AF">
      <w:pPr>
        <w:pStyle w:val="Heading3"/>
        <w:numPr>
          <w:ilvl w:val="0"/>
          <w:numId w:val="0"/>
        </w:numPr>
        <w:tabs>
          <w:tab w:val="clear" w:pos="720"/>
          <w:tab w:val="left" w:pos="4860"/>
        </w:tabs>
        <w:ind w:left="993"/>
        <w:rPr>
          <w:szCs w:val="24"/>
        </w:rPr>
      </w:pPr>
    </w:p>
    <w:p w:rsidR="0026266F" w:rsidRPr="003D2C56" w:rsidRDefault="00E34329" w:rsidP="0026266F">
      <w:pPr>
        <w:numPr>
          <w:ilvl w:val="0"/>
          <w:numId w:val="199"/>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 xml:space="preserve">The Licensee submitted that fixed charges / minimum charges are part of tariff and are levied for developing the required infrastructure and to meet the expenses incurred to maintain the supply at all the times. These charges cannot be withdrawn, as they are levied as per provisions of Electricity Act, 2003. The Licensee submitted </w:t>
      </w:r>
      <w:r w:rsidRPr="00E34329">
        <w:rPr>
          <w:szCs w:val="24"/>
        </w:rPr>
        <w:lastRenderedPageBreak/>
        <w:t xml:space="preserve">that the minimum charges have been designed to ensure minimum recovery from the consumers considering that they get electricity for about 3-4 hours only during the day. The Licensees added that at the minimum of 8-10 hours of electricity supply, is being given to rural consumers and all other categories of consumers are getting supply for more than the above mentioned duration and this is despite of vast demand-supply gap. Industries are given top priority and scheduled for getting maximum supply but sometimes system condition and availability of power effects the schedule adversely. </w:t>
      </w:r>
    </w:p>
    <w:p w:rsidR="00D5771F" w:rsidRDefault="00E34329">
      <w:pPr>
        <w:pStyle w:val="Heading3"/>
        <w:tabs>
          <w:tab w:val="clear" w:pos="720"/>
          <w:tab w:val="left" w:pos="4860"/>
        </w:tabs>
        <w:ind w:left="993" w:hanging="993"/>
        <w:rPr>
          <w:szCs w:val="24"/>
        </w:rPr>
      </w:pPr>
      <w:r w:rsidRPr="00E34329">
        <w:rPr>
          <w:szCs w:val="24"/>
        </w:rPr>
        <w:t>In respect to minimum charges for commercial categories, the Licensee clarifies that the minimum consumption guarantee is required where a consumer has to pay every month a certain bill amount which is levied to recover the fixed expenses since the Licensee has to incur some expenditure to keep supply always ready for the consumer to the extent of their contracted demand. The Licensee further adds that in the Tariff Order for FY 2002-03, the Commission has defined the said charges as below :-</w:t>
      </w:r>
    </w:p>
    <w:p w:rsidR="0026266F" w:rsidRPr="003D2C56" w:rsidRDefault="00E34329" w:rsidP="0026266F">
      <w:pPr>
        <w:pStyle w:val="Heading3"/>
        <w:numPr>
          <w:ilvl w:val="0"/>
          <w:numId w:val="0"/>
        </w:numPr>
        <w:tabs>
          <w:tab w:val="clear" w:pos="720"/>
          <w:tab w:val="left" w:pos="4860"/>
        </w:tabs>
        <w:ind w:left="1440"/>
        <w:rPr>
          <w:i/>
          <w:szCs w:val="24"/>
        </w:rPr>
      </w:pPr>
      <w:r w:rsidRPr="00E34329">
        <w:rPr>
          <w:i/>
          <w:szCs w:val="24"/>
        </w:rPr>
        <w:t xml:space="preserve">“Fixed / Demand Charge is meant to defray the capital related and other fixed costs while Energy Charges is meant to meet the running expenses i.e. fuel cost / variable portion of power purchase cost, etc. A Licensee requires machinery, plant equipment, sub-stations, and transmission lines, etc., all of which need a large capital outlay.  For this purpose it has to raise funds by obtaining loans.  The loans have to be repaid with interest. In the total cost, provision is also to be made for depreciation on machinery, equipment and buildings, plants, machines, sub-stations and lines that have to be maintained. All these activities require large staff and their related cost.  These costs are largely fixed in nature and are levied as a part of tariff to recover such costs.” </w:t>
      </w:r>
    </w:p>
    <w:p w:rsidR="0026266F" w:rsidRPr="003D2C56" w:rsidRDefault="00E34329" w:rsidP="0026266F">
      <w:pPr>
        <w:pStyle w:val="Heading3"/>
        <w:numPr>
          <w:ilvl w:val="0"/>
          <w:numId w:val="0"/>
        </w:numPr>
        <w:tabs>
          <w:tab w:val="clear" w:pos="720"/>
          <w:tab w:val="left" w:pos="4860"/>
        </w:tabs>
        <w:ind w:left="993"/>
        <w:rPr>
          <w:szCs w:val="24"/>
        </w:rPr>
      </w:pPr>
      <w:r w:rsidRPr="00E34329">
        <w:rPr>
          <w:szCs w:val="24"/>
        </w:rPr>
        <w:t xml:space="preserve">It has been further mentioned in the said order that: </w:t>
      </w:r>
    </w:p>
    <w:p w:rsidR="0026266F" w:rsidRPr="003D2C56" w:rsidRDefault="00E34329" w:rsidP="0026266F">
      <w:pPr>
        <w:pStyle w:val="Heading3"/>
        <w:numPr>
          <w:ilvl w:val="0"/>
          <w:numId w:val="0"/>
        </w:numPr>
        <w:tabs>
          <w:tab w:val="clear" w:pos="720"/>
          <w:tab w:val="left" w:pos="4860"/>
        </w:tabs>
        <w:ind w:left="1440"/>
        <w:rPr>
          <w:bCs w:val="0"/>
          <w:i/>
          <w:szCs w:val="24"/>
        </w:rPr>
      </w:pPr>
      <w:r w:rsidRPr="00E34329">
        <w:rPr>
          <w:i/>
          <w:szCs w:val="24"/>
        </w:rPr>
        <w:t xml:space="preserve">“the minimum charges are recovered as Licensee keeps in readiness of energy for the consumer to the extent of contracted demand. If the consumer does not avail of it, energy cannot be stored or preserve. The consumer is therefore, required to pay a fixed sum for energy generation/purchase, even if he does not consume electricity at the contractual level. The levy of minimum charges has been upheld legally, and is being used in several states to enable the utility to recover a part of fixed cost. The difference between levy of fixed charges and minimum charges is that while fixed charges are charged from consumer irrespective of consumption the minimum charges comes into effect only when </w:t>
      </w:r>
      <w:r w:rsidRPr="00E34329">
        <w:rPr>
          <w:i/>
          <w:szCs w:val="24"/>
        </w:rPr>
        <w:lastRenderedPageBreak/>
        <w:t>the bill amount is less than certain prescribed amount. If the minimum charges are not levied than there will be increase in some other charges as the utility has to recover on its prudently incurred cost from consumer.”</w:t>
      </w:r>
    </w:p>
    <w:p w:rsidR="0026266F" w:rsidRPr="003D2C56" w:rsidRDefault="00E34329" w:rsidP="0026266F">
      <w:pPr>
        <w:pStyle w:val="Heading3"/>
        <w:numPr>
          <w:ilvl w:val="0"/>
          <w:numId w:val="0"/>
        </w:numPr>
        <w:tabs>
          <w:tab w:val="clear" w:pos="720"/>
          <w:tab w:val="left" w:pos="4860"/>
        </w:tabs>
        <w:ind w:left="993"/>
        <w:rPr>
          <w:szCs w:val="24"/>
        </w:rPr>
      </w:pPr>
      <w:r w:rsidRPr="00E34329">
        <w:rPr>
          <w:szCs w:val="24"/>
        </w:rPr>
        <w:t>Therefore these charges are logical and necessary. It is submitted that fixed costs constitute around 40% of the total expenses of the distribution licensees. However, the revenue assessment from fixed charges is less than the 40% of the total expenses of the distribution licensees.</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numPr>
          <w:ilvl w:val="0"/>
          <w:numId w:val="199"/>
        </w:numPr>
        <w:spacing w:before="0"/>
        <w:contextualSpacing/>
        <w:rPr>
          <w:b/>
          <w:i/>
        </w:rPr>
      </w:pPr>
      <w:r w:rsidRPr="00E34329">
        <w:rPr>
          <w:rFonts w:cs="Calibri"/>
          <w:b/>
          <w:bCs/>
          <w:i/>
          <w:iCs/>
        </w:rPr>
        <w:t>The Commission’s view:</w:t>
      </w:r>
    </w:p>
    <w:p w:rsidR="00D5771F" w:rsidRDefault="00E34329">
      <w:pPr>
        <w:pStyle w:val="Heading3"/>
        <w:tabs>
          <w:tab w:val="clear" w:pos="720"/>
          <w:tab w:val="left" w:pos="4860"/>
        </w:tabs>
        <w:ind w:left="993" w:hanging="993"/>
        <w:rPr>
          <w:szCs w:val="24"/>
        </w:rPr>
      </w:pPr>
      <w:r w:rsidRPr="00E34329">
        <w:rPr>
          <w:szCs w:val="24"/>
        </w:rPr>
        <w:t>The Commission has taken note of the objections / suggestions made by the Stakeholders in this regard. The Commission has taken note of the objections / suggestions made by the stakeholders in this regard. Further, the Licensees in its submission have provided the justification towards the rationale for imposition of such charges. The Commission has considered the same and the details of all the aspects have been covered subsequently in Chapter Tariff Philosophy and Rate Schedule provided in this Order.</w:t>
      </w:r>
    </w:p>
    <w:p w:rsidR="0026266F" w:rsidRPr="003D2C56" w:rsidRDefault="0026266F" w:rsidP="0026266F">
      <w:pPr>
        <w:pStyle w:val="Heading3"/>
        <w:numPr>
          <w:ilvl w:val="0"/>
          <w:numId w:val="0"/>
        </w:numPr>
        <w:tabs>
          <w:tab w:val="clear" w:pos="720"/>
          <w:tab w:val="left" w:pos="4860"/>
        </w:tabs>
        <w:ind w:left="993"/>
        <w:rPr>
          <w:rFonts w:cs="Calibri"/>
          <w:szCs w:val="24"/>
        </w:rPr>
      </w:pPr>
    </w:p>
    <w:p w:rsidR="00D5771F" w:rsidRDefault="00E34329">
      <w:pPr>
        <w:pStyle w:val="Heading2"/>
        <w:spacing w:line="276" w:lineRule="auto"/>
        <w:rPr>
          <w:rFonts w:ascii="Calibri" w:hAnsi="Calibri"/>
        </w:rPr>
      </w:pPr>
      <w:bookmarkStart w:id="121" w:name="_Toc454277474"/>
      <w:bookmarkStart w:id="122" w:name="_Toc457603903"/>
      <w:r w:rsidRPr="00E34329">
        <w:rPr>
          <w:rFonts w:ascii="Calibri" w:hAnsi="Calibri"/>
        </w:rPr>
        <w:t>RECOVERY OF OUTSTANDING DUES</w:t>
      </w:r>
      <w:bookmarkEnd w:id="121"/>
      <w:bookmarkEnd w:id="122"/>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numPr>
          <w:ilvl w:val="0"/>
          <w:numId w:val="200"/>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szCs w:val="24"/>
        </w:rPr>
      </w:pPr>
      <w:r w:rsidRPr="00E34329">
        <w:rPr>
          <w:szCs w:val="24"/>
        </w:rPr>
        <w:t>Shri K. L. Aggarwal chairman Associate Chambers of Commerce &amp; Industries of U. P submitted that sincere efforts to be made for recovery of outstanding dues and passing on the burden to honest consumer may be avoided.</w:t>
      </w:r>
    </w:p>
    <w:p w:rsidR="000355BC" w:rsidRDefault="00E34329" w:rsidP="000355BC">
      <w:pPr>
        <w:pStyle w:val="Heading3"/>
        <w:tabs>
          <w:tab w:val="clear" w:pos="720"/>
          <w:tab w:val="left" w:pos="4860"/>
        </w:tabs>
        <w:ind w:left="993" w:hanging="993"/>
        <w:rPr>
          <w:szCs w:val="24"/>
        </w:rPr>
      </w:pPr>
      <w:r w:rsidRPr="00E34329">
        <w:rPr>
          <w:szCs w:val="24"/>
        </w:rPr>
        <w:t>Shri Rama Shanker Awasthi submitted that the State Discoms have very poor collection efficiency thereby always having a cash flow problem and it directly affects the consumer services and maintenance part. It is further submitted that the State Discoms must improve their collection efficiency.</w:t>
      </w:r>
    </w:p>
    <w:p w:rsidR="00337C98" w:rsidRDefault="00337C98" w:rsidP="00337C98">
      <w:pPr>
        <w:pStyle w:val="Heading3"/>
        <w:numPr>
          <w:ilvl w:val="0"/>
          <w:numId w:val="0"/>
        </w:numPr>
        <w:tabs>
          <w:tab w:val="clear" w:pos="720"/>
          <w:tab w:val="left" w:pos="4860"/>
        </w:tabs>
        <w:ind w:left="993"/>
        <w:rPr>
          <w:szCs w:val="24"/>
        </w:rPr>
      </w:pPr>
    </w:p>
    <w:p w:rsidR="0026266F" w:rsidRPr="003D2C56" w:rsidRDefault="00E34329" w:rsidP="0026266F">
      <w:pPr>
        <w:numPr>
          <w:ilvl w:val="0"/>
          <w:numId w:val="200"/>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 xml:space="preserve">The Licensee submitted that arrear in the books of accounts include a huge amount against the consumers whose permanent disconnection are pending for final settlement. Further, in the past, One Time Settlement schemes were launched, wherein old arrears were settled; but in some cases the arrears are still shown in </w:t>
      </w:r>
      <w:r w:rsidRPr="00E34329">
        <w:rPr>
          <w:szCs w:val="24"/>
        </w:rPr>
        <w:lastRenderedPageBreak/>
        <w:t>commercial records. Further true-up petitions up to FY 2013-14 have already been filed on the basis of audited accounts, so every concern of the consumers would be taken care of in yearly calculations which will depict the correct picture of the revenue and expenditure. The Tariff and True-up petitions have been filed in accordance with the Tariff Regulations. The burden of arrears and the recovery thereof, if any, would have no impact of the allowable True-up and ARR of any year.</w:t>
      </w:r>
    </w:p>
    <w:p w:rsidR="00D5771F" w:rsidRDefault="00E34329">
      <w:pPr>
        <w:pStyle w:val="Heading3"/>
        <w:tabs>
          <w:tab w:val="clear" w:pos="720"/>
          <w:tab w:val="left" w:pos="4860"/>
        </w:tabs>
        <w:ind w:left="993" w:hanging="993"/>
        <w:rPr>
          <w:szCs w:val="24"/>
        </w:rPr>
      </w:pPr>
      <w:r w:rsidRPr="00E34329">
        <w:rPr>
          <w:szCs w:val="24"/>
        </w:rPr>
        <w:t xml:space="preserve">Further, the ARR / Tariff would be determined by the Commission based on audited accounts of (n-2th) year which reflect true and fair view of the financial transaction. Further this exercise will be carried on yearly basis which will take care of the concern of the stakeholders. </w:t>
      </w:r>
    </w:p>
    <w:p w:rsidR="00D5771F" w:rsidRDefault="00E34329">
      <w:pPr>
        <w:pStyle w:val="Heading3"/>
        <w:tabs>
          <w:tab w:val="clear" w:pos="720"/>
          <w:tab w:val="left" w:pos="4860"/>
        </w:tabs>
        <w:ind w:left="993" w:hanging="993"/>
        <w:rPr>
          <w:szCs w:val="24"/>
        </w:rPr>
      </w:pPr>
      <w:r w:rsidRPr="00E34329">
        <w:rPr>
          <w:szCs w:val="24"/>
        </w:rPr>
        <w:t>The tariff of the Licensees is determined on accrual basis. The past dues cannot be treated as income of the Distribution Licensees. Thus, it will have no effect on determination of tariff. The electricity charges are recognised as income once the bills are raised on accrual basis. Hence, they cannot be recognised as income source when arrears are collected. The Commission fixes the tariff on accrual basis and not on the cash basis.</w:t>
      </w:r>
    </w:p>
    <w:p w:rsidR="00D5771F" w:rsidRDefault="00E34329">
      <w:pPr>
        <w:pStyle w:val="Heading3"/>
        <w:tabs>
          <w:tab w:val="clear" w:pos="720"/>
          <w:tab w:val="left" w:pos="4860"/>
        </w:tabs>
        <w:ind w:left="993" w:hanging="993"/>
        <w:rPr>
          <w:szCs w:val="24"/>
        </w:rPr>
      </w:pPr>
      <w:r w:rsidRPr="00E34329">
        <w:rPr>
          <w:szCs w:val="24"/>
        </w:rPr>
        <w:t>Treating the realization of arrears as income would amount to double counting of income. Therefore, it cannot be treated as income again on realization. This issue has been fairly established by the Hon’ble APTEL in its judgment in Appeal No. 15 of 2012 and Appeal No. 152 of 2011.</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200"/>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The Commission has ensured that Truing-up and Tariff determination has been done in accordance with the philosophies and principles laid in the Distribution Tariff Regulations, 2006 and the past Orders of the Commission. In the True up Sections of this Order the Commission has also conducted revenue side Truing up and the Commission has considered the revenue billed on accrual basis and not the revenue collected on cash basis, which has ensured that the burden of poor collection efficiency and consequent larger arrears is not passed on to the consumers.</w:t>
      </w:r>
    </w:p>
    <w:p w:rsidR="0026266F" w:rsidRPr="003D2C56" w:rsidRDefault="0026266F" w:rsidP="0026266F">
      <w:pPr>
        <w:pStyle w:val="Heading3"/>
        <w:numPr>
          <w:ilvl w:val="0"/>
          <w:numId w:val="0"/>
        </w:numPr>
        <w:tabs>
          <w:tab w:val="clear" w:pos="720"/>
          <w:tab w:val="left" w:pos="4860"/>
        </w:tabs>
        <w:ind w:left="993"/>
        <w:rPr>
          <w:bCs w:val="0"/>
          <w:szCs w:val="24"/>
        </w:rPr>
      </w:pPr>
    </w:p>
    <w:p w:rsidR="00D5771F" w:rsidRDefault="00E34329">
      <w:pPr>
        <w:pStyle w:val="Heading2"/>
        <w:spacing w:line="276" w:lineRule="auto"/>
        <w:rPr>
          <w:rFonts w:ascii="Calibri" w:hAnsi="Calibri"/>
        </w:rPr>
      </w:pPr>
      <w:bookmarkStart w:id="123" w:name="_Toc454277475"/>
      <w:bookmarkStart w:id="124" w:name="_Toc457603904"/>
      <w:r w:rsidRPr="00E34329">
        <w:rPr>
          <w:rFonts w:ascii="Calibri" w:hAnsi="Calibri"/>
        </w:rPr>
        <w:t>REBATE ON PAYMENT/ OTHER REBATES</w:t>
      </w:r>
      <w:bookmarkEnd w:id="123"/>
      <w:bookmarkEnd w:id="124"/>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numPr>
          <w:ilvl w:val="0"/>
          <w:numId w:val="201"/>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szCs w:val="24"/>
        </w:rPr>
      </w:pPr>
      <w:r w:rsidRPr="00E34329">
        <w:rPr>
          <w:szCs w:val="24"/>
        </w:rPr>
        <w:lastRenderedPageBreak/>
        <w:t>Shri K. L. Aggarwal chairman Associate Chambers of Commerce &amp; Industries of U. P, Shri Avadhesh Kumar, Chairman, Uttar Pradesh Rajya Vidyut Upbhoktha Parishad and North Central Railway submitted that as per FY 2015-16 Tariff Order  the consumers paying bill timely get rebate of 0.25% which should be increased to 2%. Since every year OTS scheme is launched for defaulters in which 50% to 100% surcharge waiver is allowed. Because of this scheme, the consumer who pays their bills on time feels betrayed. They further requested the Commission to increase the rebate for timely payment to 2%.</w:t>
      </w:r>
    </w:p>
    <w:p w:rsidR="00D5771F" w:rsidRDefault="00E34329">
      <w:pPr>
        <w:pStyle w:val="Heading3"/>
        <w:tabs>
          <w:tab w:val="clear" w:pos="720"/>
          <w:tab w:val="left" w:pos="4860"/>
        </w:tabs>
        <w:ind w:left="993" w:hanging="993"/>
        <w:rPr>
          <w:szCs w:val="24"/>
        </w:rPr>
      </w:pPr>
      <w:r w:rsidRPr="00E34329">
        <w:rPr>
          <w:szCs w:val="24"/>
        </w:rPr>
        <w:t>Shri Vishnu Bhagwan Agarwal Chairman, Agra Chapter, ASSOCHAM, U.P and Ashok kumar Goyal President, National Chamber of Industries &amp; Commerce submitted that honest consumer shall get rebate of 5% in their electricity bills if the variance between pole meter and meter installed at consumer premises is within  2%.</w:t>
      </w:r>
    </w:p>
    <w:p w:rsidR="0026266F" w:rsidRPr="003D2C56" w:rsidRDefault="0026266F" w:rsidP="0026266F">
      <w:pPr>
        <w:pStyle w:val="Heading3"/>
        <w:numPr>
          <w:ilvl w:val="0"/>
          <w:numId w:val="0"/>
        </w:numPr>
        <w:tabs>
          <w:tab w:val="clear" w:pos="720"/>
          <w:tab w:val="left" w:pos="4860"/>
        </w:tabs>
        <w:ind w:left="993"/>
        <w:rPr>
          <w:szCs w:val="24"/>
        </w:rPr>
      </w:pPr>
    </w:p>
    <w:p w:rsidR="0026266F" w:rsidRPr="003D2C56" w:rsidRDefault="00E34329" w:rsidP="0026266F">
      <w:pPr>
        <w:numPr>
          <w:ilvl w:val="0"/>
          <w:numId w:val="201"/>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The Licensee submitted that the rebate on payment on or before due date is given as per the Commission’s Tariff Order for FY 2015-16. Further, Licensee has proposed same rebate in its tariff proposal for FY 2016-17. It is submitted that tariff proposal has been proposed keeping in view the interest of Licensee as well as consumers. Further reduction / rebate is not desirable as it will adversely affect the financial position of the licensee. The genuine costs incurred by the licensee should be allowed to be recovered in a reasonable manner as per the terms of the UPERC Tariff Regulations, 2006 and the Electricity Act, 2003.</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numPr>
          <w:ilvl w:val="0"/>
          <w:numId w:val="201"/>
        </w:numPr>
        <w:spacing w:before="0"/>
        <w:contextualSpacing/>
        <w:rPr>
          <w:b/>
          <w:i/>
        </w:rPr>
      </w:pPr>
      <w:r w:rsidRPr="00E34329">
        <w:rPr>
          <w:rFonts w:cs="Calibri"/>
          <w:b/>
          <w:bCs/>
          <w:i/>
          <w:iCs/>
        </w:rPr>
        <w:t>The Commission’s view:</w:t>
      </w:r>
    </w:p>
    <w:p w:rsidR="00D5771F" w:rsidRDefault="00E34329">
      <w:pPr>
        <w:pStyle w:val="Heading3"/>
        <w:tabs>
          <w:tab w:val="clear" w:pos="720"/>
          <w:tab w:val="left" w:pos="4860"/>
        </w:tabs>
        <w:ind w:left="993" w:hanging="993"/>
        <w:rPr>
          <w:bCs w:val="0"/>
          <w:szCs w:val="24"/>
        </w:rPr>
      </w:pPr>
      <w:r w:rsidRPr="00E34329">
        <w:rPr>
          <w:szCs w:val="24"/>
        </w:rPr>
        <w:t>The Commission has taken note of the objections / suggestions made by the stakeholders in this regards. The applicable Tariffs for all the consumer categories have been desi</w:t>
      </w:r>
      <w:r w:rsidRPr="00E34329">
        <w:rPr>
          <w:bCs w:val="0"/>
          <w:szCs w:val="24"/>
        </w:rPr>
        <w:t>gned in accordance with the Electricity Act, 2003 and the Tariff Policy. The details of all the aspects related to Tariff design have been covered subsequently in Chapter of Tariff Philosophy and Rate Schedule provided in this Order.</w:t>
      </w:r>
    </w:p>
    <w:p w:rsidR="0026266F" w:rsidRPr="003D2C56" w:rsidRDefault="0026266F" w:rsidP="0026266F">
      <w:pPr>
        <w:pStyle w:val="ListParagraph"/>
        <w:rPr>
          <w:rFonts w:cs="Calibri"/>
        </w:rPr>
      </w:pPr>
    </w:p>
    <w:p w:rsidR="00D5771F" w:rsidRDefault="00E34329">
      <w:pPr>
        <w:pStyle w:val="Heading2"/>
        <w:spacing w:line="276" w:lineRule="auto"/>
        <w:rPr>
          <w:rFonts w:ascii="Calibri" w:hAnsi="Calibri"/>
          <w:bCs w:val="0"/>
        </w:rPr>
      </w:pPr>
      <w:bookmarkStart w:id="125" w:name="_Toc453746327"/>
      <w:bookmarkStart w:id="126" w:name="_Toc453522774"/>
      <w:bookmarkStart w:id="127" w:name="_Toc453522775"/>
      <w:bookmarkStart w:id="128" w:name="_Toc453746328"/>
      <w:bookmarkStart w:id="129" w:name="_Toc453746329"/>
      <w:bookmarkStart w:id="130" w:name="_Toc453746330"/>
      <w:bookmarkStart w:id="131" w:name="_Toc453746331"/>
      <w:bookmarkStart w:id="132" w:name="_Toc453746332"/>
      <w:bookmarkStart w:id="133" w:name="_Toc453746333"/>
      <w:bookmarkStart w:id="134" w:name="_Toc453746334"/>
      <w:bookmarkStart w:id="135" w:name="_Toc453746335"/>
      <w:bookmarkStart w:id="136" w:name="_Toc453746336"/>
      <w:bookmarkStart w:id="137" w:name="_Toc453746337"/>
      <w:bookmarkStart w:id="138" w:name="_Toc453746338"/>
      <w:bookmarkStart w:id="139" w:name="_Toc454277476"/>
      <w:bookmarkStart w:id="140" w:name="_Toc457603905"/>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E34329">
        <w:rPr>
          <w:rFonts w:ascii="Calibri" w:hAnsi="Calibri"/>
          <w:bCs w:val="0"/>
        </w:rPr>
        <w:t>ELECTRICITY DUTY AND SECURITY DEPOSIT</w:t>
      </w:r>
      <w:bookmarkEnd w:id="139"/>
      <w:bookmarkEnd w:id="140"/>
    </w:p>
    <w:p w:rsidR="0026266F" w:rsidRPr="003D2C56" w:rsidRDefault="0026266F" w:rsidP="0026266F">
      <w:pPr>
        <w:pStyle w:val="Heading2"/>
        <w:numPr>
          <w:ilvl w:val="0"/>
          <w:numId w:val="0"/>
        </w:numPr>
        <w:spacing w:line="276" w:lineRule="auto"/>
        <w:ind w:left="780"/>
        <w:rPr>
          <w:rFonts w:ascii="Calibri" w:hAnsi="Calibri"/>
          <w:bCs w:val="0"/>
        </w:rPr>
      </w:pPr>
    </w:p>
    <w:p w:rsidR="0026266F" w:rsidRPr="003D2C56" w:rsidRDefault="00E34329" w:rsidP="0026266F">
      <w:pPr>
        <w:numPr>
          <w:ilvl w:val="0"/>
          <w:numId w:val="202"/>
        </w:numPr>
        <w:spacing w:before="0"/>
        <w:contextualSpacing/>
        <w:rPr>
          <w:rFonts w:cs="Calibri"/>
          <w:b/>
          <w:i/>
          <w:iCs/>
        </w:rPr>
      </w:pPr>
      <w:r w:rsidRPr="00E34329">
        <w:rPr>
          <w:rFonts w:cs="Calibri"/>
          <w:b/>
          <w:i/>
          <w:iCs/>
        </w:rPr>
        <w:t>Comments/Suggestions of the Public</w:t>
      </w:r>
    </w:p>
    <w:p w:rsidR="00D5771F" w:rsidRDefault="00E34329">
      <w:pPr>
        <w:pStyle w:val="Heading3"/>
        <w:tabs>
          <w:tab w:val="clear" w:pos="720"/>
          <w:tab w:val="left" w:pos="4860"/>
        </w:tabs>
        <w:ind w:left="993" w:hanging="993"/>
        <w:rPr>
          <w:szCs w:val="24"/>
        </w:rPr>
      </w:pPr>
      <w:r w:rsidRPr="00E34329">
        <w:rPr>
          <w:bCs w:val="0"/>
          <w:szCs w:val="24"/>
        </w:rPr>
        <w:lastRenderedPageBreak/>
        <w:t>The Mahabir Jute Mills Ltd. and  Shri V.K. Seth, Noida Entrepreneurs Association submitted that bills are made 1st day after the end of the month and due date is 7 days</w:t>
      </w:r>
      <w:r w:rsidRPr="00E34329">
        <w:rPr>
          <w:szCs w:val="24"/>
        </w:rPr>
        <w:t>, hence security deposit for 2 months is unreasonable. Due date may be extended up to 21 days.</w:t>
      </w:r>
    </w:p>
    <w:p w:rsidR="00D5771F" w:rsidRDefault="00E34329">
      <w:pPr>
        <w:pStyle w:val="Heading3"/>
        <w:tabs>
          <w:tab w:val="clear" w:pos="720"/>
          <w:tab w:val="left" w:pos="4860"/>
        </w:tabs>
        <w:ind w:left="993" w:hanging="993"/>
        <w:rPr>
          <w:rFonts w:cs="Calibri"/>
          <w:color w:val="000000"/>
          <w:szCs w:val="24"/>
        </w:rPr>
      </w:pPr>
      <w:r w:rsidRPr="00E34329">
        <w:rPr>
          <w:rFonts w:cs="Calibri"/>
          <w:szCs w:val="24"/>
        </w:rPr>
        <w:t xml:space="preserve">Shri K. L. Aggarwal chairman </w:t>
      </w:r>
      <w:r w:rsidRPr="00E34329">
        <w:rPr>
          <w:rFonts w:cs="Calibri"/>
          <w:color w:val="000000"/>
          <w:szCs w:val="24"/>
        </w:rPr>
        <w:t xml:space="preserve">Associate Chambers of Commerce, &amp; Shri Sanjay Jaiswal Director, Ram Charan Steels Ltd. &amp; Industries of U. P </w:t>
      </w:r>
      <w:r w:rsidRPr="00E34329">
        <w:rPr>
          <w:rFonts w:cs="Calibri"/>
          <w:szCs w:val="24"/>
        </w:rPr>
        <w:t>submitted thatfrom September 13, 2012 onwards, Electricity Duty (ED) was charged as 7.5% which comes approx 0.53 paiseper unit against the earlier one i.e. 0.09 paisa per unit. They further requested to continue the earlier rate of electricity duty i.e. 0.09 paise per unit instead of 7.5% on the amount on energy charges and fixed charges.</w:t>
      </w:r>
    </w:p>
    <w:p w:rsidR="00D5771F" w:rsidRDefault="00E34329">
      <w:pPr>
        <w:pStyle w:val="Heading3"/>
        <w:tabs>
          <w:tab w:val="clear" w:pos="720"/>
          <w:tab w:val="left" w:pos="4860"/>
        </w:tabs>
        <w:ind w:left="993" w:hanging="993"/>
        <w:rPr>
          <w:rFonts w:cs="Calibri"/>
          <w:szCs w:val="24"/>
        </w:rPr>
      </w:pPr>
      <w:r w:rsidRPr="00E34329">
        <w:rPr>
          <w:rFonts w:cs="Calibri"/>
          <w:szCs w:val="24"/>
        </w:rPr>
        <w:t xml:space="preserve">Shri Manoj Aggarwal Chairman Laghu Udyog Bharti Aligarh submitted that the consumers who are currently exempted from paying electricity duty but have paid electricity duty in the past should be liable to get refund of their paid electricity duty or same amount may be adjusted in their future electricity bills. </w:t>
      </w:r>
    </w:p>
    <w:p w:rsidR="00D5771F" w:rsidRDefault="00E34329">
      <w:pPr>
        <w:pStyle w:val="Heading3"/>
        <w:tabs>
          <w:tab w:val="clear" w:pos="720"/>
        </w:tabs>
        <w:ind w:left="993" w:hanging="993"/>
        <w:rPr>
          <w:szCs w:val="24"/>
        </w:rPr>
      </w:pPr>
      <w:r w:rsidRPr="00E34329">
        <w:rPr>
          <w:szCs w:val="24"/>
        </w:rPr>
        <w:t>Shri Vishnu Bhagwan Agarwal Chairman, Agra Chapter, ASSOCHAM, U.P and Ashok kumar Goyal President, National Chamber of Industries &amp; Commerce submitted that the Electricity Act was operative in 2003, as per provision the interest on security deposit was made payable at bank rate prevailing on 1st April of the ensuing year. UPPCL started paying interest at bank rate w.e.f 2007. The differential interest amount from 2003 to 2007 has to be refunded to the consumer.</w:t>
      </w:r>
    </w:p>
    <w:p w:rsidR="006C63AF" w:rsidRPr="006C63AF" w:rsidRDefault="00E34329" w:rsidP="006C63AF">
      <w:pPr>
        <w:pStyle w:val="Heading3"/>
        <w:tabs>
          <w:tab w:val="clear" w:pos="720"/>
          <w:tab w:val="left" w:pos="4860"/>
        </w:tabs>
        <w:ind w:left="993" w:hanging="993"/>
        <w:rPr>
          <w:rFonts w:cs="Calibri"/>
          <w:color w:val="000000"/>
        </w:rPr>
      </w:pPr>
      <w:r w:rsidRPr="00E34329">
        <w:rPr>
          <w:szCs w:val="24"/>
        </w:rPr>
        <w:t>Shri Ashok Kumar Goyal President, National Chamber of Industries &amp; Commerce U.P. submitted that Licensees has not refunded excess money collected i.e. Regulatory Surcharge from April 2016 and balance amount of security from 2003 to 2007. Stakeholder further requested the Commission that excess amount should be paid with interest @ 15% i.e. the rate of late payment surcharge.</w:t>
      </w:r>
    </w:p>
    <w:p w:rsidR="001304A1" w:rsidRPr="003D2C56" w:rsidRDefault="001304A1" w:rsidP="0026266F">
      <w:pPr>
        <w:tabs>
          <w:tab w:val="left" w:pos="1980"/>
        </w:tabs>
        <w:ind w:left="720"/>
        <w:rPr>
          <w:rFonts w:cs="Calibri"/>
          <w:color w:val="000000"/>
        </w:rPr>
      </w:pPr>
    </w:p>
    <w:p w:rsidR="0026266F" w:rsidRPr="003D2C56" w:rsidRDefault="00E34329" w:rsidP="0026266F">
      <w:pPr>
        <w:numPr>
          <w:ilvl w:val="0"/>
          <w:numId w:val="202"/>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The Licensee submitted that the interest on consumer security deposit is being given to consumers as per the Orders of the Commission. The provisions related to security deposit and the interest payable on the same are amply clear and are dealt with in detail in the Distribution Tariff Regulations. Such provisions are being followed in letter and spirit by the Licensees.</w:t>
      </w:r>
    </w:p>
    <w:p w:rsidR="00D5771F" w:rsidRDefault="00E34329">
      <w:pPr>
        <w:pStyle w:val="Heading3"/>
        <w:tabs>
          <w:tab w:val="clear" w:pos="720"/>
          <w:tab w:val="left" w:pos="4860"/>
        </w:tabs>
        <w:ind w:left="993" w:hanging="993"/>
        <w:rPr>
          <w:szCs w:val="24"/>
        </w:rPr>
      </w:pPr>
      <w:r w:rsidRPr="00E34329">
        <w:rPr>
          <w:szCs w:val="24"/>
        </w:rPr>
        <w:lastRenderedPageBreak/>
        <w:t>However, in case any specific discrepancy is brought to the knowledge of the licensee, it is immediately rectified and consumer is credited with the interest on consumer security deposit.</w:t>
      </w:r>
    </w:p>
    <w:p w:rsidR="00D5771F" w:rsidRDefault="00E34329">
      <w:pPr>
        <w:pStyle w:val="Heading3"/>
        <w:tabs>
          <w:tab w:val="clear" w:pos="720"/>
          <w:tab w:val="left" w:pos="4860"/>
        </w:tabs>
        <w:ind w:left="993" w:hanging="993"/>
        <w:rPr>
          <w:szCs w:val="24"/>
        </w:rPr>
      </w:pPr>
      <w:r w:rsidRPr="00E34329">
        <w:rPr>
          <w:szCs w:val="24"/>
        </w:rPr>
        <w:t>The Licensee further submitted that electricity duty is payable to the State Government and its chargeability and rates are not governed by the Tariff Order.</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202"/>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rFonts w:cs="Calibri"/>
          <w:szCs w:val="24"/>
        </w:rPr>
      </w:pPr>
      <w:r w:rsidRPr="00E34329">
        <w:rPr>
          <w:rFonts w:cs="Calibri"/>
          <w:szCs w:val="24"/>
        </w:rPr>
        <w:t>Matters related to electricity duty relate to GoUP and the stakeholders requiring any such clarifications may approach the GoUP along with their proposal.</w:t>
      </w:r>
    </w:p>
    <w:p w:rsidR="00D5771F" w:rsidRDefault="00E34329">
      <w:pPr>
        <w:pStyle w:val="Heading3"/>
        <w:tabs>
          <w:tab w:val="clear" w:pos="720"/>
          <w:tab w:val="left" w:pos="4860"/>
        </w:tabs>
        <w:ind w:left="993" w:hanging="993"/>
        <w:rPr>
          <w:rFonts w:cs="Calibri"/>
          <w:szCs w:val="24"/>
        </w:rPr>
      </w:pPr>
      <w:r w:rsidRPr="00E34329">
        <w:rPr>
          <w:rFonts w:cs="Calibri"/>
          <w:szCs w:val="24"/>
        </w:rPr>
        <w:t>The provisions related to security deposit and the interest payable on the same are amply clear and are dealt with in detail in the Distribution Tariff Regulations, 2006. It needs to be followed in the same spirit by both, the Licensee as well as the consumers.</w:t>
      </w:r>
    </w:p>
    <w:p w:rsidR="00D5771F" w:rsidRDefault="00E34329">
      <w:pPr>
        <w:pStyle w:val="Heading3"/>
        <w:tabs>
          <w:tab w:val="clear" w:pos="720"/>
          <w:tab w:val="left" w:pos="4860"/>
        </w:tabs>
        <w:ind w:left="993" w:hanging="993"/>
        <w:rPr>
          <w:rFonts w:cs="Calibri"/>
          <w:szCs w:val="24"/>
        </w:rPr>
      </w:pPr>
      <w:r w:rsidRPr="00E34329">
        <w:rPr>
          <w:rFonts w:cs="Calibri"/>
          <w:szCs w:val="24"/>
        </w:rPr>
        <w:t>The Commission in its earlier Orders has directed the Licensee on the above matter and it once again directs the Licensee to pay the applicable interest on security deposit as per the Orders of the Commission and submit the compliance report with the next ARR filing. Licensees are directed to ensure the timely payment of the interest on security deposit to the consumers.</w:t>
      </w:r>
    </w:p>
    <w:p w:rsidR="0026266F" w:rsidRPr="003D2C56" w:rsidRDefault="0026266F" w:rsidP="0026266F">
      <w:pPr>
        <w:pStyle w:val="Heading3"/>
        <w:numPr>
          <w:ilvl w:val="0"/>
          <w:numId w:val="0"/>
        </w:numPr>
        <w:tabs>
          <w:tab w:val="clear" w:pos="720"/>
          <w:tab w:val="left" w:pos="4860"/>
        </w:tabs>
        <w:rPr>
          <w:rFonts w:cs="Calibri"/>
          <w:szCs w:val="24"/>
        </w:rPr>
      </w:pPr>
    </w:p>
    <w:p w:rsidR="00D5771F" w:rsidRDefault="00E34329">
      <w:pPr>
        <w:pStyle w:val="Heading2"/>
        <w:spacing w:line="276" w:lineRule="auto"/>
        <w:rPr>
          <w:rFonts w:ascii="Calibri" w:hAnsi="Calibri"/>
        </w:rPr>
      </w:pPr>
      <w:bookmarkStart w:id="141" w:name="_Toc454277477"/>
      <w:bookmarkStart w:id="142" w:name="_Toc457603906"/>
      <w:r w:rsidRPr="00E34329">
        <w:rPr>
          <w:rFonts w:ascii="Calibri" w:hAnsi="Calibri"/>
        </w:rPr>
        <w:t>SUBSIDY FROM GoUP</w:t>
      </w:r>
      <w:bookmarkEnd w:id="141"/>
      <w:bookmarkEnd w:id="142"/>
    </w:p>
    <w:p w:rsidR="006C63AF" w:rsidRDefault="006C63AF" w:rsidP="006C63AF">
      <w:pPr>
        <w:spacing w:before="0"/>
        <w:ind w:left="360"/>
        <w:contextualSpacing/>
        <w:rPr>
          <w:rFonts w:cs="Calibri"/>
          <w:b/>
          <w:bCs/>
          <w:i/>
          <w:iCs/>
        </w:rPr>
      </w:pPr>
    </w:p>
    <w:p w:rsidR="0026266F" w:rsidRPr="003D2C56" w:rsidRDefault="00E34329" w:rsidP="0026266F">
      <w:pPr>
        <w:numPr>
          <w:ilvl w:val="0"/>
          <w:numId w:val="203"/>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rFonts w:cs="Calibri"/>
          <w:szCs w:val="24"/>
        </w:rPr>
      </w:pPr>
      <w:r w:rsidRPr="00E34329">
        <w:rPr>
          <w:rFonts w:cs="Calibri"/>
          <w:szCs w:val="24"/>
        </w:rPr>
        <w:t xml:space="preserve">Shri Rama Shanker Awasthi submitted that the State Discoms must provide details of subsidy received from GoUP from FY 2007-08 onwards along with detailed computations. It is further submitted that in the absence of actual subsidy received by the State Discoms, filling of objection and conducting hearing is merely formality and purposeless. </w:t>
      </w:r>
    </w:p>
    <w:p w:rsidR="0026266F" w:rsidRPr="003D2C56" w:rsidRDefault="0026266F" w:rsidP="0026266F">
      <w:pPr>
        <w:tabs>
          <w:tab w:val="left" w:pos="1980"/>
        </w:tabs>
        <w:ind w:left="720"/>
        <w:rPr>
          <w:rFonts w:cs="Calibri"/>
          <w:color w:val="000000"/>
        </w:rPr>
      </w:pPr>
    </w:p>
    <w:p w:rsidR="0026266F" w:rsidRPr="003D2C56" w:rsidRDefault="00E34329" w:rsidP="0026266F">
      <w:pPr>
        <w:numPr>
          <w:ilvl w:val="0"/>
          <w:numId w:val="203"/>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rFonts w:cs="Calibri"/>
          <w:bCs w:val="0"/>
          <w:szCs w:val="24"/>
        </w:rPr>
      </w:pPr>
      <w:r w:rsidRPr="00E34329">
        <w:rPr>
          <w:rFonts w:cs="Calibri"/>
          <w:szCs w:val="24"/>
        </w:rPr>
        <w:t>The Petitioner submitted that the item-wise subsidy has been duly submitted in the ARR Petition</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203"/>
        </w:numPr>
        <w:tabs>
          <w:tab w:val="left" w:pos="1980"/>
        </w:tabs>
        <w:spacing w:before="0"/>
        <w:contextualSpacing/>
        <w:rPr>
          <w:b/>
          <w:i/>
        </w:rPr>
      </w:pPr>
      <w:r w:rsidRPr="00E34329">
        <w:rPr>
          <w:b/>
          <w:i/>
        </w:rPr>
        <w:lastRenderedPageBreak/>
        <w:t>The Commission’s view:</w:t>
      </w:r>
    </w:p>
    <w:p w:rsidR="00D5771F" w:rsidRDefault="00E34329">
      <w:pPr>
        <w:pStyle w:val="Heading3"/>
        <w:tabs>
          <w:tab w:val="clear" w:pos="720"/>
          <w:tab w:val="left" w:pos="4860"/>
        </w:tabs>
        <w:ind w:left="993" w:hanging="993"/>
        <w:rPr>
          <w:rFonts w:cs="Calibri"/>
          <w:szCs w:val="24"/>
        </w:rPr>
      </w:pPr>
      <w:r w:rsidRPr="00E34329">
        <w:rPr>
          <w:rFonts w:cs="Calibri"/>
          <w:szCs w:val="24"/>
        </w:rPr>
        <w:t xml:space="preserve">The Commission has taken note of the objections / suggestions made by the stakeholders in this regard and the details of GoUP subsidy considered are discussed in detail in subsequent sections of this Order. </w:t>
      </w:r>
    </w:p>
    <w:p w:rsidR="0026266F" w:rsidRPr="003D2C56" w:rsidRDefault="0026266F" w:rsidP="0026266F">
      <w:pPr>
        <w:rPr>
          <w:rFonts w:cs="Calibri"/>
          <w:b/>
          <w:bCs/>
        </w:rPr>
      </w:pPr>
    </w:p>
    <w:p w:rsidR="00D5771F" w:rsidRDefault="00E34329">
      <w:pPr>
        <w:pStyle w:val="Heading2"/>
        <w:spacing w:line="276" w:lineRule="auto"/>
        <w:rPr>
          <w:rFonts w:ascii="Calibri" w:hAnsi="Calibri"/>
        </w:rPr>
      </w:pPr>
      <w:bookmarkStart w:id="143" w:name="_Toc454277478"/>
      <w:bookmarkStart w:id="144" w:name="_Toc457603907"/>
      <w:r w:rsidRPr="00E34329">
        <w:rPr>
          <w:rFonts w:ascii="Calibri" w:hAnsi="Calibri"/>
        </w:rPr>
        <w:t>PRICE AND QUANTUM OF POWER PURCHASE</w:t>
      </w:r>
      <w:bookmarkEnd w:id="143"/>
      <w:bookmarkEnd w:id="144"/>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numPr>
          <w:ilvl w:val="0"/>
          <w:numId w:val="204"/>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rFonts w:cs="Calibri"/>
          <w:szCs w:val="24"/>
        </w:rPr>
      </w:pPr>
      <w:r w:rsidRPr="00E34329">
        <w:rPr>
          <w:rFonts w:cs="Calibri"/>
          <w:szCs w:val="24"/>
        </w:rPr>
        <w:t xml:space="preserve">Shri Amar Singh, President Consumer Protection Society submitted that the petition do not contain the actual data of supply of power received by UPPCL during past financial years. The energy said to have been received during FY 2014-15, FY 2015-16 from various plants does not represent the actual figures and the figures are overestimated and grossly differs from the generation records compiled from the daily progress report being send to CEA. Stakeholder further submitted that historical data of thermal power station wise actual energy received by UPPCL are incorrect. Stakeholder also submitted that the data of power received or planned mentioned in ARR petitions grossly differ. </w:t>
      </w:r>
    </w:p>
    <w:p w:rsidR="00D5771F" w:rsidRDefault="00E34329">
      <w:pPr>
        <w:pStyle w:val="Heading3"/>
        <w:tabs>
          <w:tab w:val="clear" w:pos="720"/>
          <w:tab w:val="left" w:pos="4860"/>
        </w:tabs>
        <w:ind w:left="993" w:hanging="993"/>
        <w:rPr>
          <w:rFonts w:cs="Calibri"/>
          <w:szCs w:val="24"/>
        </w:rPr>
      </w:pPr>
      <w:r w:rsidRPr="00E34329">
        <w:rPr>
          <w:rFonts w:cs="Calibri"/>
          <w:szCs w:val="24"/>
        </w:rPr>
        <w:t>Shri Amar Singh, President Consumer protection Society submitted that tariff for Anpara-C determined from the bidding under Section 63 is average Rs. 1.5866, he further submitted that the variable charges were subject to adjustment for price variation of coal at 4.5% cumulative escalation over the base price of Rs 1045/MT assumed in the Bid and accordingly the present variable charge should not exceed Rs 2.00/kWh and the total Tariff should be less than Rs. 2.80/ kWh but the ARR takes the price of power received from Anpara-C as Rs. 4.35/kWh taking fixed and variable charges as Rs. 1.77/kWh and Rs. 2.58 / kWh, respectively, for FY 2016-17. Power purchase cost claimed is more than that of Tariff determined by the Commission for Bajaj Hindustan and Rosa power.</w:t>
      </w:r>
    </w:p>
    <w:p w:rsidR="00D5771F" w:rsidRDefault="00E34329">
      <w:pPr>
        <w:pStyle w:val="Heading3"/>
        <w:tabs>
          <w:tab w:val="clear" w:pos="720"/>
          <w:tab w:val="left" w:pos="4860"/>
        </w:tabs>
        <w:ind w:left="993" w:hanging="993"/>
        <w:rPr>
          <w:rFonts w:cs="Calibri"/>
          <w:szCs w:val="24"/>
        </w:rPr>
      </w:pPr>
      <w:r w:rsidRPr="00E34329">
        <w:rPr>
          <w:rFonts w:cs="Calibri"/>
          <w:szCs w:val="24"/>
        </w:rPr>
        <w:t>The Mahabir Jute Mills Ltd. submitted that in Licensee‘s ARR, power purchase cost is shown in Rs. / kWh while billing for some of categories are in Rs. / kVAh that is extra benefit to Licensees.</w:t>
      </w:r>
    </w:p>
    <w:p w:rsidR="00D5771F" w:rsidRDefault="00E34329">
      <w:pPr>
        <w:pStyle w:val="Heading3"/>
        <w:tabs>
          <w:tab w:val="clear" w:pos="720"/>
          <w:tab w:val="left" w:pos="4860"/>
        </w:tabs>
        <w:ind w:left="993" w:hanging="993"/>
        <w:rPr>
          <w:rFonts w:cs="Calibri"/>
          <w:szCs w:val="24"/>
        </w:rPr>
      </w:pPr>
      <w:r w:rsidRPr="00E34329">
        <w:rPr>
          <w:rFonts w:cs="Calibri"/>
          <w:szCs w:val="24"/>
        </w:rPr>
        <w:t xml:space="preserve">Shri Avadhesh Kumar, Chairman, Uttar Pradesh Rajya Vidyut Upbhoktha Parishad submitted that as per petition average power purchase cost is Rs. 3.97 per unit for FY 2016-17. Stakeholder further submitted that Licensee has not mentioned any explanation regarding purchase of costly power from Bajaj Hindustan and Rosa </w:t>
      </w:r>
      <w:r w:rsidRPr="00E34329">
        <w:rPr>
          <w:rFonts w:cs="Calibri"/>
          <w:szCs w:val="24"/>
        </w:rPr>
        <w:lastRenderedPageBreak/>
        <w:t xml:space="preserve">Power at the rate of Rs. 6.82 per unit and Rs. 5.50 per unit, respectively. Stakeholder further requested to the Commission for prudence check of such high cost power purchase even in the scenario when power is available at cheaper price at exchanges. It is further submitted that </w:t>
      </w:r>
      <w:r w:rsidRPr="00E34329">
        <w:rPr>
          <w:szCs w:val="24"/>
        </w:rPr>
        <w:t>Power should be purchase as per merit order basis hence intervention of the Commission is required for the same.</w:t>
      </w:r>
    </w:p>
    <w:p w:rsidR="00D5771F" w:rsidRDefault="00E34329">
      <w:pPr>
        <w:pStyle w:val="Heading3"/>
        <w:tabs>
          <w:tab w:val="clear" w:pos="720"/>
          <w:tab w:val="left" w:pos="4860"/>
        </w:tabs>
        <w:ind w:left="993" w:hanging="993"/>
        <w:rPr>
          <w:rFonts w:cs="Calibri"/>
          <w:szCs w:val="24"/>
        </w:rPr>
      </w:pPr>
      <w:r w:rsidRPr="00E34329">
        <w:rPr>
          <w:rFonts w:cs="Calibri"/>
          <w:szCs w:val="24"/>
        </w:rPr>
        <w:t>Shri Naveen Gupta Manager Rimjhim Ispat Ltd. and M/s Kanpur Fertilizer &amp; Cement Limited submitted that cheaper power is available at power exchanges and may be procured in preference to costlier power contracted with private / state generating agencies.</w:t>
      </w:r>
    </w:p>
    <w:p w:rsidR="00D5771F" w:rsidRDefault="00E34329">
      <w:pPr>
        <w:pStyle w:val="Heading3"/>
        <w:tabs>
          <w:tab w:val="clear" w:pos="720"/>
          <w:tab w:val="left" w:pos="4860"/>
        </w:tabs>
        <w:ind w:left="993" w:hanging="993"/>
        <w:rPr>
          <w:rFonts w:cs="Calibri"/>
          <w:szCs w:val="24"/>
        </w:rPr>
      </w:pPr>
      <w:r w:rsidRPr="00E34329">
        <w:rPr>
          <w:rFonts w:cs="Calibri"/>
          <w:szCs w:val="24"/>
        </w:rPr>
        <w:t xml:space="preserve">Shri Ashok Kumar Goyal President, National Chamber of Industries &amp; Commerce U.P. submitted that small consumers and cluster of Consumers should be allowed to make direct purchase of power from MCX for annual requirement and credit the same to Discoms account. The quantity of credit is adjusted from bills of consumers after deducting Transmission and handling charges. </w:t>
      </w:r>
    </w:p>
    <w:p w:rsidR="00D5771F" w:rsidRDefault="00E34329">
      <w:pPr>
        <w:pStyle w:val="Heading3"/>
        <w:tabs>
          <w:tab w:val="clear" w:pos="720"/>
          <w:tab w:val="left" w:pos="4860"/>
        </w:tabs>
        <w:ind w:left="993" w:hanging="993"/>
        <w:rPr>
          <w:rFonts w:cs="Calibri"/>
          <w:szCs w:val="24"/>
        </w:rPr>
      </w:pPr>
      <w:r w:rsidRPr="00E34329">
        <w:rPr>
          <w:rFonts w:cs="Calibri"/>
          <w:szCs w:val="24"/>
        </w:rPr>
        <w:t>Shri Avadhesh Kumar, Chairman, Uttar Pradesh Rajya Vidyut Upbhoktha Parishad submitted that because of increased production of domestic coal, reduction in imported coal and permission of swapping of coal from one plant to another plant, cost of generation of plants has been reduced. As per Petition the total power purchase quantum is 125627 MU and total power purchase cost is Rs. 49848 Crore. Stakeholder further submitted that due to above mentioned points the cost of power purchase should become low and as power purchase cost accounts 80% of ARR, the overall ARR will reduce. Stakeholder further requested the Commission to pass the benefit to consumers in the forthcoming Tariff.</w:t>
      </w:r>
    </w:p>
    <w:p w:rsidR="00D5771F" w:rsidRDefault="00E34329">
      <w:pPr>
        <w:pStyle w:val="Heading3"/>
        <w:tabs>
          <w:tab w:val="clear" w:pos="720"/>
          <w:tab w:val="left" w:pos="4860"/>
        </w:tabs>
        <w:ind w:left="993" w:hanging="993"/>
        <w:rPr>
          <w:rFonts w:cs="Calibri"/>
          <w:szCs w:val="24"/>
        </w:rPr>
      </w:pPr>
      <w:r w:rsidRPr="00E34329">
        <w:rPr>
          <w:rFonts w:cs="Calibri"/>
          <w:szCs w:val="24"/>
        </w:rPr>
        <w:t>Shri Rama Shanker Awasthi submitted that the State Discoms must provide the source-wise details of Power Purchase including fixed cost, variable cost, PLF and other charges for the previous five years and including for FY 2016-17. It is further submitted that after submission of aforesaid information, the objection can be filed and appropriate suggestion could be advanced.</w:t>
      </w:r>
    </w:p>
    <w:p w:rsidR="00D5771F" w:rsidRDefault="00E34329">
      <w:pPr>
        <w:pStyle w:val="Heading3"/>
        <w:tabs>
          <w:tab w:val="clear" w:pos="720"/>
          <w:tab w:val="left" w:pos="4860"/>
        </w:tabs>
        <w:ind w:left="993" w:hanging="993"/>
        <w:rPr>
          <w:rFonts w:cs="Calibri"/>
          <w:szCs w:val="24"/>
        </w:rPr>
      </w:pPr>
      <w:r w:rsidRPr="00E34329">
        <w:rPr>
          <w:rFonts w:cs="Calibri"/>
          <w:szCs w:val="24"/>
        </w:rPr>
        <w:t xml:space="preserve">Shri Rama Shanker Awasthi submitted that the State Discoms claim Average Power Purchase Cost (APPC) and Average Cost of supply (ACS) as Rs.  4.44 / unit and Rs. 6.71 /unit, respectively, it indicates that the Discoms have business expenses of Rs. 2.27 /unit which is 51% of APPC but after true up Discoms expense increased up to 75% of APPC It is further stated that business ethics and economics never allows business expenses more the 25%. It is requested to the Commission to consider </w:t>
      </w:r>
      <w:r w:rsidRPr="00E34329">
        <w:rPr>
          <w:rFonts w:cs="Calibri"/>
          <w:szCs w:val="24"/>
        </w:rPr>
        <w:lastRenderedPageBreak/>
        <w:t>aforesaid points before further approval and also examine the trueness of business expenses.</w:t>
      </w:r>
    </w:p>
    <w:p w:rsidR="00D5771F" w:rsidRDefault="00E34329">
      <w:pPr>
        <w:pStyle w:val="Heading3"/>
        <w:tabs>
          <w:tab w:val="clear" w:pos="720"/>
          <w:tab w:val="num" w:pos="1296"/>
          <w:tab w:val="left" w:pos="4860"/>
        </w:tabs>
        <w:ind w:left="993" w:hanging="993"/>
        <w:rPr>
          <w:rFonts w:cs="Calibri"/>
          <w:szCs w:val="24"/>
        </w:rPr>
      </w:pPr>
      <w:r w:rsidRPr="00E34329">
        <w:rPr>
          <w:rFonts w:cs="Calibri"/>
          <w:szCs w:val="24"/>
        </w:rPr>
        <w:t>Rosa Power Company Limited submitted that power purchase cost of Anta, Auriya and Dadri Gas should be disallowed as state is having surplus power and procuring power from such expensive gas based generating station may not be prudent power purchase approach.</w:t>
      </w:r>
    </w:p>
    <w:p w:rsidR="00D5771F" w:rsidRDefault="00E34329">
      <w:pPr>
        <w:pStyle w:val="Heading3"/>
        <w:tabs>
          <w:tab w:val="clear" w:pos="720"/>
          <w:tab w:val="num" w:pos="1296"/>
          <w:tab w:val="left" w:pos="4860"/>
        </w:tabs>
        <w:ind w:left="993" w:hanging="993"/>
        <w:rPr>
          <w:rFonts w:cs="Calibri"/>
          <w:szCs w:val="24"/>
        </w:rPr>
      </w:pPr>
      <w:r w:rsidRPr="00E34329">
        <w:rPr>
          <w:rFonts w:cs="Calibri"/>
          <w:szCs w:val="24"/>
        </w:rPr>
        <w:t>Rosa power Company Limited has submitted that the Commission may investigate regarding validity of PPAs of Anta, Auriya and Dadri gas, whether UPPCL has signed any Supplemental Agreement without approval of the Commission.</w:t>
      </w:r>
    </w:p>
    <w:p w:rsidR="00D5771F" w:rsidRDefault="00E34329">
      <w:pPr>
        <w:pStyle w:val="Heading3"/>
        <w:tabs>
          <w:tab w:val="clear" w:pos="720"/>
          <w:tab w:val="num" w:pos="1296"/>
          <w:tab w:val="left" w:pos="4860"/>
        </w:tabs>
        <w:ind w:left="993" w:hanging="993"/>
        <w:rPr>
          <w:rFonts w:cs="Calibri"/>
          <w:szCs w:val="24"/>
        </w:rPr>
      </w:pPr>
      <w:r w:rsidRPr="00E34329">
        <w:rPr>
          <w:rFonts w:cs="Calibri"/>
          <w:szCs w:val="24"/>
        </w:rPr>
        <w:t>Rosa Power Company Limited submitted that irrespective of being expensive stations in the event of low demand these stations get higher dispatch than cheaper stations located in the State due to non-existence of technical minimum criteria in the state.</w:t>
      </w:r>
    </w:p>
    <w:p w:rsidR="00D5771F" w:rsidRDefault="00E34329">
      <w:pPr>
        <w:pStyle w:val="Heading3"/>
        <w:tabs>
          <w:tab w:val="clear" w:pos="720"/>
          <w:tab w:val="num" w:pos="1296"/>
          <w:tab w:val="left" w:pos="4860"/>
        </w:tabs>
        <w:ind w:left="993" w:hanging="993"/>
        <w:rPr>
          <w:rFonts w:cs="Calibri"/>
          <w:szCs w:val="24"/>
        </w:rPr>
      </w:pPr>
      <w:r w:rsidRPr="00E34329">
        <w:rPr>
          <w:rFonts w:cs="Calibri"/>
          <w:szCs w:val="24"/>
        </w:rPr>
        <w:t>Rosa Power Company Limited submitted that merit order dispatch proposed by the licences in their petitions is completely arbitrary and has no relationship with the actual implementation. It s observed that every year licensees propose merit order dispatch based on their assumptions and the Commission approves the same after carrying out the due diligence of submissions made by the Licensees. However when it comes to actual implementation, UPPCL/UP SLDC does not take into cognizance of merit order dispatch approved by the Commission.</w:t>
      </w:r>
    </w:p>
    <w:p w:rsidR="00D5771F" w:rsidRDefault="00E34329">
      <w:pPr>
        <w:pStyle w:val="Heading3"/>
        <w:tabs>
          <w:tab w:val="clear" w:pos="720"/>
          <w:tab w:val="num" w:pos="1296"/>
          <w:tab w:val="left" w:pos="4860"/>
        </w:tabs>
        <w:ind w:left="993" w:hanging="993"/>
        <w:rPr>
          <w:rFonts w:cs="Calibri"/>
          <w:szCs w:val="24"/>
        </w:rPr>
      </w:pPr>
      <w:r w:rsidRPr="00E34329">
        <w:rPr>
          <w:rFonts w:cs="Calibri"/>
          <w:szCs w:val="24"/>
        </w:rPr>
        <w:t>Rosa Power Company Limited submitted that UPPCL/ UPSLDC have considered actual variable charges of n-1 months for some generating stations and n-2 months for others. Further UPPCL/UPSLC does not consider fuel cost adjustment bill in the variable charge for drawing up the merit order.</w:t>
      </w:r>
    </w:p>
    <w:p w:rsidR="00D5771F" w:rsidRDefault="00E34329">
      <w:pPr>
        <w:pStyle w:val="Heading3"/>
        <w:tabs>
          <w:tab w:val="clear" w:pos="720"/>
          <w:tab w:val="num" w:pos="1296"/>
          <w:tab w:val="left" w:pos="4860"/>
        </w:tabs>
        <w:ind w:left="993" w:hanging="993"/>
        <w:rPr>
          <w:rFonts w:cs="Calibri"/>
          <w:szCs w:val="24"/>
        </w:rPr>
      </w:pPr>
      <w:r w:rsidRPr="00E34329">
        <w:rPr>
          <w:rFonts w:cs="Calibri"/>
          <w:szCs w:val="24"/>
        </w:rPr>
        <w:t>Rosa Power Company Limited submitted that the Commission may appreciate the fact that load centre stations like Rosa TPP always being at disadvantageous position in merit order dispatch due to their high fuel transportation cost but at same time it contributes significant reduction in transmission loss. It is further submitted that the Commission may direct UPPCL/ UPSLDC to consider updated variable charge including transmission charges and losses for drawing up the merit order and to follow technical minimum criteria for backing down during low demand.</w:t>
      </w:r>
    </w:p>
    <w:p w:rsidR="00D5771F" w:rsidRDefault="00E34329">
      <w:pPr>
        <w:pStyle w:val="Heading3"/>
        <w:tabs>
          <w:tab w:val="clear" w:pos="720"/>
          <w:tab w:val="num" w:pos="1296"/>
          <w:tab w:val="left" w:pos="4860"/>
        </w:tabs>
        <w:ind w:left="993" w:hanging="993"/>
        <w:rPr>
          <w:rFonts w:cs="Calibri"/>
          <w:szCs w:val="24"/>
        </w:rPr>
      </w:pPr>
      <w:r w:rsidRPr="00E34329">
        <w:rPr>
          <w:rFonts w:cs="Calibri"/>
          <w:szCs w:val="24"/>
        </w:rPr>
        <w:t xml:space="preserve">Rosa Power Company Limited submitted that UPPCL in its petition has proposed single part tariff for captive and co generative plants whereas the Commission vide </w:t>
      </w:r>
      <w:r w:rsidRPr="00E34329">
        <w:rPr>
          <w:rFonts w:cs="Calibri"/>
          <w:szCs w:val="24"/>
        </w:rPr>
        <w:lastRenderedPageBreak/>
        <w:t>its regulation Captive and Renewable Energy Generating Plants Regulations, 2014 has approved two part tariff for said plants.</w:t>
      </w:r>
    </w:p>
    <w:p w:rsidR="00D5771F" w:rsidRDefault="00E34329">
      <w:pPr>
        <w:pStyle w:val="Heading3"/>
        <w:tabs>
          <w:tab w:val="clear" w:pos="720"/>
          <w:tab w:val="num" w:pos="1296"/>
          <w:tab w:val="left" w:pos="4860"/>
        </w:tabs>
        <w:ind w:left="993" w:hanging="993"/>
        <w:rPr>
          <w:rFonts w:cs="Calibri"/>
          <w:szCs w:val="24"/>
        </w:rPr>
      </w:pPr>
      <w:r w:rsidRPr="00E34329">
        <w:rPr>
          <w:rFonts w:cs="Calibri"/>
          <w:szCs w:val="24"/>
        </w:rPr>
        <w:t>Rosa Power Company Limited submitted that while applying the merit order UPSLDC considers Captive and co generative stations as MUST RUN despite UPECRC orders and regulations that these plants are subject to scheduling under ABT mechanism.</w:t>
      </w:r>
    </w:p>
    <w:p w:rsidR="00D5771F" w:rsidRDefault="00E34329">
      <w:pPr>
        <w:pStyle w:val="Heading3"/>
        <w:tabs>
          <w:tab w:val="clear" w:pos="720"/>
          <w:tab w:val="num" w:pos="1296"/>
          <w:tab w:val="left" w:pos="4860"/>
        </w:tabs>
        <w:ind w:left="993" w:hanging="993"/>
        <w:rPr>
          <w:rFonts w:cs="Calibri"/>
          <w:szCs w:val="24"/>
        </w:rPr>
      </w:pPr>
      <w:r w:rsidRPr="00E34329">
        <w:rPr>
          <w:rFonts w:cs="Calibri"/>
          <w:szCs w:val="24"/>
        </w:rPr>
        <w:t>Rosa Power Company Limited submitted that it is learned that NTPC is not billing UPPCL strictly as per tariff norms approved by CERC in tariff regulation, 2014.  Following discrepancies has been observed in the NTPC billing.</w:t>
      </w:r>
    </w:p>
    <w:p w:rsidR="0026266F" w:rsidRPr="003D2C56" w:rsidRDefault="00E34329" w:rsidP="0026266F">
      <w:pPr>
        <w:pStyle w:val="Heading3"/>
        <w:numPr>
          <w:ilvl w:val="0"/>
          <w:numId w:val="221"/>
        </w:numPr>
        <w:tabs>
          <w:tab w:val="clear" w:pos="720"/>
          <w:tab w:val="left" w:pos="4860"/>
        </w:tabs>
        <w:rPr>
          <w:rFonts w:cs="Calibri"/>
          <w:szCs w:val="24"/>
        </w:rPr>
      </w:pPr>
      <w:r w:rsidRPr="00E34329">
        <w:rPr>
          <w:rFonts w:cs="Calibri"/>
          <w:szCs w:val="24"/>
        </w:rPr>
        <w:t>Cost of Secondary Oil is being considered in the fixed charges instead of variable charge as per CERC Tariff Regulations, 2014</w:t>
      </w:r>
    </w:p>
    <w:p w:rsidR="0026266F" w:rsidRPr="003D2C56" w:rsidRDefault="00E34329" w:rsidP="0026266F">
      <w:pPr>
        <w:pStyle w:val="Heading3"/>
        <w:numPr>
          <w:ilvl w:val="0"/>
          <w:numId w:val="221"/>
        </w:numPr>
        <w:tabs>
          <w:tab w:val="clear" w:pos="720"/>
          <w:tab w:val="left" w:pos="4860"/>
        </w:tabs>
        <w:rPr>
          <w:rFonts w:cs="Calibri"/>
          <w:szCs w:val="24"/>
        </w:rPr>
      </w:pPr>
      <w:r w:rsidRPr="00E34329">
        <w:rPr>
          <w:rFonts w:cs="Calibri"/>
          <w:szCs w:val="24"/>
        </w:rPr>
        <w:t>NTPC is not providing certificate of GCV as received</w:t>
      </w:r>
    </w:p>
    <w:p w:rsidR="0026266F" w:rsidRPr="003D2C56" w:rsidRDefault="00E34329" w:rsidP="0026266F">
      <w:pPr>
        <w:pStyle w:val="Heading3"/>
        <w:numPr>
          <w:ilvl w:val="0"/>
          <w:numId w:val="0"/>
        </w:numPr>
        <w:tabs>
          <w:tab w:val="clear" w:pos="720"/>
          <w:tab w:val="left" w:pos="4860"/>
        </w:tabs>
        <w:ind w:left="993"/>
        <w:rPr>
          <w:rFonts w:cs="Calibri"/>
          <w:szCs w:val="24"/>
        </w:rPr>
      </w:pPr>
      <w:r w:rsidRPr="00E34329">
        <w:rPr>
          <w:rFonts w:cs="Calibri"/>
          <w:szCs w:val="24"/>
        </w:rPr>
        <w:t xml:space="preserve"> It is further submitted that the Commission may direct UPPCL/UPSLDC to undertake strict scrutiny of NTPC billing of variable charge and ensure NTPC strictly follow CERC Tariff Regulation, 2014.</w:t>
      </w:r>
    </w:p>
    <w:p w:rsidR="0026266F" w:rsidRPr="003D2C56" w:rsidRDefault="0026266F" w:rsidP="0026266F">
      <w:pPr>
        <w:tabs>
          <w:tab w:val="left" w:pos="1980"/>
        </w:tabs>
        <w:ind w:left="720"/>
        <w:rPr>
          <w:rFonts w:cs="Calibri"/>
          <w:color w:val="000000"/>
        </w:rPr>
      </w:pPr>
    </w:p>
    <w:p w:rsidR="0026266F" w:rsidRPr="003D2C56" w:rsidRDefault="00E34329" w:rsidP="0026266F">
      <w:pPr>
        <w:numPr>
          <w:ilvl w:val="0"/>
          <w:numId w:val="204"/>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rFonts w:cs="Calibri"/>
          <w:szCs w:val="24"/>
        </w:rPr>
      </w:pPr>
      <w:r w:rsidRPr="00E34329">
        <w:rPr>
          <w:rFonts w:cs="Calibri"/>
          <w:szCs w:val="24"/>
        </w:rPr>
        <w:t>The Licensee submitted that most of the power purchase is being done under long term PPA from generators which have been duly approved by the Commission. The short term power purchase is being done under competitive bid route, after due approval of the Commission. The power from exchanges is being procured to ensure that the scheduled roster is maintained and the consumers are provided quality power.</w:t>
      </w:r>
    </w:p>
    <w:p w:rsidR="00D5771F" w:rsidRDefault="00E34329">
      <w:pPr>
        <w:pStyle w:val="Heading3"/>
        <w:tabs>
          <w:tab w:val="clear" w:pos="720"/>
          <w:tab w:val="left" w:pos="4860"/>
        </w:tabs>
        <w:ind w:left="993" w:hanging="993"/>
        <w:rPr>
          <w:rFonts w:cs="Calibri"/>
          <w:szCs w:val="24"/>
        </w:rPr>
      </w:pPr>
      <w:r w:rsidRPr="00E34329">
        <w:rPr>
          <w:rFonts w:cs="Calibri"/>
          <w:szCs w:val="24"/>
        </w:rPr>
        <w:t>With regard to the contentions raised by one of the stakeholders, the Licensee submitted that the power is purchased from different sources on the basis of merit order, which is dependent on the variable cost and the source having the lowest variable cost is given the preference while purchase of power.</w:t>
      </w:r>
    </w:p>
    <w:p w:rsidR="00D5771F" w:rsidRDefault="00E34329">
      <w:pPr>
        <w:pStyle w:val="Heading3"/>
        <w:tabs>
          <w:tab w:val="clear" w:pos="720"/>
          <w:tab w:val="left" w:pos="4860"/>
        </w:tabs>
        <w:ind w:left="993" w:hanging="993"/>
        <w:rPr>
          <w:rFonts w:cs="Calibri"/>
          <w:szCs w:val="24"/>
        </w:rPr>
      </w:pPr>
      <w:r w:rsidRPr="00E34329">
        <w:rPr>
          <w:rFonts w:cs="Calibri"/>
          <w:szCs w:val="24"/>
        </w:rPr>
        <w:t>Further, it is submitted that source wise power purchase data of last three years up to December 2015 has already been submitted for the kind perusal of the Commission.</w:t>
      </w:r>
    </w:p>
    <w:p w:rsidR="00D5771F" w:rsidRDefault="00E34329">
      <w:pPr>
        <w:pStyle w:val="Heading3"/>
        <w:tabs>
          <w:tab w:val="clear" w:pos="720"/>
          <w:tab w:val="left" w:pos="4860"/>
        </w:tabs>
        <w:ind w:left="993" w:hanging="993"/>
        <w:rPr>
          <w:rFonts w:cs="Calibri"/>
          <w:szCs w:val="24"/>
        </w:rPr>
      </w:pPr>
      <w:r w:rsidRPr="00E34329">
        <w:rPr>
          <w:rFonts w:cs="Calibri"/>
          <w:szCs w:val="24"/>
        </w:rPr>
        <w:t>The petitioner submitted that the benefits of increased production of coal by Coal India Ltd. might have reduced the price of coal, but the Railway freight charges and clean energy cess have also increased. However, such expenses are taken care of in truing up.</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numPr>
          <w:ilvl w:val="0"/>
          <w:numId w:val="204"/>
        </w:numPr>
        <w:spacing w:before="0"/>
        <w:contextualSpacing/>
        <w:rPr>
          <w:rFonts w:cs="Calibri"/>
          <w:b/>
          <w:bCs/>
          <w:i/>
          <w:iCs/>
        </w:rPr>
      </w:pPr>
      <w:r w:rsidRPr="00E34329">
        <w:rPr>
          <w:rFonts w:cs="Calibri"/>
          <w:b/>
          <w:bCs/>
          <w:i/>
          <w:iCs/>
        </w:rPr>
        <w:t>The Commission’s view:</w:t>
      </w:r>
    </w:p>
    <w:p w:rsidR="00D5771F" w:rsidRDefault="00E34329">
      <w:pPr>
        <w:pStyle w:val="Heading3"/>
        <w:tabs>
          <w:tab w:val="clear" w:pos="720"/>
          <w:tab w:val="left" w:pos="4860"/>
        </w:tabs>
        <w:ind w:left="993" w:hanging="993"/>
        <w:rPr>
          <w:rFonts w:cs="Calibri"/>
          <w:szCs w:val="24"/>
        </w:rPr>
      </w:pPr>
      <w:r w:rsidRPr="00E34329">
        <w:rPr>
          <w:rFonts w:cs="Calibri"/>
          <w:szCs w:val="24"/>
        </w:rPr>
        <w:t>As regards high power purchase cost, the Commission has taken the matter seriously the Commission vide letter no. UPERC / Secy / D(Tariff) / 16-301 dated May 26, 2016 directed the Licensees to furnish source wise actual power purchase and cost data for FY 2012-13, FY 2013-14,FY 2014-15, FY 2015-16 &amp; FY 2016-17 (till December)  and due diligence followed for allowing price variation to the generator on account of  escalation in the cost of fuel to which the Petitioner has made partial submission Based on the submissions made by the Licensee the Commission has verified the assumptions considered by Licensee for projecting power purchase cost based on the latest Tariff Order of respective power plants. The methodology adopted by the Commission for projecting power purchase cost for FY 2016-17 is discussed ARR for 2016-17 section.</w:t>
      </w:r>
    </w:p>
    <w:p w:rsidR="0026266F" w:rsidRPr="003D2C56" w:rsidRDefault="0026266F" w:rsidP="0026266F"/>
    <w:p w:rsidR="00D5771F" w:rsidRDefault="00E34329">
      <w:pPr>
        <w:pStyle w:val="Heading2"/>
        <w:spacing w:line="276" w:lineRule="auto"/>
        <w:rPr>
          <w:rFonts w:ascii="Calibri" w:hAnsi="Calibri"/>
        </w:rPr>
      </w:pPr>
      <w:bookmarkStart w:id="145" w:name="_Toc453522780"/>
      <w:bookmarkStart w:id="146" w:name="_Toc454277479"/>
      <w:bookmarkStart w:id="147" w:name="_Toc457603908"/>
      <w:bookmarkEnd w:id="145"/>
      <w:r w:rsidRPr="00E34329">
        <w:rPr>
          <w:rFonts w:ascii="Calibri" w:hAnsi="Calibri"/>
        </w:rPr>
        <w:t>TAJ TRAPEZIUM ZONE</w:t>
      </w:r>
      <w:bookmarkEnd w:id="146"/>
      <w:bookmarkEnd w:id="147"/>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numPr>
          <w:ilvl w:val="0"/>
          <w:numId w:val="205"/>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rFonts w:cs="Calibri"/>
          <w:szCs w:val="24"/>
        </w:rPr>
      </w:pPr>
      <w:r w:rsidRPr="00E34329">
        <w:rPr>
          <w:rFonts w:cs="Calibri"/>
          <w:szCs w:val="24"/>
        </w:rPr>
        <w:t>Shri Vishnu Bhagwan Agarwal Chairman, Agra Chapter, ASSOCHAM, U.P submitted that Agra being a sufferer on account of TTZ and should be charged with concessional rate of continuous supply considering colossal amount received as grant under Orders from Hon’ble Supreme court.</w:t>
      </w:r>
    </w:p>
    <w:p w:rsidR="00D5771F" w:rsidRDefault="00E34329">
      <w:pPr>
        <w:pStyle w:val="Heading3"/>
        <w:tabs>
          <w:tab w:val="clear" w:pos="720"/>
          <w:tab w:val="left" w:pos="4860"/>
        </w:tabs>
        <w:ind w:left="993" w:hanging="993"/>
        <w:rPr>
          <w:rFonts w:cs="Calibri"/>
          <w:szCs w:val="24"/>
        </w:rPr>
      </w:pPr>
      <w:r w:rsidRPr="00E34329">
        <w:rPr>
          <w:rFonts w:cs="Calibri"/>
          <w:szCs w:val="24"/>
        </w:rPr>
        <w:t xml:space="preserve">Dr. Dharampal Singh, Vidhayak, Bahujan Samajwadi party submitted that the farmers of TTZ was charged Rs. 160 per BHP for tubewell whereas farmers of other part of state was charged only Rs. 100 per BHP for tubewells and also the tariff of rural domestic consumers was fixed as Rs. 342 per kW in TTZ area whereas rural domestic consumers in rest of State was fixed as Rs. 223 per kW. He further submitted that as per Supreme Court order, the area must be supplied 24 hours supply or will be charged at the same tariff applicable for other consumers in the State. </w:t>
      </w:r>
    </w:p>
    <w:p w:rsidR="00D5771F" w:rsidRDefault="00E34329">
      <w:pPr>
        <w:pStyle w:val="Heading3"/>
        <w:tabs>
          <w:tab w:val="clear" w:pos="720"/>
          <w:tab w:val="left" w:pos="4860"/>
        </w:tabs>
        <w:ind w:left="993" w:hanging="993"/>
        <w:rPr>
          <w:rFonts w:cs="Calibri"/>
          <w:szCs w:val="24"/>
        </w:rPr>
      </w:pPr>
      <w:r w:rsidRPr="00E34329">
        <w:rPr>
          <w:rFonts w:cs="Calibri"/>
          <w:szCs w:val="24"/>
        </w:rPr>
        <w:t>Shri Sabir Hashami, Chairman Aam Janata Society submitted that as Firozabad is the part of Taj Trapezium zone, therefore 24 hours of supply should be provided in place of 10 to 12 hours of supply in a day.</w:t>
      </w:r>
    </w:p>
    <w:p w:rsidR="0026266F" w:rsidRPr="003D2C56" w:rsidRDefault="0026266F" w:rsidP="0026266F">
      <w:pPr>
        <w:tabs>
          <w:tab w:val="left" w:pos="1980"/>
        </w:tabs>
        <w:rPr>
          <w:rFonts w:cs="Calibri"/>
          <w:color w:val="000000"/>
        </w:rPr>
      </w:pPr>
    </w:p>
    <w:p w:rsidR="0026266F" w:rsidRPr="003D2C56" w:rsidRDefault="00E34329" w:rsidP="0026266F">
      <w:pPr>
        <w:numPr>
          <w:ilvl w:val="0"/>
          <w:numId w:val="205"/>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rFonts w:cs="Calibri"/>
          <w:szCs w:val="24"/>
        </w:rPr>
      </w:pPr>
      <w:r w:rsidRPr="00E34329">
        <w:rPr>
          <w:rFonts w:cs="Calibri"/>
          <w:szCs w:val="24"/>
        </w:rPr>
        <w:lastRenderedPageBreak/>
        <w:t>The Licensee submitted that the hours of supply is normally as per schedule, however, sometimes it may be less than that of schedule hours due to emergency rostering which is beyond the control of the Licensee.</w:t>
      </w:r>
    </w:p>
    <w:p w:rsidR="00D5771F" w:rsidRDefault="00E34329">
      <w:pPr>
        <w:pStyle w:val="Heading3"/>
        <w:tabs>
          <w:tab w:val="clear" w:pos="720"/>
          <w:tab w:val="left" w:pos="4860"/>
        </w:tabs>
        <w:ind w:left="993" w:hanging="993"/>
        <w:rPr>
          <w:rFonts w:cs="Calibri"/>
          <w:szCs w:val="24"/>
        </w:rPr>
      </w:pPr>
      <w:r w:rsidRPr="00E34329">
        <w:rPr>
          <w:rFonts w:cs="Calibri"/>
          <w:bCs w:val="0"/>
          <w:szCs w:val="24"/>
        </w:rPr>
        <w:t>The Licensee submitted that complaints of quality of supply, turnaround time for fault repair, etc. are not related to present tariff petition. However, it assures that these issues will be dealt by the concerned local officers of the Discoms.</w:t>
      </w:r>
    </w:p>
    <w:p w:rsidR="00D5771F" w:rsidRDefault="00E34329">
      <w:pPr>
        <w:pStyle w:val="Heading3"/>
        <w:tabs>
          <w:tab w:val="clear" w:pos="720"/>
          <w:tab w:val="left" w:pos="4860"/>
        </w:tabs>
        <w:ind w:left="993" w:hanging="993"/>
        <w:rPr>
          <w:rFonts w:cs="Calibri"/>
          <w:szCs w:val="24"/>
        </w:rPr>
      </w:pPr>
      <w:r w:rsidRPr="00E34329">
        <w:rPr>
          <w:rFonts w:cs="Calibri"/>
          <w:szCs w:val="24"/>
        </w:rPr>
        <w:t>Regarding reduction of Tubewell Charges in TTZ Area the licensee has submitted that the billing is being done in accordance with the tariff approved by the Commission. Further the Commission to mitigate the problem of consumers of the area has reduced the minimum charges from Rs. 220.00 per BHP per month to Rs. 160.00 per BHP per month vide its order dated 05.02.2015.</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205"/>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rFonts w:cs="Calibri"/>
          <w:szCs w:val="24"/>
        </w:rPr>
      </w:pPr>
      <w:r w:rsidRPr="00E34329">
        <w:rPr>
          <w:rFonts w:cs="Calibri"/>
          <w:szCs w:val="24"/>
        </w:rPr>
        <w:t>The Commission has taken note of the above objections / suggestions made by the stakeholders in this regards and has appropriately designed the Tariff as detailed in Tariff philosophy and Rate Schedule provided subsequently in this Order.</w:t>
      </w:r>
    </w:p>
    <w:p w:rsidR="0026266F" w:rsidRPr="003D2C56" w:rsidRDefault="0026266F" w:rsidP="0026266F">
      <w:pPr>
        <w:tabs>
          <w:tab w:val="left" w:pos="720"/>
        </w:tabs>
        <w:rPr>
          <w:rFonts w:cs="Calibri"/>
        </w:rPr>
      </w:pPr>
    </w:p>
    <w:p w:rsidR="00D5771F" w:rsidRDefault="00E34329">
      <w:pPr>
        <w:pStyle w:val="Heading2"/>
        <w:spacing w:line="276" w:lineRule="auto"/>
        <w:rPr>
          <w:rFonts w:ascii="Calibri" w:hAnsi="Calibri"/>
        </w:rPr>
      </w:pPr>
      <w:bookmarkStart w:id="148" w:name="_Toc454277480"/>
      <w:bookmarkStart w:id="149" w:name="_Toc457603909"/>
      <w:r w:rsidRPr="00E34329">
        <w:rPr>
          <w:rFonts w:ascii="Calibri" w:hAnsi="Calibri"/>
        </w:rPr>
        <w:t>METERING AND BILLING</w:t>
      </w:r>
      <w:bookmarkEnd w:id="148"/>
      <w:bookmarkEnd w:id="149"/>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numPr>
          <w:ilvl w:val="0"/>
          <w:numId w:val="206"/>
        </w:numPr>
        <w:spacing w:before="0"/>
        <w:contextualSpacing/>
        <w:rPr>
          <w:rFonts w:cs="Calibri"/>
          <w:b/>
        </w:rPr>
      </w:pPr>
      <w:r w:rsidRPr="00E34329">
        <w:rPr>
          <w:rFonts w:cs="Calibri"/>
          <w:b/>
          <w:bCs/>
          <w:i/>
          <w:iCs/>
        </w:rPr>
        <w:t>Comments/Suggestions of the Public</w:t>
      </w:r>
    </w:p>
    <w:p w:rsidR="00D5771F" w:rsidRDefault="00E34329">
      <w:pPr>
        <w:pStyle w:val="Heading3"/>
        <w:tabs>
          <w:tab w:val="clear" w:pos="720"/>
          <w:tab w:val="left" w:pos="4860"/>
        </w:tabs>
        <w:ind w:left="993" w:hanging="993"/>
        <w:rPr>
          <w:szCs w:val="24"/>
        </w:rPr>
      </w:pPr>
      <w:r w:rsidRPr="00E34329">
        <w:rPr>
          <w:szCs w:val="24"/>
        </w:rPr>
        <w:t>Shri Avadhesh Kumar, Chairman, Uttar Pradesh Rajya Vidyut Upbhoktha Parishad and Shri Pratap Chandra Chairman Rastravadi Sangthan, submitted that in rural areas consumers should be billed as per rural tariff and in urban areas consumers should be billed as per urban tariff. They further requested the Commission to Order the Licensees to charge rural consumer on rural tariff in place of urban tariff and should return the excess money collected.</w:t>
      </w:r>
    </w:p>
    <w:p w:rsidR="00D5771F" w:rsidRDefault="00E34329">
      <w:pPr>
        <w:pStyle w:val="Heading3"/>
        <w:tabs>
          <w:tab w:val="clear" w:pos="720"/>
          <w:tab w:val="left" w:pos="4860"/>
        </w:tabs>
        <w:ind w:left="993" w:hanging="993"/>
        <w:rPr>
          <w:szCs w:val="24"/>
        </w:rPr>
      </w:pPr>
      <w:r w:rsidRPr="00E34329">
        <w:rPr>
          <w:szCs w:val="24"/>
        </w:rPr>
        <w:t xml:space="preserve">Shri Pawan Tiwari R.T.I. and Social worker submitted that urban tariff is charged for rural consumer. It is requested that either supply hours be increased as per urban schedule or billing shall continue as per rural schedule in rural areas.  </w:t>
      </w:r>
    </w:p>
    <w:p w:rsidR="00D5771F" w:rsidRDefault="00E34329">
      <w:pPr>
        <w:pStyle w:val="Heading3"/>
        <w:tabs>
          <w:tab w:val="clear" w:pos="720"/>
          <w:tab w:val="left" w:pos="4860"/>
        </w:tabs>
        <w:ind w:left="993" w:hanging="993"/>
        <w:rPr>
          <w:szCs w:val="24"/>
        </w:rPr>
      </w:pPr>
      <w:r w:rsidRPr="00E34329">
        <w:rPr>
          <w:szCs w:val="24"/>
        </w:rPr>
        <w:t>Shri G.C. Khanna, Electrical Adviser &amp; representative submitted that Discoms are releasing PTW connections without meter. Maximum PTW connections are running without meter so that Discoms can take advantage of regulatory surcharge by claiming loss. Hence, necessary action is required by the Commission in this regard.</w:t>
      </w:r>
    </w:p>
    <w:p w:rsidR="00D5771F" w:rsidRDefault="00E34329">
      <w:pPr>
        <w:pStyle w:val="Heading3"/>
        <w:tabs>
          <w:tab w:val="clear" w:pos="720"/>
          <w:tab w:val="left" w:pos="4860"/>
        </w:tabs>
        <w:ind w:left="993" w:hanging="993"/>
        <w:rPr>
          <w:szCs w:val="24"/>
        </w:rPr>
      </w:pPr>
      <w:r w:rsidRPr="00E34329">
        <w:rPr>
          <w:szCs w:val="24"/>
        </w:rPr>
        <w:lastRenderedPageBreak/>
        <w:t>Shri Sandeep Ranjan Gupta submitted that places where metering has been done, electricity at cheaper rate should be provided.</w:t>
      </w:r>
    </w:p>
    <w:p w:rsidR="00D5771F" w:rsidRDefault="00E34329">
      <w:pPr>
        <w:pStyle w:val="Heading3"/>
        <w:tabs>
          <w:tab w:val="clear" w:pos="720"/>
          <w:tab w:val="left" w:pos="4860"/>
        </w:tabs>
        <w:ind w:left="993" w:hanging="993"/>
        <w:rPr>
          <w:szCs w:val="24"/>
        </w:rPr>
      </w:pPr>
      <w:r w:rsidRPr="00E34329">
        <w:rPr>
          <w:szCs w:val="24"/>
        </w:rPr>
        <w:t>Shri Akash Garg, Advocate for Indian Industries Association, submitted that as per ARR petition all the consumers should be metered by December 2015, unmetered consumers are increasing the inefficiency. Stakeholder further submitted that supply of electricity to Un-metered consumers is contrary to Section 55 of Electricity.</w:t>
      </w:r>
    </w:p>
    <w:p w:rsidR="00D5771F" w:rsidRDefault="00E34329">
      <w:pPr>
        <w:pStyle w:val="Heading3"/>
        <w:tabs>
          <w:tab w:val="clear" w:pos="720"/>
          <w:tab w:val="left" w:pos="4860"/>
        </w:tabs>
        <w:ind w:left="993" w:hanging="993"/>
        <w:rPr>
          <w:szCs w:val="24"/>
        </w:rPr>
      </w:pPr>
      <w:r w:rsidRPr="00E34329">
        <w:rPr>
          <w:szCs w:val="24"/>
        </w:rPr>
        <w:t>Shri Mahesh Singh Hiruit submitted that the bill should be in Hindi and the bill contain many heads like electricity duty, PF penalty, MD penalty etc, consumer should be given detail of the money collected under each head.</w:t>
      </w:r>
    </w:p>
    <w:p w:rsidR="0026266F" w:rsidRPr="003D2C56" w:rsidRDefault="0026266F" w:rsidP="0026266F">
      <w:pPr>
        <w:tabs>
          <w:tab w:val="left" w:pos="1980"/>
        </w:tabs>
        <w:ind w:left="720"/>
        <w:rPr>
          <w:rFonts w:cs="Calibri"/>
          <w:color w:val="000000"/>
        </w:rPr>
      </w:pPr>
    </w:p>
    <w:p w:rsidR="0026266F" w:rsidRPr="003D2C56" w:rsidRDefault="00E34329" w:rsidP="0026266F">
      <w:pPr>
        <w:numPr>
          <w:ilvl w:val="0"/>
          <w:numId w:val="206"/>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rFonts w:cs="Calibri"/>
          <w:b/>
          <w:i/>
          <w:iCs/>
          <w:szCs w:val="24"/>
        </w:rPr>
      </w:pPr>
      <w:r w:rsidRPr="00E34329">
        <w:rPr>
          <w:szCs w:val="24"/>
        </w:rPr>
        <w:t xml:space="preserve">The Petitioner has submitted that the </w:t>
      </w:r>
      <w:r w:rsidR="00D67872" w:rsidRPr="00E34329">
        <w:rPr>
          <w:szCs w:val="24"/>
        </w:rPr>
        <w:t>billing of the consumers is</w:t>
      </w:r>
      <w:r w:rsidRPr="00E34329">
        <w:rPr>
          <w:szCs w:val="24"/>
        </w:rPr>
        <w:t xml:space="preserve"> being done as per the provisions approved by the Commission in its last Tariff Order.</w:t>
      </w:r>
    </w:p>
    <w:p w:rsidR="00D5771F" w:rsidRDefault="00E34329">
      <w:pPr>
        <w:pStyle w:val="Heading3"/>
        <w:tabs>
          <w:tab w:val="clear" w:pos="720"/>
          <w:tab w:val="left" w:pos="4860"/>
        </w:tabs>
        <w:ind w:left="993" w:hanging="993"/>
        <w:rPr>
          <w:szCs w:val="24"/>
        </w:rPr>
      </w:pPr>
      <w:r w:rsidRPr="00E34329">
        <w:rPr>
          <w:szCs w:val="24"/>
        </w:rPr>
        <w:t>The Commission has embarked upon the glorious intention of 100% metering in the State of UP.  In view of the same, a target of 100% metering of urban consumers up to December 2015 was set by the Commission. The representatives of Discoms had assured the Commission of achieving the target to the satisfaction of the Commission.</w:t>
      </w:r>
    </w:p>
    <w:p w:rsidR="00D5771F" w:rsidRDefault="00E34329">
      <w:pPr>
        <w:pStyle w:val="Heading3"/>
        <w:tabs>
          <w:tab w:val="clear" w:pos="720"/>
          <w:tab w:val="left" w:pos="4860"/>
        </w:tabs>
        <w:ind w:left="993" w:hanging="993"/>
        <w:rPr>
          <w:bCs w:val="0"/>
          <w:szCs w:val="24"/>
        </w:rPr>
      </w:pPr>
      <w:r w:rsidRPr="00E34329">
        <w:rPr>
          <w:szCs w:val="24"/>
        </w:rPr>
        <w:t>Licensee is committed to achieve 100% metering and are strictly following the instructions of the Commission.</w:t>
      </w:r>
    </w:p>
    <w:p w:rsidR="00D5771F" w:rsidRDefault="00E34329">
      <w:pPr>
        <w:pStyle w:val="Heading3"/>
        <w:tabs>
          <w:tab w:val="clear" w:pos="720"/>
          <w:tab w:val="left" w:pos="4860"/>
        </w:tabs>
        <w:ind w:left="993" w:hanging="993"/>
        <w:rPr>
          <w:szCs w:val="24"/>
        </w:rPr>
      </w:pPr>
      <w:r w:rsidRPr="00E34329">
        <w:rPr>
          <w:szCs w:val="24"/>
        </w:rPr>
        <w:t>The Licensee has undertaken a slew of E-governance initiatives which are aimed at higher revenue realization, better consumer satisfaction and maintaining the highest standard of professionalism and ethics in the organization.</w:t>
      </w:r>
    </w:p>
    <w:p w:rsidR="0026266F" w:rsidRPr="003D2C56" w:rsidRDefault="00E34329" w:rsidP="0026266F">
      <w:pPr>
        <w:pStyle w:val="Heading3"/>
        <w:numPr>
          <w:ilvl w:val="0"/>
          <w:numId w:val="0"/>
        </w:numPr>
        <w:tabs>
          <w:tab w:val="clear" w:pos="720"/>
          <w:tab w:val="left" w:pos="4860"/>
        </w:tabs>
        <w:ind w:left="993"/>
        <w:rPr>
          <w:szCs w:val="24"/>
        </w:rPr>
      </w:pPr>
      <w:r w:rsidRPr="00E34329">
        <w:rPr>
          <w:szCs w:val="24"/>
        </w:rPr>
        <w:t>The key initiatives have been discussed below:</w:t>
      </w:r>
    </w:p>
    <w:p w:rsidR="0026266F" w:rsidRPr="003D2C56" w:rsidRDefault="00E34329" w:rsidP="0026266F">
      <w:pPr>
        <w:ind w:left="273" w:firstLine="720"/>
        <w:rPr>
          <w:b/>
        </w:rPr>
      </w:pPr>
      <w:r w:rsidRPr="00E34329">
        <w:rPr>
          <w:b/>
        </w:rPr>
        <w:t xml:space="preserve">BILL PAYMENT OPTIONS </w:t>
      </w:r>
    </w:p>
    <w:p w:rsidR="0026266F" w:rsidRPr="003D2C56" w:rsidRDefault="00E34329" w:rsidP="0026266F">
      <w:pPr>
        <w:spacing w:before="100" w:beforeAutospacing="1" w:after="100" w:afterAutospacing="1"/>
        <w:ind w:left="993"/>
        <w:rPr>
          <w:rFonts w:cstheme="minorHAnsi"/>
          <w:bCs/>
          <w:color w:val="000000"/>
        </w:rPr>
      </w:pPr>
      <w:r w:rsidRPr="00E34329">
        <w:t xml:space="preserve">The Licensee has introduced several new payment options for consumers. These </w:t>
      </w:r>
      <w:r w:rsidRPr="00E34329">
        <w:rPr>
          <w:rFonts w:cstheme="minorHAnsi"/>
          <w:bCs/>
          <w:color w:val="000000"/>
        </w:rPr>
        <w:t>include:</w:t>
      </w:r>
    </w:p>
    <w:p w:rsidR="0026266F" w:rsidRPr="003D2C56" w:rsidRDefault="00E34329" w:rsidP="0026266F">
      <w:pPr>
        <w:ind w:left="273" w:firstLine="720"/>
        <w:rPr>
          <w:b/>
        </w:rPr>
      </w:pPr>
      <w:r w:rsidRPr="00E34329">
        <w:rPr>
          <w:b/>
        </w:rPr>
        <w:t>ONLINE BILL PAYMENT</w:t>
      </w:r>
    </w:p>
    <w:p w:rsidR="0026266F" w:rsidRPr="003D2C56" w:rsidRDefault="00E34329" w:rsidP="0026266F">
      <w:pPr>
        <w:spacing w:before="100" w:beforeAutospacing="1" w:after="100" w:afterAutospacing="1"/>
        <w:ind w:left="993"/>
      </w:pPr>
      <w:r w:rsidRPr="00E34329">
        <w:t xml:space="preserve">Consumers can log on to the company website to pay electricity bills to pay electricity bills through a payment gateway or net banking. </w:t>
      </w:r>
    </w:p>
    <w:p w:rsidR="0026266F" w:rsidRPr="003D2C56" w:rsidRDefault="00E34329" w:rsidP="0026266F">
      <w:pPr>
        <w:ind w:left="273" w:firstLine="720"/>
        <w:rPr>
          <w:b/>
        </w:rPr>
      </w:pPr>
      <w:r w:rsidRPr="00E34329">
        <w:rPr>
          <w:b/>
        </w:rPr>
        <w:lastRenderedPageBreak/>
        <w:t>PAYMENT THROUGH MOBILE PHONES</w:t>
      </w:r>
    </w:p>
    <w:p w:rsidR="0026266F" w:rsidRPr="003D2C56" w:rsidRDefault="00E34329" w:rsidP="0026266F">
      <w:pPr>
        <w:spacing w:before="100" w:beforeAutospacing="1" w:after="100" w:afterAutospacing="1"/>
        <w:ind w:left="993"/>
      </w:pPr>
      <w:r w:rsidRPr="00E34329">
        <w:t>Customers can pay, accept and transfer money through mobiles handsets and all the DISCOM’s PCs/Mobiles/landlines act as a point-of-sale terminals. There are various options to pay through phones.</w:t>
      </w:r>
    </w:p>
    <w:p w:rsidR="0026266F" w:rsidRPr="003D2C56" w:rsidRDefault="00E34329" w:rsidP="0026266F">
      <w:pPr>
        <w:ind w:left="273" w:firstLine="720"/>
        <w:rPr>
          <w:b/>
        </w:rPr>
      </w:pPr>
      <w:r w:rsidRPr="00E34329">
        <w:rPr>
          <w:b/>
        </w:rPr>
        <w:t>CALLING ON THE HELPLINE NUMBER (THROUGH IVRS)</w:t>
      </w:r>
    </w:p>
    <w:p w:rsidR="0026266F" w:rsidRPr="003D2C56" w:rsidRDefault="00E34329" w:rsidP="0026266F">
      <w:pPr>
        <w:spacing w:before="100" w:beforeAutospacing="1" w:after="100" w:afterAutospacing="1"/>
        <w:ind w:left="993"/>
      </w:pPr>
      <w:r w:rsidRPr="00E34329">
        <w:t>Through this system, customers can call on the numbers provided for bill payment. The call will land on the interactive voice response system (IVRS) which captures the consumer number and card information, and connects to Discom’s bank payment gateway for processing the transaction. On successful payment authorization, the IVRS updates the payments details on the master server.</w:t>
      </w:r>
    </w:p>
    <w:p w:rsidR="0026266F" w:rsidRPr="003D2C56" w:rsidRDefault="00E34329" w:rsidP="0026266F">
      <w:pPr>
        <w:ind w:left="273" w:firstLine="720"/>
        <w:rPr>
          <w:b/>
        </w:rPr>
      </w:pPr>
      <w:r w:rsidRPr="00E34329">
        <w:rPr>
          <w:b/>
        </w:rPr>
        <w:t>DIRECT MOBILE BASED PAYMENT SERVICES</w:t>
      </w:r>
    </w:p>
    <w:p w:rsidR="0026266F" w:rsidRPr="003D2C56" w:rsidRDefault="00E34329" w:rsidP="0026266F">
      <w:pPr>
        <w:spacing w:before="100" w:beforeAutospacing="1" w:after="100" w:afterAutospacing="1"/>
        <w:ind w:left="993"/>
      </w:pPr>
      <w:r w:rsidRPr="00E34329">
        <w:t>Through this system, customers log on to the vender’s mobile application for bill payments after downloading it. The mobile application captures the consumer’s number and card information of the customer, and connects to Discom’s bank payment gateway for processing the transaction. On successful payment authorization, the mobile system updates the payment details on the master system.</w:t>
      </w:r>
    </w:p>
    <w:p w:rsidR="0026266F" w:rsidRPr="003D2C56" w:rsidRDefault="00E34329" w:rsidP="0026266F">
      <w:pPr>
        <w:ind w:left="273" w:firstLine="720"/>
        <w:rPr>
          <w:b/>
        </w:rPr>
      </w:pPr>
      <w:r w:rsidRPr="00E34329">
        <w:rPr>
          <w:b/>
        </w:rPr>
        <w:t>SMS-BASED PAYMENT SOLUTION</w:t>
      </w:r>
    </w:p>
    <w:p w:rsidR="0026266F" w:rsidRPr="003D2C56" w:rsidRDefault="00E34329" w:rsidP="0026266F">
      <w:pPr>
        <w:spacing w:before="100" w:beforeAutospacing="1" w:after="100" w:afterAutospacing="1"/>
        <w:ind w:left="993"/>
      </w:pPr>
      <w:r w:rsidRPr="00E34329">
        <w:t>Under this system, customers initiate the payment request through SMS. The server sends a message to the customer on the registered mobile number as the payment confirmation receipt for every successful transaction. The system also sends SMS alerts to customers for the due date for bill payment to avoid uninterrupted services as well as for payment confirmation.</w:t>
      </w:r>
    </w:p>
    <w:p w:rsidR="0026266F" w:rsidRPr="003D2C56" w:rsidRDefault="00E34329" w:rsidP="0026266F">
      <w:pPr>
        <w:ind w:left="273" w:firstLine="720"/>
        <w:rPr>
          <w:b/>
        </w:rPr>
      </w:pPr>
      <w:r w:rsidRPr="00E34329">
        <w:rPr>
          <w:b/>
        </w:rPr>
        <w:t>PAY FROM HOME</w:t>
      </w:r>
    </w:p>
    <w:p w:rsidR="0026266F" w:rsidRPr="003D2C56" w:rsidRDefault="00E34329" w:rsidP="0026266F">
      <w:pPr>
        <w:spacing w:before="100" w:beforeAutospacing="1" w:after="100" w:afterAutospacing="1"/>
        <w:ind w:left="993"/>
      </w:pPr>
      <w:r w:rsidRPr="00E34329">
        <w:t>Consumers can make cheque payments through the billing agency-the meter reader, who generates bills for consumers through hand held machines at their doorstep. A hand-held-generated receipt is provided to consumers. Besides the aforementioned methods of revenue realization, increasing the customer base by providing easy access to new connections is important. The launch of single-window services is an initiative towards this end.</w:t>
      </w:r>
    </w:p>
    <w:p w:rsidR="0026266F" w:rsidRPr="003D2C56" w:rsidRDefault="00E34329" w:rsidP="0026266F">
      <w:pPr>
        <w:ind w:left="273" w:firstLine="720"/>
        <w:rPr>
          <w:b/>
        </w:rPr>
      </w:pPr>
      <w:r w:rsidRPr="00E34329">
        <w:rPr>
          <w:b/>
        </w:rPr>
        <w:lastRenderedPageBreak/>
        <w:t xml:space="preserve">CONSUMER INTERFACE </w:t>
      </w:r>
    </w:p>
    <w:p w:rsidR="0026266F" w:rsidRPr="003D2C56" w:rsidRDefault="00E34329" w:rsidP="0026266F">
      <w:pPr>
        <w:spacing w:before="100" w:beforeAutospacing="1" w:after="100" w:afterAutospacing="1"/>
        <w:ind w:left="993"/>
      </w:pPr>
      <w:r w:rsidRPr="00E34329">
        <w:t xml:space="preserve">The basic concern of the consumers of any power distribution company is uninterrupted supply. The electricity demand-supply gap being critical issue in India, most of the utilities fails to ensure uninterrupted supply. This causes consumer dissatisfaction and lack of trust for the concerned officials. The unavailability of correct information related to the cause and expected time of interruption adds to customer concerns resulting from local faults, which take hours to be restored. Moreover, at times, related queries are not adequately addressed by substation staff, which results in law and order issues. </w:t>
      </w:r>
    </w:p>
    <w:p w:rsidR="0026266F" w:rsidRPr="003D2C56" w:rsidRDefault="00E34329" w:rsidP="0026266F">
      <w:pPr>
        <w:spacing w:before="100" w:beforeAutospacing="1" w:after="100" w:afterAutospacing="1"/>
        <w:ind w:left="993"/>
      </w:pPr>
      <w:r w:rsidRPr="00E34329">
        <w:t>To address these issues, Discoms have launched an initiative, Urja Mitra, which seeks to:</w:t>
      </w:r>
    </w:p>
    <w:p w:rsidR="0026266F" w:rsidRPr="003D2C56" w:rsidRDefault="00E34329" w:rsidP="0026266F">
      <w:pPr>
        <w:pStyle w:val="ListParagraph"/>
        <w:numPr>
          <w:ilvl w:val="1"/>
          <w:numId w:val="219"/>
        </w:numPr>
        <w:spacing w:before="100" w:beforeAutospacing="1" w:after="100" w:afterAutospacing="1"/>
        <w:ind w:left="2411" w:hanging="567"/>
      </w:pPr>
      <w:r w:rsidRPr="00E34329">
        <w:t>Provide information about power rostering / cuts / breakdowns / shutdowns to consumers on their landline / mobile phones</w:t>
      </w:r>
    </w:p>
    <w:p w:rsidR="0026266F" w:rsidRPr="003D2C56" w:rsidRDefault="00E34329" w:rsidP="0026266F">
      <w:pPr>
        <w:pStyle w:val="ListParagraph"/>
        <w:numPr>
          <w:ilvl w:val="1"/>
          <w:numId w:val="219"/>
        </w:numPr>
        <w:spacing w:before="100" w:beforeAutospacing="1" w:after="100" w:afterAutospacing="1"/>
        <w:ind w:left="2411" w:hanging="567"/>
      </w:pPr>
      <w:r w:rsidRPr="00E34329">
        <w:t>Establish mutual trust between citizens and distribution officials</w:t>
      </w:r>
    </w:p>
    <w:p w:rsidR="0026266F" w:rsidRPr="003D2C56" w:rsidRDefault="00E34329" w:rsidP="0026266F">
      <w:pPr>
        <w:spacing w:before="100" w:beforeAutospacing="1" w:after="100" w:afterAutospacing="1"/>
        <w:ind w:left="993"/>
      </w:pPr>
      <w:r w:rsidRPr="00E34329">
        <w:t>Any scheduled / unscheduled rostering/breakdown is reported to the central control room. The call centre operator selects the specific substation or the 33kV/11kV feeder in the case of breakdowns and the entire area for rostering. Consumers of the concerned area are automatically selected by the software and as soon as a command is given, SMS alerts and voice calls are sent to them.</w:t>
      </w:r>
    </w:p>
    <w:p w:rsidR="0026266F" w:rsidRPr="003D2C56" w:rsidRDefault="00E34329" w:rsidP="0026266F">
      <w:pPr>
        <w:spacing w:before="100" w:beforeAutospacing="1" w:after="100" w:afterAutospacing="1"/>
        <w:ind w:left="993"/>
      </w:pPr>
      <w:r w:rsidRPr="00E34329">
        <w:t>Therefore, the message provides specific breakdown information to the concerned customer along with the expected time of power supply restoration. These SMS alerts are sent on 24x7 bases to all affected consumers, while voice calls are sent only during the day.</w:t>
      </w:r>
    </w:p>
    <w:p w:rsidR="0026266F" w:rsidRPr="003D2C56" w:rsidRDefault="00E34329" w:rsidP="0026266F">
      <w:pPr>
        <w:spacing w:before="100" w:beforeAutospacing="1" w:after="100" w:afterAutospacing="1"/>
        <w:ind w:left="993"/>
      </w:pPr>
      <w:r w:rsidRPr="00E34329">
        <w:t>Efforts are being made to cover the remaining customers through billing agencies/division offices. They can also log on to the Discom web site and register their phone numbers for availing of these services. There has been a positive response to the initiative. Customers are enrolling themselves to access information via Urja Mitra and there has been a reduction in general complaints about the behaviour of division/substation officials during power interruptions as well as law and order issues.</w:t>
      </w:r>
    </w:p>
    <w:p w:rsidR="0026266F" w:rsidRPr="003D2C56" w:rsidRDefault="00E34329" w:rsidP="0026266F">
      <w:pPr>
        <w:ind w:left="273" w:firstLine="720"/>
        <w:rPr>
          <w:b/>
        </w:rPr>
      </w:pPr>
      <w:r w:rsidRPr="00E34329">
        <w:rPr>
          <w:b/>
        </w:rPr>
        <w:lastRenderedPageBreak/>
        <w:t xml:space="preserve">DEDICATED 24X7 CALL CENTRE </w:t>
      </w:r>
    </w:p>
    <w:p w:rsidR="0026266F" w:rsidRPr="003D2C56" w:rsidRDefault="00E34329" w:rsidP="0026266F">
      <w:pPr>
        <w:spacing w:before="100" w:beforeAutospacing="1" w:after="100" w:afterAutospacing="1"/>
        <w:ind w:left="993"/>
      </w:pPr>
      <w:r w:rsidRPr="00E34329">
        <w:t>A centralized call centre has been launched to improve customer services, increase staff efficiency and provide a single-window clearance mechanism for all customer complaints. The call centre is designed to address consumer complaints regarding power outages, wrong billing, payments, metering, etc.</w:t>
      </w:r>
    </w:p>
    <w:p w:rsidR="0026266F" w:rsidRPr="003D2C56" w:rsidRDefault="00E34329" w:rsidP="0026266F">
      <w:pPr>
        <w:ind w:left="993"/>
      </w:pPr>
      <w:r w:rsidRPr="00E34329">
        <w:t>The redressal time frame for different complaints categories range from four hours to 15 days, and unaddressed complaints are forwarded to every subsequent higher officials till being addressed. The software also generates MIS reports of the lodged and solved complaints as well as officer-wise defaulter lists, which are monitored at the highest level. This system is also integrated with SMS facilities for consumers/officers at the time of registration as well as redressal.</w:t>
      </w:r>
    </w:p>
    <w:p w:rsidR="00D5771F" w:rsidRDefault="00E34329">
      <w:pPr>
        <w:pStyle w:val="Heading3"/>
        <w:tabs>
          <w:tab w:val="clear" w:pos="720"/>
          <w:tab w:val="left" w:pos="4860"/>
        </w:tabs>
        <w:ind w:left="993" w:hanging="993"/>
        <w:rPr>
          <w:szCs w:val="24"/>
        </w:rPr>
      </w:pPr>
      <w:r w:rsidRPr="00E34329">
        <w:rPr>
          <w:rFonts w:eastAsia="Calibri" w:cs="Times New Roman"/>
          <w:bCs w:val="0"/>
          <w:szCs w:val="24"/>
          <w:lang w:val="en-US"/>
        </w:rPr>
        <w:t>The Billing is done as per the extant provisions in the rate schedule which is also linked with the hours of supply.</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206"/>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 xml:space="preserve">The Commission has taken note of the objections / suggestions made by the objectors. It is grave concern to achieve 100% metering, various initiative is being taken in this regard. The Commission vide its Order dated December 21, 2015 directed to the Licensees that to put all out efforts to get the rural consumers metered as in respect of urban metering which has reached almost 100% level now and show substantial progress by June 30, 2016. </w:t>
      </w:r>
    </w:p>
    <w:p w:rsidR="0026266F" w:rsidRPr="003D2C56" w:rsidRDefault="0026266F" w:rsidP="0026266F">
      <w:pPr>
        <w:pStyle w:val="Heading3"/>
        <w:numPr>
          <w:ilvl w:val="0"/>
          <w:numId w:val="0"/>
        </w:numPr>
        <w:rPr>
          <w:szCs w:val="24"/>
        </w:rPr>
      </w:pPr>
    </w:p>
    <w:p w:rsidR="00D5771F" w:rsidRDefault="00E34329">
      <w:pPr>
        <w:pStyle w:val="Heading2"/>
        <w:spacing w:line="276" w:lineRule="auto"/>
        <w:rPr>
          <w:rFonts w:ascii="Calibri" w:hAnsi="Calibri"/>
        </w:rPr>
      </w:pPr>
      <w:bookmarkStart w:id="150" w:name="_Toc454277481"/>
      <w:bookmarkStart w:id="151" w:name="_Toc457603910"/>
      <w:r w:rsidRPr="00E34329">
        <w:rPr>
          <w:rFonts w:ascii="Calibri" w:hAnsi="Calibri"/>
        </w:rPr>
        <w:t>OPEN ACCESS</w:t>
      </w:r>
      <w:bookmarkEnd w:id="150"/>
      <w:bookmarkEnd w:id="151"/>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pStyle w:val="ListParagraph"/>
        <w:numPr>
          <w:ilvl w:val="0"/>
          <w:numId w:val="207"/>
        </w:numPr>
        <w:tabs>
          <w:tab w:val="left" w:pos="1980"/>
        </w:tabs>
        <w:spacing w:before="0"/>
        <w:contextualSpacing/>
        <w:rPr>
          <w:b/>
          <w:i/>
        </w:rPr>
      </w:pPr>
      <w:r w:rsidRPr="00E34329">
        <w:rPr>
          <w:rFonts w:eastAsia="Calibri"/>
          <w:b/>
          <w:i/>
          <w:lang w:val="en-US"/>
        </w:rPr>
        <w:t>Comments/Suggestions of the Public</w:t>
      </w:r>
    </w:p>
    <w:p w:rsidR="00D5771F" w:rsidRDefault="00E34329">
      <w:pPr>
        <w:pStyle w:val="Heading3"/>
        <w:tabs>
          <w:tab w:val="clear" w:pos="720"/>
          <w:tab w:val="left" w:pos="4860"/>
        </w:tabs>
        <w:ind w:left="993" w:hanging="993"/>
        <w:rPr>
          <w:szCs w:val="24"/>
        </w:rPr>
      </w:pPr>
      <w:r w:rsidRPr="00E34329">
        <w:rPr>
          <w:szCs w:val="24"/>
        </w:rPr>
        <w:t>The Mahabir Jute Mills Ltd. submitted that to promote the open access wheeling loss data must be brought before the Commission.</w:t>
      </w:r>
    </w:p>
    <w:p w:rsidR="00D5771F" w:rsidRDefault="00E34329">
      <w:pPr>
        <w:pStyle w:val="Heading3"/>
        <w:tabs>
          <w:tab w:val="clear" w:pos="720"/>
          <w:tab w:val="left" w:pos="4860"/>
        </w:tabs>
        <w:ind w:left="993" w:hanging="993"/>
        <w:rPr>
          <w:szCs w:val="24"/>
        </w:rPr>
      </w:pPr>
      <w:r w:rsidRPr="00E34329">
        <w:rPr>
          <w:szCs w:val="24"/>
        </w:rPr>
        <w:t xml:space="preserve"> Shri K. L. Aggarwal chairman Associate Chambers of Commerce &amp; Industries of U. P submitted that separate note from each of the Discoms be asked for, on the performance report on Open Access policy and the same be the part of Tariff proceedings.</w:t>
      </w:r>
    </w:p>
    <w:p w:rsidR="00D5771F" w:rsidRDefault="00E34329">
      <w:pPr>
        <w:pStyle w:val="Heading3"/>
        <w:tabs>
          <w:tab w:val="clear" w:pos="720"/>
          <w:tab w:val="left" w:pos="4860"/>
        </w:tabs>
        <w:ind w:left="993" w:hanging="993"/>
        <w:rPr>
          <w:rFonts w:cs="Calibri"/>
          <w:szCs w:val="24"/>
        </w:rPr>
      </w:pPr>
      <w:r w:rsidRPr="00E34329">
        <w:rPr>
          <w:szCs w:val="24"/>
        </w:rPr>
        <w:lastRenderedPageBreak/>
        <w:t>Shri K. L. Aggarwal chairman Associate Chambers of Commerce &amp; Industries of U. P submitted that the process of adopting power through Open Access is very cumbersome. There is a need of favourable wheeling charges and improvement in distribution</w:t>
      </w:r>
      <w:r w:rsidRPr="00E34329">
        <w:rPr>
          <w:rFonts w:cs="Calibri"/>
          <w:szCs w:val="24"/>
        </w:rPr>
        <w:t xml:space="preserve"> network.</w:t>
      </w:r>
    </w:p>
    <w:p w:rsidR="0026266F" w:rsidRPr="003D2C56" w:rsidRDefault="0026266F" w:rsidP="0026266F">
      <w:pPr>
        <w:tabs>
          <w:tab w:val="left" w:pos="1980"/>
        </w:tabs>
        <w:ind w:left="720"/>
        <w:rPr>
          <w:rFonts w:cs="Calibri"/>
          <w:color w:val="000000"/>
        </w:rPr>
      </w:pPr>
    </w:p>
    <w:p w:rsidR="0026266F" w:rsidRPr="003D2C56" w:rsidRDefault="00E34329" w:rsidP="0026266F">
      <w:pPr>
        <w:numPr>
          <w:ilvl w:val="0"/>
          <w:numId w:val="207"/>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The Licensee is committed to comply with the provisions of the Electricity Act, 2003 and the regulations framed by the Commission. Open access is being provided as per the extant guidelines and policies framed by the Commission.</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207"/>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The Commission has taken note of the above objections / suggestions made by the stakeholders in this regards. The details of the charges applicable to Open Access consumers along with the wheeling losses approved by the Commission have been discussed in subsequent Chapter titled Open Access Charges.</w:t>
      </w:r>
    </w:p>
    <w:p w:rsidR="0026266F" w:rsidRPr="003D2C56" w:rsidRDefault="0026266F" w:rsidP="0026266F">
      <w:pPr>
        <w:pStyle w:val="Heading3"/>
        <w:numPr>
          <w:ilvl w:val="0"/>
          <w:numId w:val="0"/>
        </w:numPr>
        <w:tabs>
          <w:tab w:val="clear" w:pos="720"/>
          <w:tab w:val="left" w:pos="4860"/>
        </w:tabs>
        <w:ind w:left="993"/>
        <w:rPr>
          <w:b/>
          <w:bCs w:val="0"/>
          <w:szCs w:val="24"/>
        </w:rPr>
      </w:pPr>
    </w:p>
    <w:p w:rsidR="00D5771F" w:rsidRDefault="00E34329">
      <w:pPr>
        <w:pStyle w:val="Heading2"/>
        <w:spacing w:line="276" w:lineRule="auto"/>
        <w:rPr>
          <w:rFonts w:ascii="Calibri" w:hAnsi="Calibri"/>
        </w:rPr>
      </w:pPr>
      <w:bookmarkStart w:id="152" w:name="_Toc454277482"/>
      <w:bookmarkStart w:id="153" w:name="_Toc457603911"/>
      <w:r w:rsidRPr="00E34329">
        <w:rPr>
          <w:rFonts w:ascii="Calibri" w:hAnsi="Calibri"/>
        </w:rPr>
        <w:t>AUDIT OF ACCOUNTS</w:t>
      </w:r>
      <w:bookmarkEnd w:id="152"/>
      <w:bookmarkEnd w:id="153"/>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pStyle w:val="ListParagraph"/>
        <w:numPr>
          <w:ilvl w:val="0"/>
          <w:numId w:val="208"/>
        </w:numPr>
        <w:tabs>
          <w:tab w:val="left" w:pos="1980"/>
        </w:tabs>
        <w:spacing w:before="0"/>
        <w:contextualSpacing/>
        <w:rPr>
          <w:b/>
          <w:i/>
        </w:rPr>
      </w:pPr>
      <w:r w:rsidRPr="00E34329">
        <w:rPr>
          <w:b/>
          <w:i/>
        </w:rPr>
        <w:t>Comments/Suggestions of the Public</w:t>
      </w:r>
    </w:p>
    <w:p w:rsidR="00D5771F" w:rsidRDefault="00E34329">
      <w:pPr>
        <w:pStyle w:val="Heading3"/>
        <w:tabs>
          <w:tab w:val="clear" w:pos="720"/>
          <w:tab w:val="left" w:pos="4860"/>
        </w:tabs>
        <w:ind w:left="993" w:hanging="993"/>
        <w:rPr>
          <w:szCs w:val="24"/>
        </w:rPr>
      </w:pPr>
      <w:r w:rsidRPr="00E34329">
        <w:rPr>
          <w:szCs w:val="24"/>
        </w:rPr>
        <w:t>Shri Avadhesh Kumar Verma, Chairman, U.P. Rajya Vidyut Upbhokta Parishad submitted that ARR / Tariff proposals should be proposed by the Licensees based on the audited accounts and timely filing of ARR which must be done along with the submission of CAG Audit Report. Any delay on account of timely filing must be penalized and benefits must be passed on to the consumers.</w:t>
      </w:r>
    </w:p>
    <w:p w:rsidR="0026266F" w:rsidRPr="003D2C56" w:rsidRDefault="00E34329" w:rsidP="0026266F">
      <w:pPr>
        <w:numPr>
          <w:ilvl w:val="0"/>
          <w:numId w:val="208"/>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The Licensee submitted that it has already submitted the audited balance sheets along with supplementary audit reports of the Accountant General of Uttar Pradesh (AGUP) for the period up to FY 2013-14. Such audited accounts and AGUP reports has already been published on the website of the Licensee.</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pStyle w:val="ListParagraph"/>
        <w:numPr>
          <w:ilvl w:val="0"/>
          <w:numId w:val="208"/>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 xml:space="preserve">The Licensees have submitted the audited accounts for FY 2013-14 and provisional accounts for FY 2014-15. The CAG report for FY 2013-14 has also been submitted by </w:t>
      </w:r>
      <w:r w:rsidRPr="00E34329">
        <w:rPr>
          <w:szCs w:val="24"/>
        </w:rPr>
        <w:lastRenderedPageBreak/>
        <w:t>the Licensees. The Petitions of the Licensees were admitted only after the receipt of the above documents.</w:t>
      </w:r>
    </w:p>
    <w:p w:rsidR="0026266F" w:rsidRPr="003D2C56" w:rsidRDefault="0026266F" w:rsidP="0026266F">
      <w:pPr>
        <w:tabs>
          <w:tab w:val="left" w:pos="1622"/>
        </w:tabs>
        <w:rPr>
          <w:rFonts w:cs="Calibri"/>
          <w:b/>
          <w:bCs/>
        </w:rPr>
      </w:pPr>
    </w:p>
    <w:p w:rsidR="00D5771F" w:rsidRDefault="00E34329">
      <w:pPr>
        <w:pStyle w:val="Heading2"/>
        <w:spacing w:line="276" w:lineRule="auto"/>
        <w:rPr>
          <w:rFonts w:ascii="Calibri" w:hAnsi="Calibri"/>
        </w:rPr>
      </w:pPr>
      <w:bookmarkStart w:id="154" w:name="_Toc454277483"/>
      <w:bookmarkStart w:id="155" w:name="_Toc457603912"/>
      <w:r w:rsidRPr="00E34329">
        <w:rPr>
          <w:rFonts w:ascii="Calibri" w:hAnsi="Calibri"/>
        </w:rPr>
        <w:t>CROSS SUBSIDY SURCHARGE</w:t>
      </w:r>
      <w:bookmarkEnd w:id="154"/>
      <w:bookmarkEnd w:id="155"/>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numPr>
          <w:ilvl w:val="0"/>
          <w:numId w:val="209"/>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szCs w:val="24"/>
        </w:rPr>
      </w:pPr>
      <w:r w:rsidRPr="00E34329">
        <w:rPr>
          <w:szCs w:val="24"/>
        </w:rPr>
        <w:t>M/s Ambika Steel, M/s Kanpur Fertilizer &amp; Cement Limited and Shri Naveen Gupta, Manager Rimjhim Ispat Ltd. submitted that in cross subsidy formula “L” is the system loss for applicable voltage level, expressed in percentage. Supply between 11 kV and 132 kV is affected through distribution system, therefore, transmission losses and distribution losses needs to be identified between 11 kV and 132 kV and considered towards system losses for determination of cross subsidy surcharge.</w:t>
      </w:r>
    </w:p>
    <w:p w:rsidR="00D5771F" w:rsidRDefault="00E34329">
      <w:pPr>
        <w:pStyle w:val="Heading3"/>
        <w:tabs>
          <w:tab w:val="clear" w:pos="720"/>
          <w:tab w:val="left" w:pos="4860"/>
        </w:tabs>
        <w:ind w:left="993" w:hanging="993"/>
        <w:rPr>
          <w:szCs w:val="24"/>
        </w:rPr>
      </w:pPr>
      <w:r w:rsidRPr="00E34329">
        <w:rPr>
          <w:szCs w:val="24"/>
        </w:rPr>
        <w:t>Shri P.K. Maskara, The Mahabir Jute Mills Ltd. requested for the clarification of Order on Petition No. 995/2014 dated November 3, 2015 in the matter of cross subsidy surcharge in Open Access.</w:t>
      </w:r>
    </w:p>
    <w:p w:rsidR="0026266F" w:rsidRPr="003D2C56" w:rsidRDefault="0026266F" w:rsidP="0026266F">
      <w:pPr>
        <w:tabs>
          <w:tab w:val="left" w:pos="1980"/>
        </w:tabs>
        <w:ind w:left="720"/>
        <w:rPr>
          <w:rFonts w:cs="Calibri"/>
          <w:color w:val="000000"/>
        </w:rPr>
      </w:pPr>
    </w:p>
    <w:p w:rsidR="0026266F" w:rsidRPr="003D2C56" w:rsidRDefault="00E34329" w:rsidP="0026266F">
      <w:pPr>
        <w:numPr>
          <w:ilvl w:val="0"/>
          <w:numId w:val="209"/>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Regarding clarification on Petition No. 995/2014 dated November 3, 2015 the licensee has submitted that the subject matter of the query of the stakeholder pertains to only FY 2015-16 and hence, is out of the scope of the instant tariff petition which is for FY 2016-17.</w:t>
      </w:r>
    </w:p>
    <w:p w:rsidR="00D5771F" w:rsidRDefault="00E34329">
      <w:pPr>
        <w:pStyle w:val="Heading3"/>
        <w:tabs>
          <w:tab w:val="clear" w:pos="720"/>
          <w:tab w:val="left" w:pos="4860"/>
        </w:tabs>
        <w:ind w:left="993" w:hanging="993"/>
        <w:rPr>
          <w:szCs w:val="24"/>
        </w:rPr>
      </w:pPr>
      <w:r w:rsidRPr="00E34329">
        <w:rPr>
          <w:szCs w:val="24"/>
        </w:rPr>
        <w:t>The cross subsidy is within the threshold limits prescribed under the Tariff Policy. The tariff has been proposed in line with the Tariff Regulations framed by the Commission, the National Tariff Policy, 2006 and the Electricity Act, 2003.</w:t>
      </w:r>
    </w:p>
    <w:p w:rsidR="00D5771F" w:rsidRDefault="00E34329">
      <w:pPr>
        <w:pStyle w:val="Heading3"/>
        <w:tabs>
          <w:tab w:val="clear" w:pos="720"/>
          <w:tab w:val="left" w:pos="4860"/>
        </w:tabs>
        <w:ind w:left="993" w:hanging="993"/>
        <w:rPr>
          <w:szCs w:val="24"/>
        </w:rPr>
      </w:pPr>
      <w:r w:rsidRPr="00E34329">
        <w:rPr>
          <w:szCs w:val="24"/>
        </w:rPr>
        <w:t>The system losses have been considered as per the consistent practice of the Commission in the past Tariff Orders issued by it.</w:t>
      </w:r>
    </w:p>
    <w:p w:rsidR="0026266F" w:rsidRPr="003D2C56" w:rsidRDefault="0026266F" w:rsidP="0026266F">
      <w:pPr>
        <w:pStyle w:val="Heading3"/>
        <w:numPr>
          <w:ilvl w:val="0"/>
          <w:numId w:val="0"/>
        </w:numPr>
        <w:tabs>
          <w:tab w:val="clear" w:pos="720"/>
        </w:tabs>
        <w:ind w:left="993"/>
        <w:rPr>
          <w:szCs w:val="24"/>
        </w:rPr>
      </w:pPr>
    </w:p>
    <w:p w:rsidR="0026266F" w:rsidRPr="003D2C56" w:rsidRDefault="00E34329" w:rsidP="0026266F">
      <w:pPr>
        <w:pStyle w:val="ListParagraph"/>
        <w:numPr>
          <w:ilvl w:val="0"/>
          <w:numId w:val="209"/>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As regards the cross subsidy surcharge the Commission has noted the suggestions made by the stakeholders and has accordingly discussed the issue in detail in subsequent chapter titled Open Access Charges.</w:t>
      </w:r>
    </w:p>
    <w:p w:rsidR="0026266F" w:rsidRPr="003D2C56" w:rsidRDefault="0026266F" w:rsidP="0026266F">
      <w:pPr>
        <w:pStyle w:val="Heading3"/>
        <w:numPr>
          <w:ilvl w:val="0"/>
          <w:numId w:val="0"/>
        </w:numPr>
        <w:tabs>
          <w:tab w:val="clear" w:pos="720"/>
          <w:tab w:val="left" w:pos="4860"/>
        </w:tabs>
        <w:rPr>
          <w:szCs w:val="24"/>
        </w:rPr>
      </w:pPr>
    </w:p>
    <w:p w:rsidR="00D5771F" w:rsidRDefault="00E34329">
      <w:pPr>
        <w:pStyle w:val="Heading2"/>
        <w:spacing w:line="276" w:lineRule="auto"/>
        <w:rPr>
          <w:rFonts w:ascii="Calibri" w:hAnsi="Calibri"/>
        </w:rPr>
      </w:pPr>
      <w:bookmarkStart w:id="156" w:name="_Toc453522786"/>
      <w:bookmarkStart w:id="157" w:name="_Toc454277484"/>
      <w:bookmarkStart w:id="158" w:name="_Toc457603913"/>
      <w:bookmarkEnd w:id="156"/>
      <w:r w:rsidRPr="00E34329">
        <w:rPr>
          <w:rFonts w:ascii="Calibri" w:hAnsi="Calibri"/>
        </w:rPr>
        <w:lastRenderedPageBreak/>
        <w:t>TARIFF FOR TELECOM TOWERS</w:t>
      </w:r>
      <w:bookmarkEnd w:id="157"/>
      <w:bookmarkEnd w:id="158"/>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numPr>
          <w:ilvl w:val="0"/>
          <w:numId w:val="211"/>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bCs w:val="0"/>
          <w:szCs w:val="24"/>
        </w:rPr>
      </w:pPr>
      <w:r w:rsidRPr="00E34329">
        <w:rPr>
          <w:szCs w:val="24"/>
        </w:rPr>
        <w:t xml:space="preserve">Shri Rajesh Singh, Energy Manager of Indus Towers Ltd., filed his objections on following point  </w:t>
      </w:r>
    </w:p>
    <w:p w:rsidR="0026266F" w:rsidRPr="003D2C56" w:rsidRDefault="00E34329" w:rsidP="0026266F">
      <w:pPr>
        <w:pStyle w:val="ListParagraph"/>
        <w:numPr>
          <w:ilvl w:val="0"/>
          <w:numId w:val="210"/>
        </w:numPr>
        <w:spacing w:before="0" w:after="200"/>
        <w:contextualSpacing/>
        <w:rPr>
          <w:rFonts w:cs="Calibri"/>
          <w:color w:val="000000"/>
        </w:rPr>
      </w:pPr>
      <w:r w:rsidRPr="00E34329">
        <w:rPr>
          <w:rFonts w:cs="Calibri"/>
          <w:color w:val="000000"/>
        </w:rPr>
        <w:t xml:space="preserve">Rationalization of Tariff for telecom towers in the state: Telecoms towers with stable energy consumption of 24 hours a day allow the utilities to schedule demand in advance and hence, need to buy expensive short term power significantly reduced; this in turn leads to reduced cost of supply for the said consumers. They quoted APTEL decisions (MERC vs. Mumbai Airport and Tata steel vs. OERC) for tariff rationalization be taken as guiding factors in tariff determination process, therefore tariff for the commercial category has to be reduced.  </w:t>
      </w:r>
    </w:p>
    <w:p w:rsidR="0026266F" w:rsidRPr="003D2C56" w:rsidRDefault="00E34329" w:rsidP="0026266F">
      <w:pPr>
        <w:pStyle w:val="ListParagraph"/>
        <w:numPr>
          <w:ilvl w:val="0"/>
          <w:numId w:val="210"/>
        </w:numPr>
        <w:spacing w:before="0" w:after="200"/>
        <w:contextualSpacing/>
        <w:rPr>
          <w:rFonts w:cs="Calibri"/>
          <w:color w:val="000000"/>
        </w:rPr>
      </w:pPr>
      <w:r w:rsidRPr="00E34329">
        <w:rPr>
          <w:rFonts w:cs="Calibri"/>
          <w:color w:val="000000"/>
        </w:rPr>
        <w:t>Inclusion of Telecom Towers in the redesigned ToD Tariff scheme in the State: As TOD scheme is already available for commercial consumers of power like Floriculture /mushroom farming with similar load characteristics; hence, TOD tariff is made applicable for telecom towers too. The Commission may also consider it optional for certain willing consumer.</w:t>
      </w:r>
    </w:p>
    <w:p w:rsidR="0026266F" w:rsidRDefault="00E34329" w:rsidP="0026266F">
      <w:pPr>
        <w:pStyle w:val="ListParagraph"/>
        <w:numPr>
          <w:ilvl w:val="0"/>
          <w:numId w:val="210"/>
        </w:numPr>
        <w:spacing w:before="0" w:after="200"/>
        <w:contextualSpacing/>
        <w:rPr>
          <w:rFonts w:cs="Calibri"/>
          <w:color w:val="000000"/>
        </w:rPr>
      </w:pPr>
      <w:r w:rsidRPr="00E34329">
        <w:rPr>
          <w:rFonts w:cs="Calibri"/>
          <w:color w:val="000000"/>
        </w:rPr>
        <w:t>Implementation of consolidated Billing &amp; Roll out of AMR: The Commission may provide directions to the Discoms for supporting proposal of installation of smart meters and roll out consolidated billing for large consumers with multiple connections. Such a measure would drive the efficiency of the Discoms by way of saving in meter reading and billing cost while also ensuring accuracy. For consumers such as Indus Towers operating telecom towers, each of which is billed separately, implementation of consolidated billing and AMR would be greatly beneficial.</w:t>
      </w:r>
    </w:p>
    <w:p w:rsidR="006C63AF" w:rsidRDefault="006C63AF" w:rsidP="006C63AF">
      <w:pPr>
        <w:pStyle w:val="ListParagraph"/>
        <w:spacing w:after="200"/>
        <w:ind w:left="1354"/>
        <w:rPr>
          <w:rFonts w:cs="Calibri"/>
          <w:color w:val="000000"/>
        </w:rPr>
      </w:pPr>
    </w:p>
    <w:p w:rsidR="0026266F" w:rsidRPr="003D2C56" w:rsidRDefault="00E34329" w:rsidP="0026266F">
      <w:pPr>
        <w:pStyle w:val="ListParagraph"/>
        <w:numPr>
          <w:ilvl w:val="0"/>
          <w:numId w:val="211"/>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The Licensee clarified that the activity of consumers under this category is commercial in nature and so the category and tariff proposed for this category is justified and hence request of the stakeholder need not be considered.</w:t>
      </w:r>
    </w:p>
    <w:p w:rsidR="00D5771F" w:rsidRDefault="00E34329">
      <w:pPr>
        <w:pStyle w:val="Heading3"/>
        <w:tabs>
          <w:tab w:val="clear" w:pos="720"/>
          <w:tab w:val="left" w:pos="4860"/>
        </w:tabs>
        <w:ind w:left="993" w:hanging="993"/>
        <w:rPr>
          <w:szCs w:val="24"/>
        </w:rPr>
      </w:pPr>
      <w:r w:rsidRPr="00E34329">
        <w:rPr>
          <w:bCs w:val="0"/>
          <w:szCs w:val="24"/>
        </w:rPr>
        <w:t xml:space="preserve">The Licensee submitted that it has endeavoured to keep the rate schedule as simple as possible. However different categories have been created to discriminate among consumers considering their load factor, power factor, voltage, total consumption of electricity during any specified period or the time at which the supply is required or </w:t>
      </w:r>
      <w:r w:rsidRPr="00E34329">
        <w:rPr>
          <w:bCs w:val="0"/>
          <w:szCs w:val="24"/>
        </w:rPr>
        <w:lastRenderedPageBreak/>
        <w:t>the geographical position of any area, the nature of supply and the purpose for which supply is required. As the telecom companies pass the incidence of their cost on to their consumers in terms of hike in the charges of their services; any move to re-categorise the consumer category which has impact on tariff of such consumers would hurt the Licensees who are already reeling under severe financial crisis.</w:t>
      </w:r>
    </w:p>
    <w:p w:rsidR="0026266F" w:rsidRPr="003D2C56" w:rsidRDefault="0026266F" w:rsidP="0026266F">
      <w:pPr>
        <w:pStyle w:val="Heading3"/>
        <w:numPr>
          <w:ilvl w:val="0"/>
          <w:numId w:val="0"/>
        </w:numPr>
        <w:tabs>
          <w:tab w:val="clear" w:pos="720"/>
          <w:tab w:val="left" w:pos="4860"/>
        </w:tabs>
        <w:ind w:left="993"/>
        <w:rPr>
          <w:szCs w:val="24"/>
        </w:rPr>
      </w:pPr>
    </w:p>
    <w:p w:rsidR="0026266F" w:rsidRPr="003D2C56" w:rsidRDefault="00E34329" w:rsidP="0026266F">
      <w:pPr>
        <w:pStyle w:val="ListParagraph"/>
        <w:numPr>
          <w:ilvl w:val="0"/>
          <w:numId w:val="211"/>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 xml:space="preserve">The Commission does not agree with the contentions of the stakeholder to provide special relaxation to the telecom towers based on the kind of services provided by them. The Commission understands that the telecom companies are allowed to pass over the burden of legitimate costs through increase in tariffs to consumers. The Commission does not agree with the proposal to create a separate category for mobile tower in this Tariff Order as this would be a backward step towards tariff rationalisation. </w:t>
      </w:r>
    </w:p>
    <w:p w:rsidR="0026266F" w:rsidRPr="003D2C56" w:rsidRDefault="0026266F" w:rsidP="0026266F">
      <w:pPr>
        <w:pStyle w:val="ListParagraph"/>
        <w:ind w:left="0"/>
        <w:rPr>
          <w:rFonts w:cs="Calibri"/>
          <w:color w:val="000000"/>
        </w:rPr>
      </w:pPr>
    </w:p>
    <w:p w:rsidR="00D5771F" w:rsidRDefault="00E34329">
      <w:pPr>
        <w:pStyle w:val="Heading2"/>
        <w:spacing w:line="276" w:lineRule="auto"/>
        <w:rPr>
          <w:rFonts w:ascii="Calibri" w:hAnsi="Calibri"/>
        </w:rPr>
      </w:pPr>
      <w:bookmarkStart w:id="159" w:name="_Toc454277485"/>
      <w:bookmarkStart w:id="160" w:name="_Toc457603914"/>
      <w:r w:rsidRPr="00E34329">
        <w:rPr>
          <w:rFonts w:ascii="Calibri" w:hAnsi="Calibri"/>
        </w:rPr>
        <w:t>TARIFF STRUCTURE</w:t>
      </w:r>
      <w:bookmarkEnd w:id="159"/>
      <w:bookmarkEnd w:id="160"/>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pStyle w:val="ListParagraph"/>
        <w:numPr>
          <w:ilvl w:val="0"/>
          <w:numId w:val="212"/>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szCs w:val="24"/>
        </w:rPr>
      </w:pPr>
      <w:r w:rsidRPr="00E34329">
        <w:rPr>
          <w:szCs w:val="24"/>
        </w:rPr>
        <w:t>Shri Avadhesh Kumar Verma, Chairman, U.P. Rajya Vidyut Upbhokta Parishad submitted that the tariff should be determined on the basis of end use of electricity. The agriculture consumers use electricity for yielding their fields and cannot pass the increase in tariff through grains as the price of grains was fixed by Govt., while in case of commercial and industrial consumers they pass the increase in tariff by increasing the cost of their product and services. Stakeholder further requested the Commission for considering these facts before any increase in the tariff of agriculture and domestic consumer.</w:t>
      </w:r>
    </w:p>
    <w:p w:rsidR="00D5771F" w:rsidRDefault="00E34329">
      <w:pPr>
        <w:pStyle w:val="Heading3"/>
        <w:tabs>
          <w:tab w:val="clear" w:pos="720"/>
          <w:tab w:val="left" w:pos="4860"/>
        </w:tabs>
        <w:ind w:left="993" w:hanging="993"/>
        <w:rPr>
          <w:szCs w:val="24"/>
        </w:rPr>
      </w:pPr>
      <w:r w:rsidRPr="00E34329">
        <w:rPr>
          <w:szCs w:val="24"/>
        </w:rPr>
        <w:t>Shri G.C. Chaturvedi, Indian Industries Association submitted that logic adopted for kVAh billing for HV-3 category should be adopted for LMV-6 &amp; HV-2 categories. More no. of slabs makes rate schedule more complicated, it is proposed that for higher consumption lower rate of energy charges to be made applicable and 100% metering has to be done for LMV-10 category.</w:t>
      </w:r>
    </w:p>
    <w:p w:rsidR="00D5771F" w:rsidRDefault="00E34329">
      <w:pPr>
        <w:pStyle w:val="Heading3"/>
        <w:tabs>
          <w:tab w:val="clear" w:pos="720"/>
          <w:tab w:val="left" w:pos="4860"/>
        </w:tabs>
        <w:ind w:left="993" w:hanging="993"/>
        <w:rPr>
          <w:szCs w:val="24"/>
        </w:rPr>
      </w:pPr>
      <w:r w:rsidRPr="00E34329">
        <w:rPr>
          <w:szCs w:val="24"/>
        </w:rPr>
        <w:t xml:space="preserve">Shri K. L. Aggarwal chairman Associate Chambers of Commerce &amp; Industries of U. P. submitted that how uniform tariff rates can be finalized for all the consumers in the State of UP as State is  having part of the areas covered under the different </w:t>
      </w:r>
      <w:r w:rsidRPr="00E34329">
        <w:rPr>
          <w:szCs w:val="24"/>
        </w:rPr>
        <w:lastRenderedPageBreak/>
        <w:t>jurisdiction of several Discoms having separate &amp; different balance sheet performance, line losses etc.</w:t>
      </w:r>
    </w:p>
    <w:p w:rsidR="00D5771F" w:rsidRDefault="00E34329">
      <w:pPr>
        <w:pStyle w:val="Heading3"/>
        <w:tabs>
          <w:tab w:val="clear" w:pos="720"/>
          <w:tab w:val="left" w:pos="4860"/>
        </w:tabs>
        <w:ind w:left="993" w:hanging="993"/>
        <w:rPr>
          <w:szCs w:val="24"/>
        </w:rPr>
      </w:pPr>
      <w:r w:rsidRPr="00E34329">
        <w:rPr>
          <w:szCs w:val="24"/>
        </w:rPr>
        <w:t>Shri K. L. Aggarwal chairman Associate Chambers of Commerce &amp; Industries of U. P submitted that existing tariff structure for LMV-4 category is not justified as the consumer cannot be deprived from the applicability of all slabs starting from 1st to last for consuming more than 1000 unit.</w:t>
      </w:r>
    </w:p>
    <w:p w:rsidR="00D5771F" w:rsidRDefault="00E34329">
      <w:pPr>
        <w:pStyle w:val="Heading3"/>
        <w:tabs>
          <w:tab w:val="clear" w:pos="720"/>
          <w:tab w:val="left" w:pos="4860"/>
        </w:tabs>
        <w:ind w:left="993" w:hanging="993"/>
        <w:rPr>
          <w:szCs w:val="24"/>
        </w:rPr>
      </w:pPr>
      <w:r w:rsidRPr="00E34329">
        <w:rPr>
          <w:szCs w:val="24"/>
        </w:rPr>
        <w:t>Shri Swami Tattvajnanananda Saraswati, All India Movement for Seva submitted that NGO may be billed under domestic tariff category.</w:t>
      </w:r>
    </w:p>
    <w:p w:rsidR="00D5771F" w:rsidRDefault="00E34329">
      <w:pPr>
        <w:pStyle w:val="Heading3"/>
        <w:tabs>
          <w:tab w:val="clear" w:pos="720"/>
          <w:tab w:val="left" w:pos="4860"/>
        </w:tabs>
        <w:ind w:left="993" w:hanging="993"/>
        <w:rPr>
          <w:szCs w:val="24"/>
        </w:rPr>
      </w:pPr>
      <w:r w:rsidRPr="00E34329">
        <w:rPr>
          <w:szCs w:val="24"/>
        </w:rPr>
        <w:t>Shri Sudhir Chandra Goyal M/s Khatauli Cold Storage submitted that as per tariff schedule continuous period of operation of cold storage industries should not be more than 9 months in a financial year. As per GoUP Order cold storage season is from 15th February to 30th November, which is 9.5 month, hence, this period of more than 9 month should be replaced with 10 months.</w:t>
      </w:r>
    </w:p>
    <w:p w:rsidR="00D5771F" w:rsidRDefault="00E34329">
      <w:pPr>
        <w:pStyle w:val="Heading3"/>
        <w:tabs>
          <w:tab w:val="clear" w:pos="720"/>
          <w:tab w:val="left" w:pos="4860"/>
        </w:tabs>
        <w:ind w:left="993" w:hanging="993"/>
        <w:rPr>
          <w:szCs w:val="24"/>
        </w:rPr>
      </w:pPr>
      <w:r w:rsidRPr="00E34329">
        <w:rPr>
          <w:szCs w:val="24"/>
        </w:rPr>
        <w:t>Shri D.S .Verma Executive Director, Indian Industries Association requested the Commission not to allow the burden of cross subsidy on LMV-6 &amp; HV-2 categories in view to help the industries to compete globally.</w:t>
      </w:r>
    </w:p>
    <w:p w:rsidR="00D5771F" w:rsidRDefault="00E34329">
      <w:pPr>
        <w:pStyle w:val="Heading3"/>
        <w:tabs>
          <w:tab w:val="clear" w:pos="720"/>
          <w:tab w:val="left" w:pos="4860"/>
        </w:tabs>
        <w:ind w:left="993" w:hanging="993"/>
        <w:rPr>
          <w:szCs w:val="24"/>
        </w:rPr>
      </w:pPr>
      <w:r w:rsidRPr="00E34329">
        <w:rPr>
          <w:szCs w:val="24"/>
        </w:rPr>
        <w:t xml:space="preserve">Jyoti Enviro Tech Pvt. Ltd. submitted that the tariff of waste management plants should be equal to agriculture category tariff. </w:t>
      </w:r>
    </w:p>
    <w:p w:rsidR="00D5771F" w:rsidRDefault="00E34329">
      <w:pPr>
        <w:pStyle w:val="Heading3"/>
        <w:tabs>
          <w:tab w:val="clear" w:pos="720"/>
          <w:tab w:val="left" w:pos="4860"/>
        </w:tabs>
        <w:ind w:left="993" w:hanging="993"/>
        <w:rPr>
          <w:szCs w:val="24"/>
        </w:rPr>
      </w:pPr>
      <w:r w:rsidRPr="00E34329">
        <w:rPr>
          <w:szCs w:val="24"/>
        </w:rPr>
        <w:t>Shri Pyare Lal Sharma chairman, Manyata prapt vidyalay Prababdhak Association submitted that tariff ofschools for children of weaker sections should be billed under normal category not under commercial category.</w:t>
      </w:r>
    </w:p>
    <w:p w:rsidR="00D5771F" w:rsidRDefault="00E34329">
      <w:pPr>
        <w:pStyle w:val="Heading3"/>
        <w:tabs>
          <w:tab w:val="clear" w:pos="720"/>
          <w:tab w:val="left" w:pos="4860"/>
        </w:tabs>
        <w:ind w:left="993" w:hanging="993"/>
        <w:rPr>
          <w:szCs w:val="24"/>
        </w:rPr>
      </w:pPr>
      <w:r w:rsidRPr="00E34329">
        <w:rPr>
          <w:szCs w:val="24"/>
        </w:rPr>
        <w:t>Shri Manoj Aggarwal Chairman and Gaurav Mittal, Laghu Udyog Bharti submitted that shops produce and sale in nature i.e., tailor shop, Sweet Shop &amp; printing press, maybe billed under LMV-6 or LMV-2 must be clarified, as Discoms are raising assessment by taking advantage of this confusion and harassing the consumers.</w:t>
      </w:r>
    </w:p>
    <w:p w:rsidR="00D5771F" w:rsidRDefault="00E34329">
      <w:pPr>
        <w:pStyle w:val="Heading3"/>
        <w:tabs>
          <w:tab w:val="clear" w:pos="720"/>
          <w:tab w:val="left" w:pos="4860"/>
        </w:tabs>
        <w:ind w:left="993" w:hanging="993"/>
        <w:rPr>
          <w:szCs w:val="24"/>
        </w:rPr>
      </w:pPr>
      <w:r w:rsidRPr="00E34329">
        <w:rPr>
          <w:szCs w:val="24"/>
        </w:rPr>
        <w:t>Bharteey Kisan Union (Aligarh) has requested following point to be considered in Tariff Order</w:t>
      </w:r>
    </w:p>
    <w:p w:rsidR="0026266F" w:rsidRPr="003D2C56" w:rsidRDefault="00E34329" w:rsidP="0026266F">
      <w:pPr>
        <w:pStyle w:val="ListParagraph"/>
        <w:numPr>
          <w:ilvl w:val="0"/>
          <w:numId w:val="213"/>
        </w:numPr>
        <w:spacing w:before="0"/>
        <w:contextualSpacing/>
        <w:rPr>
          <w:rFonts w:cs="Calibri"/>
          <w:color w:val="000000"/>
        </w:rPr>
      </w:pPr>
      <w:r w:rsidRPr="00E34329">
        <w:rPr>
          <w:rFonts w:cs="Calibri"/>
          <w:color w:val="000000"/>
        </w:rPr>
        <w:t>For PTW category, transportation cost of the transformer should be borne by the Licensee like in other categories. Further, Disconnection charge &amp; reconnection charge should not be billed to the PTW consumer.</w:t>
      </w:r>
    </w:p>
    <w:p w:rsidR="0026266F" w:rsidRPr="003D2C56" w:rsidRDefault="00E34329" w:rsidP="0026266F">
      <w:pPr>
        <w:pStyle w:val="ListParagraph"/>
        <w:numPr>
          <w:ilvl w:val="0"/>
          <w:numId w:val="213"/>
        </w:numPr>
        <w:spacing w:before="0"/>
        <w:contextualSpacing/>
        <w:rPr>
          <w:rFonts w:cs="Calibri"/>
          <w:color w:val="000000"/>
        </w:rPr>
      </w:pPr>
      <w:r w:rsidRPr="00E34329">
        <w:rPr>
          <w:rFonts w:cs="Calibri"/>
          <w:color w:val="000000"/>
        </w:rPr>
        <w:t xml:space="preserve"> In Rural areas power must be supplied for the period of 5 PM to 12 AM and 4 AM to 2 PM at voltage of 440V/ 220 V.</w:t>
      </w:r>
    </w:p>
    <w:p w:rsidR="0026266F" w:rsidRPr="003D2C56" w:rsidRDefault="00E34329" w:rsidP="0026266F">
      <w:pPr>
        <w:pStyle w:val="ListParagraph"/>
        <w:numPr>
          <w:ilvl w:val="0"/>
          <w:numId w:val="213"/>
        </w:numPr>
        <w:spacing w:before="0"/>
        <w:contextualSpacing/>
        <w:rPr>
          <w:rFonts w:cs="Calibri"/>
          <w:color w:val="000000"/>
        </w:rPr>
      </w:pPr>
      <w:r w:rsidRPr="00E34329">
        <w:rPr>
          <w:rFonts w:cs="Calibri"/>
          <w:color w:val="000000"/>
        </w:rPr>
        <w:lastRenderedPageBreak/>
        <w:t>There must be equal hours of power supply in rural areas. In areas where power is supplied for longer duration higher tariff should be charged.</w:t>
      </w:r>
    </w:p>
    <w:p w:rsidR="00D5771F" w:rsidRDefault="00E34329">
      <w:pPr>
        <w:pStyle w:val="Heading3"/>
        <w:tabs>
          <w:tab w:val="clear" w:pos="720"/>
          <w:tab w:val="left" w:pos="4860"/>
        </w:tabs>
        <w:ind w:left="993" w:hanging="993"/>
        <w:rPr>
          <w:szCs w:val="24"/>
        </w:rPr>
      </w:pPr>
      <w:r w:rsidRPr="00E34329">
        <w:rPr>
          <w:szCs w:val="24"/>
        </w:rPr>
        <w:t>Dr. Mohammad Rihan Member In-charge, Department of Electricity, Aligarh Muslim University submitted that the grouping of public institution like Aligarh Muslim University under HV-1 needs to be reconsidered. Grouping of public institution with private institution is not convincing. As the private Institutions charge very high fee from students as compared to public institutions and hence they can afford higher tariff. Therefore it is requested that the public institution like AMU, getting supply at single point may be kept in a different category and a single significant relief in tariff may be provided.</w:t>
      </w:r>
    </w:p>
    <w:p w:rsidR="00D5771F" w:rsidRDefault="00E34329">
      <w:pPr>
        <w:pStyle w:val="Heading3"/>
        <w:tabs>
          <w:tab w:val="clear" w:pos="720"/>
          <w:tab w:val="left" w:pos="4860"/>
        </w:tabs>
        <w:ind w:left="993" w:hanging="993"/>
        <w:rPr>
          <w:szCs w:val="24"/>
        </w:rPr>
      </w:pPr>
      <w:r w:rsidRPr="00E34329">
        <w:rPr>
          <w:szCs w:val="24"/>
        </w:rPr>
        <w:t>Miss Romi, Global Care Organization submitted that tariff structure for plants which uses waste to generate fertilizer must be in line with Agriculture Tariff.</w:t>
      </w:r>
    </w:p>
    <w:p w:rsidR="00D5771F" w:rsidRDefault="00E34329">
      <w:pPr>
        <w:pStyle w:val="Heading3"/>
        <w:tabs>
          <w:tab w:val="clear" w:pos="720"/>
          <w:tab w:val="left" w:pos="4860"/>
        </w:tabs>
        <w:ind w:left="993" w:hanging="993"/>
        <w:rPr>
          <w:szCs w:val="24"/>
        </w:rPr>
      </w:pPr>
      <w:r w:rsidRPr="00E34329">
        <w:rPr>
          <w:szCs w:val="24"/>
        </w:rPr>
        <w:t>Miss Romi, Global Care Organization submitted that there must be clear definition of rural area and rural feeder and there must be at least 10% lower tariff forIndustrial feeders.</w:t>
      </w:r>
    </w:p>
    <w:p w:rsidR="00D5771F" w:rsidRDefault="00E34329">
      <w:pPr>
        <w:pStyle w:val="Heading3"/>
        <w:tabs>
          <w:tab w:val="clear" w:pos="720"/>
          <w:tab w:val="left" w:pos="4860"/>
        </w:tabs>
        <w:ind w:left="993" w:hanging="993"/>
        <w:rPr>
          <w:szCs w:val="24"/>
        </w:rPr>
      </w:pPr>
      <w:r w:rsidRPr="00E34329">
        <w:rPr>
          <w:szCs w:val="24"/>
        </w:rPr>
        <w:t xml:space="preserve">Miss Romi, Global Care Organization submitted that there must be provision for lowering fixed charges on the basis of reliability and hours of supply. </w:t>
      </w:r>
    </w:p>
    <w:p w:rsidR="00D5771F" w:rsidRDefault="00E34329">
      <w:pPr>
        <w:pStyle w:val="Heading3"/>
        <w:tabs>
          <w:tab w:val="clear" w:pos="720"/>
          <w:tab w:val="left" w:pos="4860"/>
        </w:tabs>
        <w:ind w:left="993" w:hanging="993"/>
        <w:rPr>
          <w:szCs w:val="24"/>
        </w:rPr>
      </w:pPr>
      <w:r w:rsidRPr="00E34329">
        <w:rPr>
          <w:szCs w:val="24"/>
        </w:rPr>
        <w:t xml:space="preserve">Shri Vishnu Bhagwan Agarwal Chairman, Agra Chapter, ASSOCHAM, U.P  submitted that if  power cuts cannot be controlled in urban areas then the Tariff for rural areas may be followed in urban areas. </w:t>
      </w:r>
    </w:p>
    <w:p w:rsidR="00D5771F" w:rsidRDefault="00E34329">
      <w:pPr>
        <w:pStyle w:val="Heading3"/>
        <w:tabs>
          <w:tab w:val="clear" w:pos="720"/>
          <w:tab w:val="left" w:pos="4860"/>
        </w:tabs>
        <w:ind w:left="993" w:hanging="993"/>
        <w:rPr>
          <w:szCs w:val="24"/>
        </w:rPr>
      </w:pPr>
      <w:r w:rsidRPr="00E34329">
        <w:rPr>
          <w:szCs w:val="24"/>
        </w:rPr>
        <w:t>Shri Rama Shanker Awasthi submitted that in absence of clarification in applicability of rural rebate, there are number of disputes generated in the State out of which some of the matter is pending before the Commission for compliance under Section 142 of EA 2003. It is further submitted that in order to shorten the litigation regarding rural and urban schedule, the Commission should clarify whether the rural rebate is based on supply of electricity or place and area of consumer. It is further submitted that the Commission may specify rural area and rural schedule for each Licensee so that rural consumers get rural rebate.</w:t>
      </w:r>
    </w:p>
    <w:p w:rsidR="00D5771F" w:rsidRDefault="00E34329">
      <w:pPr>
        <w:pStyle w:val="Heading3"/>
        <w:tabs>
          <w:tab w:val="clear" w:pos="720"/>
          <w:tab w:val="left" w:pos="4860"/>
        </w:tabs>
        <w:ind w:left="993" w:hanging="993"/>
        <w:rPr>
          <w:szCs w:val="24"/>
        </w:rPr>
      </w:pPr>
      <w:r w:rsidRPr="00E34329">
        <w:rPr>
          <w:szCs w:val="24"/>
        </w:rPr>
        <w:t xml:space="preserve">Shri Ashok kumar Goyal President, National Chamber of Industries &amp; Commerce submitted that as per Supply Code, the cost involved in enhancement of load is deemed to have been recovered from system loading charges head, but discoms are taking payment of cost of all equipment without giving remission of old surrendered equipment. Stakeholder further submitted that this monopolistic condition is unreasonable and the Discoms should bear the cost of equipment for load </w:t>
      </w:r>
      <w:r w:rsidRPr="00E34329">
        <w:rPr>
          <w:szCs w:val="24"/>
        </w:rPr>
        <w:lastRenderedPageBreak/>
        <w:t xml:space="preserve">enhancement keeping the property title with them. Stakeholder also submitted that Discoms should maintain the line till the point of supply i.e. Meter without claiming any charges from consumers. Stakeholder further submitted that after charging system loading charges there is no justification of charging any fixed charges or minimum consumption guarantee.   </w:t>
      </w:r>
    </w:p>
    <w:p w:rsidR="00D5771F" w:rsidRDefault="00E34329">
      <w:pPr>
        <w:pStyle w:val="Heading3"/>
        <w:tabs>
          <w:tab w:val="clear" w:pos="720"/>
          <w:tab w:val="left" w:pos="4860"/>
        </w:tabs>
        <w:ind w:left="993" w:hanging="993"/>
        <w:rPr>
          <w:szCs w:val="24"/>
        </w:rPr>
      </w:pPr>
      <w:r w:rsidRPr="00E34329">
        <w:rPr>
          <w:szCs w:val="24"/>
        </w:rPr>
        <w:t xml:space="preserve">The Director, The Mahabir Jute Mills Ltd. submitted that as per PuVVNL petition, power sold to HV-2 is about 1356 MU @ Rs. 7.32 per unit whereas power sold to LMV-5 is about 2100 MU @ Rs. 0.71 per unit. The powers to farmers are subsidized. Stakeholder further submitted that the subsidy to farmers should be reimbursed by the State Govt. instead of collecting from Industries. </w:t>
      </w:r>
    </w:p>
    <w:p w:rsidR="00D5771F" w:rsidRDefault="00E34329">
      <w:pPr>
        <w:pStyle w:val="Heading3"/>
        <w:tabs>
          <w:tab w:val="clear" w:pos="720"/>
          <w:tab w:val="left" w:pos="4860"/>
        </w:tabs>
        <w:ind w:left="993" w:hanging="993"/>
        <w:rPr>
          <w:szCs w:val="24"/>
        </w:rPr>
      </w:pPr>
      <w:r w:rsidRPr="00E34329">
        <w:rPr>
          <w:szCs w:val="24"/>
        </w:rPr>
        <w:t>Shri Sandeep kumar Gupta submitted that at present tariff of LMV-6 is Rs. 6.39 per unit. Stakeholder further submitted that regulatory surcharge and fixed demand charge should be removed from this category consumer and the tariff should be Rs. 7 per unit. This will benefit both consumer and Licensee.</w:t>
      </w:r>
    </w:p>
    <w:p w:rsidR="00D5771F" w:rsidRDefault="00E34329">
      <w:pPr>
        <w:pStyle w:val="Heading3"/>
        <w:tabs>
          <w:tab w:val="clear" w:pos="720"/>
          <w:tab w:val="left" w:pos="4860"/>
        </w:tabs>
        <w:ind w:left="993" w:hanging="993"/>
        <w:rPr>
          <w:szCs w:val="24"/>
        </w:rPr>
      </w:pPr>
      <w:r w:rsidRPr="00E34329">
        <w:rPr>
          <w:szCs w:val="24"/>
        </w:rPr>
        <w:t xml:space="preserve">Shri B.N. Shuklaa, President UP Petroleum Traders Association submitted that petrol and diesel is a basic commodity and licensees have considered petrol pump as commercial consumer which results in high tariff. Stakeholder further requested the Commission to create a new consumer category for petrol pumps with lower tariff as comparison to commercial category tariff. </w:t>
      </w:r>
    </w:p>
    <w:p w:rsidR="00D5771F" w:rsidRDefault="00E34329">
      <w:pPr>
        <w:pStyle w:val="Heading3"/>
        <w:tabs>
          <w:tab w:val="clear" w:pos="720"/>
          <w:tab w:val="left" w:pos="4860"/>
        </w:tabs>
        <w:ind w:left="993" w:hanging="993"/>
        <w:rPr>
          <w:szCs w:val="24"/>
        </w:rPr>
      </w:pPr>
      <w:r w:rsidRPr="00E34329">
        <w:rPr>
          <w:szCs w:val="24"/>
        </w:rPr>
        <w:t xml:space="preserve">Director, Ram Charan Steels Ltd. submitted that there should be separate tariff for Iron &amp; Steel industry and the tariff should be minimum. </w:t>
      </w:r>
    </w:p>
    <w:p w:rsidR="0026266F" w:rsidRPr="003D2C56" w:rsidRDefault="0026266F" w:rsidP="0026266F">
      <w:pPr>
        <w:pStyle w:val="Heading3"/>
        <w:numPr>
          <w:ilvl w:val="0"/>
          <w:numId w:val="0"/>
        </w:numPr>
        <w:tabs>
          <w:tab w:val="clear" w:pos="720"/>
          <w:tab w:val="left" w:pos="4860"/>
        </w:tabs>
        <w:ind w:left="993"/>
        <w:rPr>
          <w:szCs w:val="24"/>
        </w:rPr>
      </w:pPr>
    </w:p>
    <w:p w:rsidR="0026266F" w:rsidRPr="003D2C56" w:rsidRDefault="00E34329" w:rsidP="0026266F">
      <w:pPr>
        <w:numPr>
          <w:ilvl w:val="0"/>
          <w:numId w:val="212"/>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Regarding high cost of Electricity Tariff for Steel Units the Licensee has submitted that the Tariff Schedule has been framed considering the cost of service of the licensee at normative parameters framed by the Commission and considering various provisions of the Tariff Regulations and Electricity Act, 2003.</w:t>
      </w:r>
    </w:p>
    <w:p w:rsidR="00D5771F" w:rsidRDefault="00E34329">
      <w:pPr>
        <w:pStyle w:val="Heading3"/>
        <w:tabs>
          <w:tab w:val="clear" w:pos="720"/>
          <w:tab w:val="left" w:pos="4860"/>
        </w:tabs>
        <w:ind w:left="993" w:hanging="993"/>
        <w:rPr>
          <w:szCs w:val="24"/>
        </w:rPr>
      </w:pPr>
      <w:r w:rsidRPr="00E34329">
        <w:rPr>
          <w:szCs w:val="24"/>
        </w:rPr>
        <w:t>The Licensee submitted that the Retail Tariff within the State has been kept uniform as per the guidelines provided in the Sec 8.4 (2) of the National Tariff Policy issued by Ministry of Power, Government of India</w:t>
      </w:r>
      <w:r w:rsidRPr="00E34329">
        <w:rPr>
          <w:rFonts w:cs="Times New Roman"/>
          <w:szCs w:val="24"/>
        </w:rPr>
        <w:t>.</w:t>
      </w:r>
    </w:p>
    <w:p w:rsidR="00D5771F" w:rsidRDefault="00E34329">
      <w:pPr>
        <w:pStyle w:val="Heading3"/>
        <w:tabs>
          <w:tab w:val="clear" w:pos="720"/>
          <w:tab w:val="left" w:pos="4860"/>
        </w:tabs>
        <w:ind w:left="993" w:hanging="993"/>
        <w:rPr>
          <w:szCs w:val="24"/>
        </w:rPr>
      </w:pPr>
      <w:r w:rsidRPr="00E34329">
        <w:rPr>
          <w:szCs w:val="24"/>
        </w:rPr>
        <w:t xml:space="preserve">Fixed charges / minimum charges are part of tariff and are levied for developing the required infrastructure and to meet the expenses incurred to maintain the supply at all the times. These charges cannot be withdrawn, as they are levied as per </w:t>
      </w:r>
      <w:r w:rsidRPr="00E34329">
        <w:rPr>
          <w:szCs w:val="24"/>
        </w:rPr>
        <w:lastRenderedPageBreak/>
        <w:t>provisions of Electricity Act, 2003. Further it is respectfully submitted that the fixed charges have to be recovered by the Petitioner and the consumers with higher consumption ought to bear a fair share of the same. The differential fixed charge is only a mechanism of cross subsidization of fixed charges which is part of tariff and cross-subsidization is allowed as per tariff policy.</w:t>
      </w:r>
    </w:p>
    <w:p w:rsidR="00D5771F" w:rsidRDefault="00E34329">
      <w:pPr>
        <w:pStyle w:val="Heading3"/>
        <w:tabs>
          <w:tab w:val="clear" w:pos="720"/>
          <w:tab w:val="left" w:pos="4860"/>
        </w:tabs>
        <w:ind w:left="993" w:hanging="993"/>
        <w:rPr>
          <w:szCs w:val="24"/>
        </w:rPr>
      </w:pPr>
      <w:r w:rsidRPr="00E34329">
        <w:rPr>
          <w:szCs w:val="24"/>
        </w:rPr>
        <w:t>Licensee further submitted that any move to reduce the tariff of any consumers would hurt the Licensees who are already reeling under severe financial crisis. No subsidy is being received from the State Government towards social and charitable institutions. Hence, any reduction in their tariffs would be uncovered gap for the Licensees.</w:t>
      </w:r>
    </w:p>
    <w:p w:rsidR="00D5771F" w:rsidRDefault="00E34329">
      <w:pPr>
        <w:pStyle w:val="Heading3"/>
        <w:tabs>
          <w:tab w:val="clear" w:pos="720"/>
          <w:tab w:val="left" w:pos="4860"/>
        </w:tabs>
        <w:ind w:left="993" w:hanging="993"/>
        <w:rPr>
          <w:szCs w:val="24"/>
        </w:rPr>
      </w:pPr>
      <w:r w:rsidRPr="00E34329">
        <w:rPr>
          <w:szCs w:val="24"/>
        </w:rPr>
        <w:t>Regarding season period of cold storage the Licensee has submitted that the issues raised by the stakeholder have been duly deliberated in the past and settled by the Commission. Accordingly the billing is being done by the licensee. Further, the Licensee clarified that the activity of consumers under this category is commercial in nature and so the category and tariff proposed for this category is justified and hence request of the stakeholder need not be considered.</w:t>
      </w:r>
    </w:p>
    <w:p w:rsidR="00D5771F" w:rsidRDefault="00E34329">
      <w:pPr>
        <w:pStyle w:val="Heading3"/>
        <w:tabs>
          <w:tab w:val="clear" w:pos="720"/>
          <w:tab w:val="left" w:pos="4860"/>
        </w:tabs>
        <w:ind w:left="993" w:hanging="993"/>
        <w:rPr>
          <w:szCs w:val="24"/>
        </w:rPr>
      </w:pPr>
      <w:r w:rsidRPr="00E34329">
        <w:rPr>
          <w:szCs w:val="24"/>
        </w:rPr>
        <w:t>The proposal of the stakeholder to provide relief in tariff of LMV-4 consumers is not feasible as there is no subsidy support from the Government on this account and would lead to further widening of the revenue gap.</w:t>
      </w:r>
    </w:p>
    <w:p w:rsidR="00D5771F" w:rsidRDefault="00E34329">
      <w:pPr>
        <w:pStyle w:val="Heading3"/>
        <w:tabs>
          <w:tab w:val="clear" w:pos="720"/>
          <w:tab w:val="left" w:pos="4860"/>
        </w:tabs>
        <w:ind w:left="993" w:hanging="993"/>
        <w:rPr>
          <w:szCs w:val="24"/>
        </w:rPr>
      </w:pPr>
      <w:r w:rsidRPr="00E34329">
        <w:rPr>
          <w:szCs w:val="24"/>
        </w:rPr>
        <w:t>The Licensee submitted that the Annual Revenue Requirement is being determined in accordance with the Tariff Regulations framed by the Commission. The tariff is being proposed to recover the gap between the Annual Revenue Requirement and the revenue at current tariffs. Different states have different cost of service, subsidy levels, different power procurement costs, etc., and hence while fixing tariffs all these issues have to be taken into account. The Licensee has submitted that the Retail Tariff for each category within the State has been kept uniform as per guidelines provided in the Sec 8.4 (2) of the National Tariff Policy issued by Ministry of Power, Government of India.</w:t>
      </w:r>
    </w:p>
    <w:p w:rsidR="00D5771F" w:rsidRDefault="00E34329">
      <w:pPr>
        <w:pStyle w:val="Heading3"/>
        <w:tabs>
          <w:tab w:val="clear" w:pos="720"/>
          <w:tab w:val="left" w:pos="4860"/>
        </w:tabs>
        <w:ind w:left="993" w:hanging="993"/>
        <w:rPr>
          <w:szCs w:val="24"/>
        </w:rPr>
      </w:pPr>
      <w:r w:rsidRPr="00E34329">
        <w:rPr>
          <w:szCs w:val="24"/>
        </w:rPr>
        <w:t>The Licensee submitted that while framing the tariff it has endeavoured to simplify the rate schedule. Creating new categories within the industry category would not only make the rate schedule more complex, it would also tantamount to preferential treatment to certain class of industries.</w:t>
      </w:r>
    </w:p>
    <w:p w:rsidR="0026266F" w:rsidRPr="003D2C56" w:rsidRDefault="0026266F" w:rsidP="0026266F">
      <w:pPr>
        <w:autoSpaceDE w:val="0"/>
        <w:autoSpaceDN w:val="0"/>
        <w:adjustRightInd w:val="0"/>
      </w:pPr>
    </w:p>
    <w:p w:rsidR="0026266F" w:rsidRPr="003D2C56" w:rsidRDefault="00E34329" w:rsidP="0026266F">
      <w:pPr>
        <w:pStyle w:val="ListParagraph"/>
        <w:numPr>
          <w:ilvl w:val="0"/>
          <w:numId w:val="212"/>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lastRenderedPageBreak/>
        <w:t>The Commission has taken note of the objections / suggestions made by the stakeholders in this regards. The applicable Tariffs for all the consumer categories have been designed in accordance with the Electricity Act, 2003 and the Tariff Policy. The details of all the aspects related to Tariff design have been covered subsequently in Chapter of Tariff Philosophy and Rate Schedule provided in this Order.</w:t>
      </w:r>
    </w:p>
    <w:p w:rsidR="0026266F" w:rsidRPr="003D2C56" w:rsidRDefault="0026266F" w:rsidP="0026266F">
      <w:pPr>
        <w:pStyle w:val="ListParagraph"/>
        <w:ind w:left="0"/>
        <w:rPr>
          <w:rFonts w:cs="Calibri"/>
          <w:color w:val="000000"/>
        </w:rPr>
      </w:pPr>
    </w:p>
    <w:p w:rsidR="00D5771F" w:rsidRDefault="00E34329">
      <w:pPr>
        <w:pStyle w:val="Heading2"/>
        <w:spacing w:line="276" w:lineRule="auto"/>
        <w:rPr>
          <w:rFonts w:ascii="Calibri" w:hAnsi="Calibri"/>
        </w:rPr>
      </w:pPr>
      <w:bookmarkStart w:id="161" w:name="_Toc454277486"/>
      <w:bookmarkStart w:id="162" w:name="_Toc457603915"/>
      <w:r w:rsidRPr="00E34329">
        <w:rPr>
          <w:rFonts w:ascii="Calibri" w:hAnsi="Calibri"/>
        </w:rPr>
        <w:t>LATE PAYMENT SURCHARGE</w:t>
      </w:r>
      <w:bookmarkEnd w:id="161"/>
      <w:bookmarkEnd w:id="162"/>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pStyle w:val="ListParagraph"/>
        <w:numPr>
          <w:ilvl w:val="0"/>
          <w:numId w:val="214"/>
        </w:numPr>
        <w:tabs>
          <w:tab w:val="left" w:pos="1980"/>
        </w:tabs>
        <w:spacing w:before="0"/>
        <w:contextualSpacing/>
        <w:rPr>
          <w:b/>
          <w:i/>
        </w:rPr>
      </w:pPr>
      <w:r w:rsidRPr="00E34329">
        <w:rPr>
          <w:b/>
          <w:i/>
        </w:rPr>
        <w:t>Comments/Suggestion of the public</w:t>
      </w:r>
    </w:p>
    <w:p w:rsidR="00D5771F" w:rsidRDefault="00E34329">
      <w:pPr>
        <w:pStyle w:val="Heading3"/>
        <w:tabs>
          <w:tab w:val="clear" w:pos="720"/>
          <w:tab w:val="left" w:pos="4860"/>
        </w:tabs>
        <w:ind w:left="993" w:hanging="993"/>
        <w:rPr>
          <w:szCs w:val="24"/>
        </w:rPr>
      </w:pPr>
      <w:r w:rsidRPr="00E34329">
        <w:rPr>
          <w:szCs w:val="24"/>
        </w:rPr>
        <w:t>Shri Rama Shanker Awasthi submitted that the justification is required for proposal of extraordinary high rate of LPS. It is further submitted that the levy of LPS @ 2% after three month which comes to 24 % per annum is totally illegal therefore the Commission should not allow the increase in rate of LPS.</w:t>
      </w:r>
    </w:p>
    <w:p w:rsidR="0026266F" w:rsidRPr="003D2C56" w:rsidRDefault="0026266F" w:rsidP="0026266F"/>
    <w:p w:rsidR="0026266F" w:rsidRPr="003D2C56" w:rsidRDefault="00E34329" w:rsidP="0026266F">
      <w:pPr>
        <w:numPr>
          <w:ilvl w:val="0"/>
          <w:numId w:val="214"/>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 xml:space="preserve">The Licensee has not submitted any reply. </w:t>
      </w:r>
    </w:p>
    <w:p w:rsidR="0026266F" w:rsidRPr="003D2C56" w:rsidRDefault="0026266F" w:rsidP="0026266F">
      <w:pPr>
        <w:pStyle w:val="ListParagraph"/>
        <w:tabs>
          <w:tab w:val="left" w:pos="1980"/>
        </w:tabs>
        <w:ind w:left="360"/>
        <w:rPr>
          <w:b/>
          <w:i/>
        </w:rPr>
      </w:pPr>
    </w:p>
    <w:p w:rsidR="0026266F" w:rsidRPr="003D2C56" w:rsidRDefault="00E34329" w:rsidP="0026266F">
      <w:pPr>
        <w:pStyle w:val="ListParagraph"/>
        <w:numPr>
          <w:ilvl w:val="0"/>
          <w:numId w:val="214"/>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The Commission has taken note of the suggestions made by the stakeholder and has addressed this issue in the subsequent Sections of this Order</w:t>
      </w:r>
    </w:p>
    <w:p w:rsidR="0026266F" w:rsidRPr="003D2C56" w:rsidRDefault="0026266F" w:rsidP="0026266F">
      <w:pPr>
        <w:pStyle w:val="Heading2"/>
        <w:numPr>
          <w:ilvl w:val="0"/>
          <w:numId w:val="0"/>
        </w:numPr>
        <w:spacing w:line="276" w:lineRule="auto"/>
        <w:ind w:left="780"/>
        <w:rPr>
          <w:rFonts w:ascii="Calibri" w:hAnsi="Calibri"/>
        </w:rPr>
      </w:pPr>
    </w:p>
    <w:p w:rsidR="00D5771F" w:rsidRDefault="00E34329">
      <w:pPr>
        <w:pStyle w:val="Heading2"/>
        <w:spacing w:line="276" w:lineRule="auto"/>
        <w:rPr>
          <w:rFonts w:ascii="Calibri" w:hAnsi="Calibri"/>
        </w:rPr>
      </w:pPr>
      <w:bookmarkStart w:id="163" w:name="_Toc454277487"/>
      <w:bookmarkStart w:id="164" w:name="_Toc457603916"/>
      <w:r w:rsidRPr="00E34329">
        <w:rPr>
          <w:rFonts w:ascii="Calibri" w:hAnsi="Calibri"/>
        </w:rPr>
        <w:t>PUBLIC HEARING PROCESS</w:t>
      </w:r>
      <w:bookmarkEnd w:id="163"/>
      <w:bookmarkEnd w:id="164"/>
    </w:p>
    <w:p w:rsidR="0026266F" w:rsidRPr="003D2C56" w:rsidRDefault="0026266F" w:rsidP="0026266F">
      <w:pPr>
        <w:pStyle w:val="Heading2"/>
        <w:numPr>
          <w:ilvl w:val="0"/>
          <w:numId w:val="0"/>
        </w:numPr>
        <w:spacing w:line="276" w:lineRule="auto"/>
        <w:ind w:left="780"/>
        <w:rPr>
          <w:rFonts w:ascii="Calibri" w:hAnsi="Calibri"/>
        </w:rPr>
      </w:pPr>
    </w:p>
    <w:p w:rsidR="0026266F" w:rsidRPr="003D2C56" w:rsidRDefault="00E34329" w:rsidP="0026266F">
      <w:pPr>
        <w:pStyle w:val="ListParagraph"/>
        <w:numPr>
          <w:ilvl w:val="0"/>
          <w:numId w:val="220"/>
        </w:numPr>
        <w:tabs>
          <w:tab w:val="left" w:pos="1980"/>
        </w:tabs>
        <w:spacing w:before="0"/>
        <w:contextualSpacing/>
        <w:rPr>
          <w:b/>
          <w:i/>
        </w:rPr>
      </w:pPr>
      <w:r w:rsidRPr="00E34329">
        <w:rPr>
          <w:b/>
          <w:i/>
        </w:rPr>
        <w:t>Comments/Suggestion of the public</w:t>
      </w:r>
    </w:p>
    <w:p w:rsidR="00D5771F" w:rsidRDefault="00E34329">
      <w:pPr>
        <w:pStyle w:val="Heading3"/>
        <w:tabs>
          <w:tab w:val="clear" w:pos="720"/>
          <w:tab w:val="left" w:pos="4860"/>
        </w:tabs>
        <w:ind w:left="993" w:hanging="993"/>
        <w:rPr>
          <w:szCs w:val="24"/>
        </w:rPr>
      </w:pPr>
      <w:r w:rsidRPr="00E34329">
        <w:rPr>
          <w:szCs w:val="24"/>
        </w:rPr>
        <w:t>Shri D.S .Verma  Executive Director, Indian Industries Association submitted that the Public Notice for inviting objection on ARR &amp; Tariff Petitions filed by various Discoms was published in few selected newspapers, hence, large numbers of consumers were not aware of Public Notice.</w:t>
      </w:r>
    </w:p>
    <w:p w:rsidR="00D5771F" w:rsidRDefault="00E34329">
      <w:pPr>
        <w:pStyle w:val="Heading3"/>
        <w:tabs>
          <w:tab w:val="clear" w:pos="720"/>
          <w:tab w:val="left" w:pos="4860"/>
        </w:tabs>
        <w:ind w:left="993" w:hanging="993"/>
        <w:rPr>
          <w:szCs w:val="24"/>
        </w:rPr>
      </w:pPr>
      <w:r w:rsidRPr="00E34329">
        <w:rPr>
          <w:szCs w:val="24"/>
        </w:rPr>
        <w:t xml:space="preserve">Shri Rama Shanker Awasthi submitted that the State has six independent Licensee, but the hearing has been organized only in three cities i.e. consumers of three Discoms are neglected and was not provided opportunity. Stakeholder further submitted that as per act and regulation, hearing in the area of each Licensee is mandatory. </w:t>
      </w:r>
    </w:p>
    <w:p w:rsidR="0026266F" w:rsidRPr="003D2C56" w:rsidRDefault="0026266F" w:rsidP="0026266F">
      <w:pPr>
        <w:pStyle w:val="Heading3"/>
        <w:numPr>
          <w:ilvl w:val="0"/>
          <w:numId w:val="0"/>
        </w:numPr>
        <w:tabs>
          <w:tab w:val="clear" w:pos="720"/>
          <w:tab w:val="left" w:pos="4860"/>
        </w:tabs>
        <w:ind w:left="993"/>
        <w:rPr>
          <w:szCs w:val="24"/>
        </w:rPr>
      </w:pPr>
    </w:p>
    <w:p w:rsidR="0026266F" w:rsidRPr="003D2C56" w:rsidRDefault="00E34329" w:rsidP="0026266F">
      <w:pPr>
        <w:numPr>
          <w:ilvl w:val="0"/>
          <w:numId w:val="220"/>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 xml:space="preserve">The subject issue is within the preview of the Commission. </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220"/>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 xml:space="preserve">The Commission in its Admittance Order dated March 29, 2016 directed Licensees to publish the Public Notice detailing the salient information and facts of the ARR / Tariff Petition along with its website address in at least two daily newspapers (One English and One Hindi) for two successive days inviting views / comments / suggestions / objections / representations within 15 days from the date of publication of the Public Notice(s) by all stakeholders and public at large. Combined </w:t>
      </w:r>
      <w:r w:rsidRPr="00E34329">
        <w:rPr>
          <w:rFonts w:cs="Calibri"/>
          <w:szCs w:val="24"/>
        </w:rPr>
        <w:t xml:space="preserve">Public hearings were held at various locations of the State irrespective of Licensee area and consumers from any licensee area were allowed to participate in the hearing held at any specified location. </w:t>
      </w:r>
    </w:p>
    <w:p w:rsidR="0026266F" w:rsidRPr="003D2C56" w:rsidRDefault="0026266F" w:rsidP="0026266F">
      <w:pPr>
        <w:pStyle w:val="Heading3"/>
        <w:numPr>
          <w:ilvl w:val="0"/>
          <w:numId w:val="0"/>
        </w:numPr>
        <w:ind w:left="1929"/>
        <w:rPr>
          <w:szCs w:val="24"/>
        </w:rPr>
      </w:pPr>
    </w:p>
    <w:p w:rsidR="00D5771F" w:rsidRDefault="00E34329">
      <w:pPr>
        <w:pStyle w:val="Heading2"/>
        <w:spacing w:line="276" w:lineRule="auto"/>
        <w:rPr>
          <w:rFonts w:ascii="Calibri" w:hAnsi="Calibri"/>
        </w:rPr>
      </w:pPr>
      <w:bookmarkStart w:id="165" w:name="_Toc454277488"/>
      <w:bookmarkStart w:id="166" w:name="_Toc457603917"/>
      <w:r w:rsidRPr="00E34329">
        <w:rPr>
          <w:rFonts w:ascii="Calibri" w:hAnsi="Calibri"/>
        </w:rPr>
        <w:t>SUB STATION CAPACITY / INFRASTRUCTURE ENHANCEMENT</w:t>
      </w:r>
      <w:bookmarkEnd w:id="165"/>
      <w:bookmarkEnd w:id="166"/>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numPr>
          <w:ilvl w:val="0"/>
          <w:numId w:val="215"/>
        </w:numPr>
        <w:spacing w:before="0"/>
        <w:contextualSpacing/>
        <w:rPr>
          <w:rFonts w:cs="Calibri"/>
          <w:b/>
          <w:bCs/>
          <w:i/>
          <w:iCs/>
        </w:rPr>
      </w:pPr>
      <w:r w:rsidRPr="00E34329">
        <w:rPr>
          <w:rFonts w:cs="Calibri"/>
          <w:b/>
          <w:bCs/>
          <w:i/>
          <w:iCs/>
        </w:rPr>
        <w:t>Comments/Suggestions of the Public</w:t>
      </w:r>
    </w:p>
    <w:p w:rsidR="00D5771F" w:rsidRDefault="00E34329">
      <w:pPr>
        <w:pStyle w:val="Heading3"/>
        <w:tabs>
          <w:tab w:val="clear" w:pos="720"/>
          <w:tab w:val="left" w:pos="4860"/>
        </w:tabs>
        <w:ind w:left="993" w:hanging="993"/>
        <w:rPr>
          <w:szCs w:val="24"/>
        </w:rPr>
      </w:pPr>
      <w:r w:rsidRPr="00E34329">
        <w:rPr>
          <w:szCs w:val="24"/>
        </w:rPr>
        <w:t xml:space="preserve">Shri Avadhesh Kumar Verma, Chairman, U.P. Rajya Vidyut Upbhokta Parishad submitted that the numbers of consumers submitted by the Licensees for FY 2016-17 are 117054709 with connected load of 43591909 kW. Whereas the substation capacity at 132 kV is around 3000 MVA, which reflects that the transmission capacity is only 28000000 kW. The diversity factor must be 1:1 i.e. system capacity must be equivalent to the load sanctioned / connected to the consumers for better performance, which in case of U.P. is almost double. Stakeholder further submitted that due to imbalance in transmission and distribution system capacity and connected load there is frequent load shedding and low voltage in many areas. Stakeholder further requested licensees to focus more on system strengthening instead of tariff hike.  </w:t>
      </w:r>
    </w:p>
    <w:p w:rsidR="00D5771F" w:rsidRDefault="00E34329">
      <w:pPr>
        <w:pStyle w:val="Heading3"/>
        <w:tabs>
          <w:tab w:val="clear" w:pos="720"/>
          <w:tab w:val="left" w:pos="4860"/>
        </w:tabs>
        <w:ind w:left="993" w:hanging="993"/>
        <w:rPr>
          <w:szCs w:val="24"/>
        </w:rPr>
      </w:pPr>
      <w:r w:rsidRPr="00E34329">
        <w:rPr>
          <w:szCs w:val="24"/>
        </w:rPr>
        <w:t>Shri Gyan Chandra Varshney, Aligarh Udyog Vyapar Pratinidhi Mandal submitted that incomplete work of underground cabling should be completed.</w:t>
      </w:r>
    </w:p>
    <w:p w:rsidR="00D5771F" w:rsidRDefault="00E34329">
      <w:pPr>
        <w:pStyle w:val="Heading3"/>
        <w:tabs>
          <w:tab w:val="clear" w:pos="720"/>
          <w:tab w:val="left" w:pos="4860"/>
        </w:tabs>
        <w:ind w:left="993" w:hanging="993"/>
        <w:rPr>
          <w:szCs w:val="24"/>
        </w:rPr>
      </w:pPr>
      <w:r w:rsidRPr="00E34329">
        <w:rPr>
          <w:szCs w:val="24"/>
        </w:rPr>
        <w:lastRenderedPageBreak/>
        <w:t>Shri Manoj Kumar Varshney, Bharteey Janata Party and Gyan Chandra Varshney, Aligarh Udyog Vyapar Pratinidhi Mandal submitted that all electricity wires should be underground to reduce theft of electricity.</w:t>
      </w:r>
    </w:p>
    <w:p w:rsidR="00D5771F" w:rsidRDefault="00E34329">
      <w:pPr>
        <w:pStyle w:val="Heading3"/>
        <w:tabs>
          <w:tab w:val="clear" w:pos="720"/>
          <w:tab w:val="left" w:pos="4860"/>
        </w:tabs>
        <w:ind w:left="993" w:hanging="993"/>
        <w:rPr>
          <w:szCs w:val="24"/>
        </w:rPr>
      </w:pPr>
      <w:r w:rsidRPr="00E34329">
        <w:rPr>
          <w:szCs w:val="24"/>
        </w:rPr>
        <w:t>Shri Vivek Bansal, Ex MLA Indian National Congress submitted that villages where transformer used to burn because of underrating /overloading must be replaced with proper capacity.</w:t>
      </w:r>
    </w:p>
    <w:p w:rsidR="00D5771F" w:rsidRDefault="00E34329">
      <w:pPr>
        <w:pStyle w:val="Heading3"/>
        <w:tabs>
          <w:tab w:val="clear" w:pos="720"/>
          <w:tab w:val="left" w:pos="4860"/>
        </w:tabs>
        <w:ind w:left="993" w:hanging="993"/>
        <w:rPr>
          <w:bCs w:val="0"/>
          <w:szCs w:val="24"/>
        </w:rPr>
      </w:pPr>
      <w:r w:rsidRPr="00E34329">
        <w:rPr>
          <w:szCs w:val="24"/>
        </w:rPr>
        <w:t>Shri Vivek Bansal, Ex MLA Indian National Congress further submitted that due to poor infrastructure in rural areas various cases of electrical accident noticed, many farmers lost their crop due to fire caused by poor infrastructure.</w:t>
      </w:r>
    </w:p>
    <w:p w:rsidR="00D5771F" w:rsidRDefault="00E34329">
      <w:pPr>
        <w:pStyle w:val="Heading3"/>
        <w:tabs>
          <w:tab w:val="clear" w:pos="720"/>
          <w:tab w:val="left" w:pos="4860"/>
        </w:tabs>
        <w:ind w:left="993" w:hanging="993"/>
        <w:rPr>
          <w:bCs w:val="0"/>
          <w:szCs w:val="24"/>
        </w:rPr>
      </w:pPr>
      <w:r w:rsidRPr="00E34329">
        <w:rPr>
          <w:szCs w:val="24"/>
        </w:rPr>
        <w:t>Shri K. L. Aggarwal chairman Associate Chambers of Commerce &amp; Industries of U. P submitted that strict measures should be taken to prevent theft and pilferage of power, LT lines may be converted to underground lines, the transformers should not be overloaded more than 20%.</w:t>
      </w:r>
    </w:p>
    <w:p w:rsidR="00D5771F" w:rsidRDefault="00E34329">
      <w:pPr>
        <w:pStyle w:val="Heading3"/>
        <w:tabs>
          <w:tab w:val="clear" w:pos="720"/>
          <w:tab w:val="left" w:pos="4860"/>
        </w:tabs>
        <w:ind w:left="993" w:hanging="993"/>
        <w:rPr>
          <w:szCs w:val="24"/>
        </w:rPr>
      </w:pPr>
      <w:r w:rsidRPr="00E34329">
        <w:rPr>
          <w:szCs w:val="24"/>
        </w:rPr>
        <w:t>Shri Vishnu Bhagwan Agarwal Chairman, Agra Chapter, ASSOCHAM, U.P and Ashok kumar Goyal President, National Chamber of Industries &amp; Commerce submitted that audit meters be installed in transformer to locate line losses.</w:t>
      </w:r>
    </w:p>
    <w:p w:rsidR="0026266F" w:rsidRPr="003D2C56" w:rsidRDefault="0026266F" w:rsidP="0026266F">
      <w:pPr>
        <w:pStyle w:val="Heading3"/>
        <w:numPr>
          <w:ilvl w:val="0"/>
          <w:numId w:val="0"/>
        </w:numPr>
        <w:tabs>
          <w:tab w:val="clear" w:pos="720"/>
          <w:tab w:val="left" w:pos="4860"/>
        </w:tabs>
        <w:ind w:left="993"/>
        <w:rPr>
          <w:szCs w:val="24"/>
        </w:rPr>
      </w:pPr>
    </w:p>
    <w:p w:rsidR="0026266F" w:rsidRPr="003D2C56" w:rsidRDefault="00E34329" w:rsidP="0026266F">
      <w:pPr>
        <w:numPr>
          <w:ilvl w:val="0"/>
          <w:numId w:val="215"/>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The Licensee submitted that complaints of quality of supply, turnaround time for fault repair, etc. are not related to present Tariff Petition. However, it assured that these issues are in the jurisdiction of the concerned local field units of the concerned Discoms. Regarding, the demand supply gap, the Licensee is endeavouring to reduce the distribution losses. Capacity augmentation is being planned by the Discoms and Transco and is also depicted in the capital expenditure plan submitted along with the petitions.</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215"/>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 xml:space="preserve">The Commission has taken note of the objections / suggestions made by the stake holders. The Licensees must expedite the work of increasing the capacity of various sub-stations and power distribution network, distribution lines has to be ungrounded in theft prone areas and electrical infrastructure must be improved to avoid electrical accidents in accordance with the Capital Investment Plan so that above issues are resolved at the earliest. Further, the Licensees are also directed to </w:t>
      </w:r>
      <w:r w:rsidRPr="00E34329">
        <w:rPr>
          <w:szCs w:val="24"/>
        </w:rPr>
        <w:lastRenderedPageBreak/>
        <w:t>plan the distribution network expansion and capacity augmentation to cater to the current and future load requirements and to meet the establish standards of power system design and control the power theft.</w:t>
      </w:r>
    </w:p>
    <w:p w:rsidR="0026266F" w:rsidRPr="003D2C56" w:rsidRDefault="0026266F" w:rsidP="0026266F">
      <w:pPr>
        <w:pStyle w:val="Heading2"/>
        <w:numPr>
          <w:ilvl w:val="0"/>
          <w:numId w:val="0"/>
        </w:numPr>
        <w:spacing w:line="276" w:lineRule="auto"/>
        <w:ind w:left="780"/>
        <w:rPr>
          <w:rFonts w:ascii="Calibri" w:hAnsi="Calibri"/>
          <w:b w:val="0"/>
          <w:bCs w:val="0"/>
        </w:rPr>
      </w:pPr>
    </w:p>
    <w:p w:rsidR="00D5771F" w:rsidRDefault="00E34329">
      <w:pPr>
        <w:pStyle w:val="Heading2"/>
        <w:spacing w:line="276" w:lineRule="auto"/>
        <w:rPr>
          <w:rFonts w:ascii="Calibri" w:hAnsi="Calibri"/>
        </w:rPr>
      </w:pPr>
      <w:bookmarkStart w:id="167" w:name="_Toc454277489"/>
      <w:bookmarkStart w:id="168" w:name="_Toc457603918"/>
      <w:r w:rsidRPr="00E34329">
        <w:rPr>
          <w:rFonts w:ascii="Calibri" w:hAnsi="Calibri"/>
        </w:rPr>
        <w:t>ENCOURAGING RENEWABLE ENERGY</w:t>
      </w:r>
      <w:bookmarkEnd w:id="167"/>
      <w:bookmarkEnd w:id="168"/>
    </w:p>
    <w:p w:rsidR="0026266F" w:rsidRPr="003D2C56" w:rsidRDefault="0026266F" w:rsidP="0026266F">
      <w:pPr>
        <w:pStyle w:val="Heading2"/>
        <w:numPr>
          <w:ilvl w:val="0"/>
          <w:numId w:val="0"/>
        </w:numPr>
        <w:spacing w:line="276" w:lineRule="auto"/>
        <w:rPr>
          <w:rFonts w:ascii="Calibri" w:hAnsi="Calibri"/>
          <w:i/>
        </w:rPr>
      </w:pPr>
    </w:p>
    <w:p w:rsidR="0026266F" w:rsidRPr="003D2C56" w:rsidRDefault="00E34329" w:rsidP="0026266F">
      <w:pPr>
        <w:pStyle w:val="ListParagraph"/>
        <w:numPr>
          <w:ilvl w:val="0"/>
          <w:numId w:val="216"/>
        </w:numPr>
        <w:tabs>
          <w:tab w:val="left" w:pos="1980"/>
        </w:tabs>
        <w:spacing w:before="0"/>
        <w:contextualSpacing/>
        <w:rPr>
          <w:b/>
          <w:i/>
        </w:rPr>
      </w:pPr>
      <w:r w:rsidRPr="00E34329">
        <w:rPr>
          <w:b/>
          <w:i/>
        </w:rPr>
        <w:t>Comments/Suggestions of the Public</w:t>
      </w:r>
    </w:p>
    <w:p w:rsidR="00D5771F" w:rsidRDefault="00E34329">
      <w:pPr>
        <w:pStyle w:val="Heading3"/>
        <w:tabs>
          <w:tab w:val="clear" w:pos="720"/>
          <w:tab w:val="left" w:pos="4860"/>
        </w:tabs>
        <w:ind w:left="993" w:hanging="993"/>
        <w:rPr>
          <w:bCs w:val="0"/>
          <w:szCs w:val="24"/>
        </w:rPr>
      </w:pPr>
      <w:r w:rsidRPr="00E34329">
        <w:rPr>
          <w:szCs w:val="24"/>
        </w:rPr>
        <w:t xml:space="preserve">Shri K. L. Aggarwal chairman Associate Chambers of Commerce &amp; Industries of U. P submitted that the rebate of Rs. 100 per month for installation of solar water heating system of 100 litre capacity may be increased to Rs 250 per month in consideration to the cost of solar system. </w:t>
      </w:r>
    </w:p>
    <w:p w:rsidR="00D5771F" w:rsidRDefault="00E34329">
      <w:pPr>
        <w:pStyle w:val="Heading3"/>
        <w:tabs>
          <w:tab w:val="clear" w:pos="720"/>
          <w:tab w:val="left" w:pos="4860"/>
        </w:tabs>
        <w:ind w:left="993" w:hanging="993"/>
        <w:rPr>
          <w:szCs w:val="24"/>
        </w:rPr>
      </w:pPr>
      <w:r w:rsidRPr="00E34329">
        <w:rPr>
          <w:szCs w:val="24"/>
        </w:rPr>
        <w:t>Shri Vishnu Bhagwan Agarwal Chairman, Agra Chapter, ASSOCHAM, U.P  submitted that subsidy on roof top solar power system has to be provided irrespective of brand and import of PV panels may be duty free. It is further submitted that installation of solar power system in all remote villages should be controlled by Gram Panchayat to save transmission Line cost and line loss under a devised scheme.</w:t>
      </w:r>
    </w:p>
    <w:p w:rsidR="00D5771F" w:rsidRDefault="00E34329">
      <w:pPr>
        <w:pStyle w:val="Heading3"/>
        <w:tabs>
          <w:tab w:val="clear" w:pos="720"/>
          <w:tab w:val="left" w:pos="4860"/>
        </w:tabs>
        <w:ind w:left="993" w:hanging="993"/>
        <w:rPr>
          <w:szCs w:val="24"/>
        </w:rPr>
      </w:pPr>
      <w:r w:rsidRPr="00E34329">
        <w:rPr>
          <w:szCs w:val="24"/>
        </w:rPr>
        <w:t>Prof. Dr. K Kasthuriangan, Indian Wind Power Association submitted that high wind potential states like Tamilnadu, Karnataka and Madhya Pradesh can supply wind energy to wind deficit states like Uttar Pradesh and help the distribution Licensees in meeting the Non-solar renewable purchase obligation at very economical way.</w:t>
      </w:r>
    </w:p>
    <w:p w:rsidR="00D5771F" w:rsidRDefault="00E34329">
      <w:pPr>
        <w:pStyle w:val="Heading3"/>
        <w:tabs>
          <w:tab w:val="clear" w:pos="720"/>
          <w:tab w:val="left" w:pos="4860"/>
        </w:tabs>
        <w:ind w:left="993" w:hanging="993"/>
        <w:rPr>
          <w:bCs w:val="0"/>
          <w:szCs w:val="24"/>
        </w:rPr>
      </w:pPr>
      <w:r w:rsidRPr="00E34329">
        <w:rPr>
          <w:szCs w:val="24"/>
        </w:rPr>
        <w:t>In order to promote inter-state transfer of wind energy, the Central Commission has already notified forecasting and scheduling regulation for inter-state sale of wind power. Therefore, energy accounting for transmitting the wind energy would not be an issue, any penalty on deviation from schedule by wind generator would be borne by them. As far as beneficiary is concerned, such scheduled wind energy would be as good as firm power.</w:t>
      </w:r>
      <w:r w:rsidRPr="00E34329">
        <w:rPr>
          <w:bCs w:val="0"/>
          <w:szCs w:val="24"/>
        </w:rPr>
        <w:t xml:space="preserve"> Stakeholder further requested the Commission to allow the distribution Licensees to procure wind energy at the CERC determined wind zone wise tariff. </w:t>
      </w:r>
    </w:p>
    <w:p w:rsidR="0026266F" w:rsidRPr="003D2C56" w:rsidRDefault="0026266F" w:rsidP="0026266F">
      <w:pPr>
        <w:pStyle w:val="Heading3"/>
        <w:numPr>
          <w:ilvl w:val="0"/>
          <w:numId w:val="0"/>
        </w:numPr>
        <w:tabs>
          <w:tab w:val="clear" w:pos="720"/>
          <w:tab w:val="left" w:pos="4860"/>
        </w:tabs>
        <w:rPr>
          <w:szCs w:val="24"/>
        </w:rPr>
      </w:pPr>
    </w:p>
    <w:p w:rsidR="0026266F" w:rsidRPr="003D2C56" w:rsidRDefault="00E34329" w:rsidP="0026266F">
      <w:pPr>
        <w:numPr>
          <w:ilvl w:val="0"/>
          <w:numId w:val="216"/>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szCs w:val="24"/>
        </w:rPr>
        <w:t>Regarding subsidy on top Solar Power system the Licensee has submitted that it pertains to previous year Tariff Petition and does not pertain to the instant petition.</w:t>
      </w:r>
    </w:p>
    <w:p w:rsidR="00D5771F" w:rsidRDefault="00E34329">
      <w:pPr>
        <w:pStyle w:val="Heading3"/>
        <w:tabs>
          <w:tab w:val="clear" w:pos="720"/>
          <w:tab w:val="left" w:pos="4860"/>
        </w:tabs>
        <w:ind w:left="993" w:hanging="993"/>
        <w:rPr>
          <w:szCs w:val="24"/>
        </w:rPr>
      </w:pPr>
      <w:r w:rsidRPr="00E34329">
        <w:rPr>
          <w:szCs w:val="24"/>
        </w:rPr>
        <w:lastRenderedPageBreak/>
        <w:t>Regarding determination of Wind Energy Tariff the Licensee has submitted that this issue does not pertain to ARR and Tariff Petition for FY 2016-17.</w:t>
      </w:r>
    </w:p>
    <w:p w:rsidR="0026266F" w:rsidRPr="003D2C56" w:rsidRDefault="0026266F" w:rsidP="0026266F">
      <w:pPr>
        <w:pStyle w:val="Heading3"/>
        <w:numPr>
          <w:ilvl w:val="0"/>
          <w:numId w:val="0"/>
        </w:numPr>
        <w:tabs>
          <w:tab w:val="clear" w:pos="720"/>
        </w:tabs>
        <w:rPr>
          <w:szCs w:val="24"/>
        </w:rPr>
      </w:pPr>
    </w:p>
    <w:p w:rsidR="0026266F" w:rsidRPr="003D2C56" w:rsidRDefault="00E34329" w:rsidP="0026266F">
      <w:pPr>
        <w:pStyle w:val="ListParagraph"/>
        <w:numPr>
          <w:ilvl w:val="0"/>
          <w:numId w:val="216"/>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szCs w:val="24"/>
        </w:rPr>
      </w:pPr>
      <w:r w:rsidRPr="00E34329">
        <w:rPr>
          <w:szCs w:val="24"/>
        </w:rPr>
        <w:t xml:space="preserve">The Commission has taken note of the objections / suggestions made by the stakeholders in this regards. The Commission is of the view that use of renewable sources at the consumer level must be encouraged. This is essential for the power deficit State like Uttar Pradesh. In view of this, the Commission has already introduced rebate on the monthly bill for all consumers using solar water heaters as detailed further in Rate Schedule. </w:t>
      </w:r>
    </w:p>
    <w:p w:rsidR="0026266F" w:rsidRPr="003D2C56" w:rsidRDefault="0026266F" w:rsidP="0026266F">
      <w:pPr>
        <w:pStyle w:val="ListParagraph"/>
        <w:rPr>
          <w:rFonts w:cs="Calibri"/>
          <w:b/>
          <w:bCs/>
        </w:rPr>
      </w:pPr>
    </w:p>
    <w:p w:rsidR="00C661A2" w:rsidRDefault="00C661A2">
      <w:pPr>
        <w:pStyle w:val="Heading2"/>
        <w:spacing w:line="276" w:lineRule="auto"/>
        <w:rPr>
          <w:rFonts w:ascii="Calibri" w:hAnsi="Calibri"/>
        </w:rPr>
      </w:pPr>
      <w:bookmarkStart w:id="169" w:name="_Toc457603919"/>
      <w:bookmarkStart w:id="170" w:name="_Toc454277490"/>
      <w:r>
        <w:rPr>
          <w:rFonts w:ascii="Calibri" w:hAnsi="Calibri"/>
        </w:rPr>
        <w:t>MERIT ORDER DISPATCH</w:t>
      </w:r>
      <w:bookmarkEnd w:id="169"/>
    </w:p>
    <w:p w:rsidR="00337C98" w:rsidRDefault="00337C98" w:rsidP="00337C98">
      <w:pPr>
        <w:pStyle w:val="Heading2"/>
        <w:numPr>
          <w:ilvl w:val="0"/>
          <w:numId w:val="0"/>
        </w:numPr>
        <w:spacing w:line="276" w:lineRule="auto"/>
        <w:ind w:left="780"/>
        <w:rPr>
          <w:rFonts w:ascii="Calibri" w:hAnsi="Calibri"/>
        </w:rPr>
      </w:pPr>
    </w:p>
    <w:p w:rsidR="00337C98" w:rsidRDefault="00C661A2" w:rsidP="00337C98">
      <w:pPr>
        <w:pStyle w:val="ListParagraph"/>
        <w:numPr>
          <w:ilvl w:val="0"/>
          <w:numId w:val="252"/>
        </w:numPr>
        <w:tabs>
          <w:tab w:val="left" w:pos="1980"/>
        </w:tabs>
        <w:spacing w:before="0"/>
        <w:contextualSpacing/>
        <w:rPr>
          <w:b/>
          <w:i/>
        </w:rPr>
      </w:pPr>
      <w:r w:rsidRPr="00E34329">
        <w:rPr>
          <w:b/>
          <w:i/>
        </w:rPr>
        <w:t>Comments/Suggestions of the Public</w:t>
      </w:r>
    </w:p>
    <w:p w:rsidR="00272C96" w:rsidRPr="00FF2667" w:rsidRDefault="00337C98" w:rsidP="00272C96">
      <w:pPr>
        <w:pStyle w:val="Heading3"/>
        <w:numPr>
          <w:ilvl w:val="2"/>
          <w:numId w:val="5"/>
        </w:numPr>
        <w:tabs>
          <w:tab w:val="clear" w:pos="720"/>
          <w:tab w:val="clear" w:pos="1929"/>
          <w:tab w:val="num" w:pos="993"/>
          <w:tab w:val="num" w:pos="1296"/>
          <w:tab w:val="left" w:pos="4860"/>
        </w:tabs>
        <w:ind w:left="993" w:hanging="993"/>
        <w:rPr>
          <w:rFonts w:cs="Calibri"/>
          <w:szCs w:val="24"/>
        </w:rPr>
      </w:pPr>
      <w:r w:rsidRPr="00337C98">
        <w:rPr>
          <w:rFonts w:cs="Calibri"/>
          <w:szCs w:val="24"/>
        </w:rPr>
        <w:t>Rosa Power Company Limited submitted following points:</w:t>
      </w:r>
    </w:p>
    <w:p w:rsidR="00337C98" w:rsidRPr="00337C98" w:rsidRDefault="00337C98" w:rsidP="00337C98">
      <w:pPr>
        <w:pStyle w:val="Heading3"/>
        <w:numPr>
          <w:ilvl w:val="0"/>
          <w:numId w:val="259"/>
        </w:numPr>
        <w:tabs>
          <w:tab w:val="clear" w:pos="720"/>
          <w:tab w:val="left" w:pos="4860"/>
        </w:tabs>
        <w:rPr>
          <w:rFonts w:cs="Calibri"/>
          <w:szCs w:val="24"/>
        </w:rPr>
      </w:pPr>
      <w:r w:rsidRPr="00337C98">
        <w:rPr>
          <w:rFonts w:cs="Calibri"/>
          <w:szCs w:val="24"/>
        </w:rPr>
        <w:t>Power purchase cost of Anta, Auriya and Dadri Gas should be disallowed as the State is having surplus power and procuring power from such expensive gas based generating station may not be prudent power purchase approach.</w:t>
      </w:r>
    </w:p>
    <w:p w:rsidR="00337C98" w:rsidRPr="00337C98" w:rsidRDefault="00337C98" w:rsidP="00337C98">
      <w:pPr>
        <w:pStyle w:val="Heading3"/>
        <w:numPr>
          <w:ilvl w:val="0"/>
          <w:numId w:val="259"/>
        </w:numPr>
        <w:tabs>
          <w:tab w:val="clear" w:pos="720"/>
          <w:tab w:val="left" w:pos="4860"/>
        </w:tabs>
        <w:rPr>
          <w:rFonts w:cs="Calibri"/>
          <w:szCs w:val="24"/>
        </w:rPr>
      </w:pPr>
      <w:r w:rsidRPr="00337C98">
        <w:rPr>
          <w:rFonts w:cs="Calibri"/>
          <w:szCs w:val="24"/>
        </w:rPr>
        <w:t>The Commission may investigate regarding validity of PPAs of Anta, Auriya and Dadri gas, whether UPPCL has signed any Supplemental Agreement without approval of UPERC.</w:t>
      </w:r>
    </w:p>
    <w:p w:rsidR="00337C98" w:rsidRPr="00337C98" w:rsidRDefault="00337C98" w:rsidP="00337C98">
      <w:pPr>
        <w:pStyle w:val="Heading3"/>
        <w:numPr>
          <w:ilvl w:val="0"/>
          <w:numId w:val="259"/>
        </w:numPr>
        <w:tabs>
          <w:tab w:val="clear" w:pos="720"/>
          <w:tab w:val="left" w:pos="4860"/>
        </w:tabs>
        <w:rPr>
          <w:rFonts w:cs="Calibri"/>
          <w:szCs w:val="24"/>
        </w:rPr>
      </w:pPr>
      <w:r w:rsidRPr="00337C98">
        <w:rPr>
          <w:rFonts w:cs="Calibri"/>
          <w:szCs w:val="24"/>
        </w:rPr>
        <w:t>Being expensive stations in the event of low demand these stations get higher dispatch than cheaper stations located in the State due to non-existence of technical minimum criteria in the State.</w:t>
      </w:r>
    </w:p>
    <w:p w:rsidR="00337C98" w:rsidRPr="00337C98" w:rsidRDefault="00337C98" w:rsidP="00337C98">
      <w:pPr>
        <w:pStyle w:val="Heading3"/>
        <w:numPr>
          <w:ilvl w:val="0"/>
          <w:numId w:val="259"/>
        </w:numPr>
        <w:tabs>
          <w:tab w:val="clear" w:pos="720"/>
          <w:tab w:val="left" w:pos="4860"/>
        </w:tabs>
        <w:rPr>
          <w:rFonts w:cs="Calibri"/>
          <w:szCs w:val="24"/>
        </w:rPr>
      </w:pPr>
      <w:r w:rsidRPr="00337C98">
        <w:rPr>
          <w:rFonts w:cs="Calibri"/>
          <w:szCs w:val="24"/>
        </w:rPr>
        <w:t>Merit order dispatch proposed by the licensees in their petitions is completely arbitrary and has no relationship with the actual implementation. It is observed that every year licensees propose merit order dispatch based on their assumptions and the Commission after carrying out the due diligence of submissions made by the Licensees. However, when it comes to actual implementation, UPSLDC does not take into cognizance of merit order dispatch approved by the Commission.</w:t>
      </w:r>
    </w:p>
    <w:p w:rsidR="00337C98" w:rsidRPr="00337C98" w:rsidRDefault="00337C98" w:rsidP="00337C98">
      <w:pPr>
        <w:pStyle w:val="Heading3"/>
        <w:numPr>
          <w:ilvl w:val="0"/>
          <w:numId w:val="259"/>
        </w:numPr>
        <w:tabs>
          <w:tab w:val="clear" w:pos="720"/>
          <w:tab w:val="left" w:pos="4860"/>
        </w:tabs>
        <w:rPr>
          <w:rFonts w:cs="Calibri"/>
          <w:szCs w:val="24"/>
        </w:rPr>
      </w:pPr>
      <w:r w:rsidRPr="00337C98">
        <w:rPr>
          <w:rFonts w:cs="Calibri"/>
          <w:szCs w:val="24"/>
        </w:rPr>
        <w:lastRenderedPageBreak/>
        <w:t>UPPCL/ UPSLDC consider actual variable charges of n-1 months for some generating stations and n-2 months for others. Further UPPCL/UPSLC does not consider fuel cost adjustment bill in the variable charge for drawing up the merit order.</w:t>
      </w:r>
    </w:p>
    <w:p w:rsidR="00337C98" w:rsidRPr="00337C98" w:rsidRDefault="00337C98" w:rsidP="00337C98">
      <w:pPr>
        <w:pStyle w:val="Heading3"/>
        <w:numPr>
          <w:ilvl w:val="0"/>
          <w:numId w:val="259"/>
        </w:numPr>
        <w:tabs>
          <w:tab w:val="clear" w:pos="720"/>
          <w:tab w:val="left" w:pos="4860"/>
        </w:tabs>
        <w:rPr>
          <w:rFonts w:cs="Calibri"/>
          <w:szCs w:val="24"/>
        </w:rPr>
      </w:pPr>
      <w:r w:rsidRPr="00337C98">
        <w:rPr>
          <w:rFonts w:cs="Calibri"/>
          <w:szCs w:val="24"/>
        </w:rPr>
        <w:t>Load centre stations like Rosa TPP always are at disadvantageous position in merit order dispatch due to their high fuel transportation cost but at same time it contributes significant reduction in transmission loss. It is further submitted that the Commission may direct UPPCL/ UPSLDC to consider updated variable charge including transmission charges and losses for drawing up the merit order and to follow technical minimum criteria for backing down during low demand.</w:t>
      </w:r>
    </w:p>
    <w:p w:rsidR="00337C98" w:rsidRPr="00337C98" w:rsidRDefault="00337C98" w:rsidP="00337C98">
      <w:pPr>
        <w:pStyle w:val="Heading3"/>
        <w:numPr>
          <w:ilvl w:val="0"/>
          <w:numId w:val="259"/>
        </w:numPr>
        <w:tabs>
          <w:tab w:val="clear" w:pos="720"/>
          <w:tab w:val="left" w:pos="4860"/>
        </w:tabs>
        <w:rPr>
          <w:rFonts w:cs="Calibri"/>
          <w:szCs w:val="24"/>
        </w:rPr>
      </w:pPr>
      <w:r w:rsidRPr="00337C98">
        <w:rPr>
          <w:rFonts w:cs="Calibri"/>
          <w:szCs w:val="24"/>
        </w:rPr>
        <w:t>UPPCL in its petition has proposed single part tariff for captive and co generative plants whereas UPERC vide its regulation Captive and Renewable Energy Generating Plants Regulations, 2014 provides two part tariff for said plants.</w:t>
      </w:r>
    </w:p>
    <w:p w:rsidR="00337C98" w:rsidRPr="00337C98" w:rsidRDefault="00337C98" w:rsidP="00337C98">
      <w:pPr>
        <w:pStyle w:val="Heading3"/>
        <w:numPr>
          <w:ilvl w:val="0"/>
          <w:numId w:val="259"/>
        </w:numPr>
        <w:tabs>
          <w:tab w:val="clear" w:pos="720"/>
          <w:tab w:val="left" w:pos="4860"/>
        </w:tabs>
        <w:rPr>
          <w:rFonts w:cs="Calibri"/>
          <w:szCs w:val="24"/>
        </w:rPr>
      </w:pPr>
      <w:r w:rsidRPr="00337C98">
        <w:rPr>
          <w:rFonts w:cs="Calibri"/>
          <w:szCs w:val="24"/>
        </w:rPr>
        <w:t>While applying the merit order UPSLDC considers Captive and co generative stations as MUST RUN despite UPERC orders and regulations that these plants are subject to scheduling under ABT mechanism.</w:t>
      </w:r>
    </w:p>
    <w:p w:rsidR="00337C98" w:rsidRPr="00337C98" w:rsidRDefault="00337C98" w:rsidP="00337C98">
      <w:pPr>
        <w:pStyle w:val="Heading3"/>
        <w:numPr>
          <w:ilvl w:val="0"/>
          <w:numId w:val="259"/>
        </w:numPr>
        <w:tabs>
          <w:tab w:val="clear" w:pos="720"/>
          <w:tab w:val="left" w:pos="4860"/>
        </w:tabs>
        <w:rPr>
          <w:rFonts w:cs="Calibri"/>
          <w:szCs w:val="24"/>
        </w:rPr>
      </w:pPr>
      <w:r w:rsidRPr="00337C98">
        <w:rPr>
          <w:rFonts w:cs="Calibri"/>
          <w:szCs w:val="24"/>
        </w:rPr>
        <w:t>NTPC is not billing UPPCL strictly as per tariff norms approved by CERC in tariff regulation, 2014.  Following discrepancies has been observed in the NTPC billing.</w:t>
      </w:r>
    </w:p>
    <w:p w:rsidR="00337C98" w:rsidRPr="00337C98" w:rsidRDefault="00337C98" w:rsidP="00337C98">
      <w:pPr>
        <w:pStyle w:val="Heading3"/>
        <w:numPr>
          <w:ilvl w:val="0"/>
          <w:numId w:val="261"/>
        </w:numPr>
        <w:tabs>
          <w:tab w:val="clear" w:pos="720"/>
          <w:tab w:val="left" w:pos="4860"/>
        </w:tabs>
        <w:rPr>
          <w:rFonts w:cs="Calibri"/>
          <w:szCs w:val="24"/>
        </w:rPr>
      </w:pPr>
      <w:r w:rsidRPr="00337C98">
        <w:rPr>
          <w:rFonts w:cs="Calibri"/>
          <w:szCs w:val="24"/>
        </w:rPr>
        <w:t>Cost of Secondary Oil is being considered in the fixed charges instead of variable charge as per CERC Tariff Regulations, 2014</w:t>
      </w:r>
    </w:p>
    <w:p w:rsidR="00337C98" w:rsidRPr="00337C98" w:rsidRDefault="00337C98" w:rsidP="00337C98">
      <w:pPr>
        <w:pStyle w:val="Heading3"/>
        <w:numPr>
          <w:ilvl w:val="0"/>
          <w:numId w:val="261"/>
        </w:numPr>
        <w:tabs>
          <w:tab w:val="clear" w:pos="720"/>
          <w:tab w:val="left" w:pos="4860"/>
        </w:tabs>
        <w:rPr>
          <w:rFonts w:cs="Calibri"/>
          <w:szCs w:val="24"/>
        </w:rPr>
      </w:pPr>
      <w:r w:rsidRPr="00337C98">
        <w:rPr>
          <w:rFonts w:cs="Calibri"/>
          <w:szCs w:val="24"/>
        </w:rPr>
        <w:t>NTPC is not providing certificate of GCV as received</w:t>
      </w:r>
    </w:p>
    <w:p w:rsidR="00337C98" w:rsidRDefault="00337C98" w:rsidP="00337C98">
      <w:pPr>
        <w:pStyle w:val="Heading3"/>
        <w:numPr>
          <w:ilvl w:val="0"/>
          <w:numId w:val="259"/>
        </w:numPr>
        <w:tabs>
          <w:tab w:val="clear" w:pos="720"/>
          <w:tab w:val="left" w:pos="4860"/>
        </w:tabs>
        <w:rPr>
          <w:bCs w:val="0"/>
          <w:szCs w:val="24"/>
        </w:rPr>
      </w:pPr>
      <w:r w:rsidRPr="00337C98">
        <w:rPr>
          <w:rFonts w:cs="Calibri"/>
          <w:szCs w:val="24"/>
        </w:rPr>
        <w:t>It is further submitted that the Commission may direct UPPCL/UPSLDC to undertake strict scrutiny of NTPC billing of variable charge and ensure NTPC strictly follow CERC Tariff Regulation, 2014</w:t>
      </w:r>
      <w:r w:rsidR="00C661A2" w:rsidRPr="00FF2667">
        <w:rPr>
          <w:szCs w:val="24"/>
        </w:rPr>
        <w:t xml:space="preserve"> </w:t>
      </w:r>
      <w:r w:rsidR="00C661A2" w:rsidRPr="00FF2667">
        <w:rPr>
          <w:bCs w:val="0"/>
          <w:szCs w:val="24"/>
        </w:rPr>
        <w:t xml:space="preserve"> </w:t>
      </w:r>
    </w:p>
    <w:p w:rsidR="00C661A2" w:rsidRPr="00FF2667" w:rsidRDefault="00C661A2" w:rsidP="00C661A2">
      <w:pPr>
        <w:pStyle w:val="Heading3"/>
        <w:numPr>
          <w:ilvl w:val="0"/>
          <w:numId w:val="0"/>
        </w:numPr>
        <w:tabs>
          <w:tab w:val="clear" w:pos="720"/>
          <w:tab w:val="left" w:pos="4860"/>
        </w:tabs>
        <w:rPr>
          <w:szCs w:val="24"/>
        </w:rPr>
      </w:pPr>
    </w:p>
    <w:p w:rsidR="00337C98" w:rsidRDefault="00C661A2" w:rsidP="00337C98">
      <w:pPr>
        <w:numPr>
          <w:ilvl w:val="0"/>
          <w:numId w:val="252"/>
        </w:numPr>
        <w:spacing w:before="0"/>
        <w:contextualSpacing/>
        <w:rPr>
          <w:rFonts w:cs="Calibri"/>
          <w:b/>
          <w:bCs/>
          <w:i/>
          <w:iCs/>
        </w:rPr>
      </w:pPr>
      <w:r w:rsidRPr="00FF2667">
        <w:rPr>
          <w:rFonts w:cs="Calibri"/>
          <w:b/>
          <w:bCs/>
          <w:i/>
          <w:iCs/>
        </w:rPr>
        <w:t>Petitioner’s Response</w:t>
      </w:r>
    </w:p>
    <w:p w:rsidR="00337C98" w:rsidRDefault="00150B6C" w:rsidP="00337C98">
      <w:pPr>
        <w:pStyle w:val="Heading3"/>
        <w:numPr>
          <w:ilvl w:val="2"/>
          <w:numId w:val="5"/>
        </w:numPr>
        <w:tabs>
          <w:tab w:val="clear" w:pos="720"/>
          <w:tab w:val="clear" w:pos="1929"/>
          <w:tab w:val="num" w:pos="993"/>
          <w:tab w:val="num" w:pos="1296"/>
          <w:tab w:val="left" w:pos="4860"/>
        </w:tabs>
        <w:ind w:left="993" w:hanging="993"/>
        <w:rPr>
          <w:szCs w:val="24"/>
        </w:rPr>
      </w:pPr>
      <w:r>
        <w:t xml:space="preserve">The license submitted that the Commission has already issued an interim order for the petition no. 1070/2015 filed by M/S Rosa Power Supply Co. Ltd. dated June 21 2016, wherein the Commission has already deliberated most of the issues raised by the Petitioner. Further, since the final decision is yet to be taken by the Commission </w:t>
      </w:r>
      <w:r>
        <w:lastRenderedPageBreak/>
        <w:t>in the said petition, it is felt that this issue may be dealt separately, treating it to be beyond the purview of representations called for determination of ARR and Tariff for FY 2016-17.</w:t>
      </w:r>
      <w:r w:rsidR="00C661A2" w:rsidRPr="00FF2667">
        <w:rPr>
          <w:szCs w:val="24"/>
        </w:rPr>
        <w:t>.</w:t>
      </w:r>
    </w:p>
    <w:p w:rsidR="00C661A2" w:rsidRPr="003D2C56" w:rsidRDefault="00C661A2" w:rsidP="00C661A2">
      <w:pPr>
        <w:pStyle w:val="Heading3"/>
        <w:numPr>
          <w:ilvl w:val="0"/>
          <w:numId w:val="0"/>
        </w:numPr>
        <w:tabs>
          <w:tab w:val="clear" w:pos="720"/>
        </w:tabs>
        <w:rPr>
          <w:szCs w:val="24"/>
        </w:rPr>
      </w:pPr>
    </w:p>
    <w:p w:rsidR="00337C98" w:rsidRDefault="00C661A2" w:rsidP="00337C98">
      <w:pPr>
        <w:pStyle w:val="ListParagraph"/>
        <w:numPr>
          <w:ilvl w:val="0"/>
          <w:numId w:val="252"/>
        </w:numPr>
        <w:tabs>
          <w:tab w:val="left" w:pos="1980"/>
        </w:tabs>
        <w:spacing w:before="0"/>
        <w:contextualSpacing/>
        <w:rPr>
          <w:b/>
          <w:i/>
        </w:rPr>
      </w:pPr>
      <w:r w:rsidRPr="00E34329">
        <w:rPr>
          <w:b/>
          <w:i/>
        </w:rPr>
        <w:t>The Commission’s view:</w:t>
      </w:r>
    </w:p>
    <w:p w:rsidR="00337C98" w:rsidRDefault="00150B6C" w:rsidP="00337C98">
      <w:pPr>
        <w:pStyle w:val="Heading3"/>
        <w:numPr>
          <w:ilvl w:val="2"/>
          <w:numId w:val="5"/>
        </w:numPr>
        <w:tabs>
          <w:tab w:val="clear" w:pos="720"/>
          <w:tab w:val="clear" w:pos="1929"/>
          <w:tab w:val="num" w:pos="993"/>
          <w:tab w:val="num" w:pos="1296"/>
          <w:tab w:val="left" w:pos="4860"/>
        </w:tabs>
        <w:ind w:left="993" w:hanging="993"/>
      </w:pPr>
      <w:r>
        <w:t xml:space="preserve">The Commission in its Order dated June 21, 2015 on Petition no. 1070/2015 of Rosa Power Supply Company Ltd. vs. UPSLDC &amp; UPPCL </w:t>
      </w:r>
      <w:r w:rsidR="00337C98" w:rsidRPr="00337C98">
        <w:t>observed</w:t>
      </w:r>
      <w:r>
        <w:t xml:space="preserve"> </w:t>
      </w:r>
      <w:r w:rsidR="00337C98" w:rsidRPr="00337C98">
        <w:t>that UPSLDC is not strictly adhering to UPEGC in scheduling and dispatch. The Commission has entrusted IIT, Kanpur to study the merit order dispatch procedure followed by UPSLDC and give its recommendation. The Commissi</w:t>
      </w:r>
      <w:r>
        <w:t>on in the said Order ruled that</w:t>
      </w:r>
      <w:r w:rsidR="00337C98" w:rsidRPr="00337C98">
        <w:t xml:space="preserve"> it </w:t>
      </w:r>
      <w:r w:rsidRPr="006C568B">
        <w:t xml:space="preserve">will deliberate over the recommendations with the stake holders and then will take the final decision. In the mean time, until the final order is passed the Commission </w:t>
      </w:r>
      <w:r>
        <w:t>issued directions as given below:</w:t>
      </w:r>
    </w:p>
    <w:p w:rsidR="00337C98" w:rsidRPr="00337C98" w:rsidRDefault="00337C98" w:rsidP="00337C98">
      <w:pPr>
        <w:pStyle w:val="Heading3"/>
        <w:numPr>
          <w:ilvl w:val="2"/>
          <w:numId w:val="5"/>
        </w:numPr>
        <w:tabs>
          <w:tab w:val="clear" w:pos="720"/>
          <w:tab w:val="clear" w:pos="1929"/>
          <w:tab w:val="num" w:pos="993"/>
          <w:tab w:val="num" w:pos="1296"/>
          <w:tab w:val="left" w:pos="4860"/>
        </w:tabs>
        <w:ind w:left="993" w:hanging="993"/>
      </w:pPr>
      <w:r w:rsidRPr="00337C98">
        <w:t xml:space="preserve">The Commission </w:t>
      </w:r>
      <w:r w:rsidR="00150B6C">
        <w:t xml:space="preserve">in the said Order </w:t>
      </w:r>
      <w:r w:rsidRPr="00337C98">
        <w:t>directed UPSLDC to immediately implement the following procedure for scheduling and despatch of power from the generating stations:</w:t>
      </w:r>
    </w:p>
    <w:p w:rsidR="00337C98" w:rsidRDefault="00150B6C" w:rsidP="00337C98">
      <w:pPr>
        <w:pStyle w:val="Heading3"/>
        <w:numPr>
          <w:ilvl w:val="0"/>
          <w:numId w:val="259"/>
        </w:numPr>
        <w:tabs>
          <w:tab w:val="clear" w:pos="720"/>
        </w:tabs>
        <w:rPr>
          <w:rFonts w:asciiTheme="minorHAnsi" w:hAnsiTheme="minorHAnsi" w:cs="Calibri"/>
          <w:szCs w:val="24"/>
        </w:rPr>
      </w:pPr>
      <w:r w:rsidRPr="00B4374E">
        <w:rPr>
          <w:rFonts w:asciiTheme="minorHAnsi" w:hAnsiTheme="minorHAnsi" w:cs="Calibri"/>
          <w:szCs w:val="24"/>
        </w:rPr>
        <w:t xml:space="preserve">MOD has to be strictly adhered </w:t>
      </w:r>
      <w:r>
        <w:rPr>
          <w:rFonts w:asciiTheme="minorHAnsi" w:hAnsiTheme="minorHAnsi" w:cs="Calibri"/>
          <w:szCs w:val="24"/>
        </w:rPr>
        <w:t>and</w:t>
      </w:r>
      <w:r w:rsidRPr="00B4374E">
        <w:rPr>
          <w:rFonts w:asciiTheme="minorHAnsi" w:hAnsiTheme="minorHAnsi" w:cs="Calibri"/>
          <w:szCs w:val="24"/>
        </w:rPr>
        <w:t xml:space="preserve"> given preference over RPO, after RPO Obligations are met.</w:t>
      </w:r>
    </w:p>
    <w:p w:rsidR="00337C98" w:rsidRDefault="00150B6C" w:rsidP="00337C98">
      <w:pPr>
        <w:pStyle w:val="Heading3"/>
        <w:numPr>
          <w:ilvl w:val="0"/>
          <w:numId w:val="259"/>
        </w:numPr>
        <w:tabs>
          <w:tab w:val="clear" w:pos="720"/>
        </w:tabs>
        <w:rPr>
          <w:rFonts w:asciiTheme="minorHAnsi" w:hAnsiTheme="minorHAnsi" w:cs="Calibri"/>
          <w:szCs w:val="24"/>
        </w:rPr>
      </w:pPr>
      <w:r w:rsidRPr="00B4374E">
        <w:rPr>
          <w:rFonts w:asciiTheme="minorHAnsi" w:hAnsiTheme="minorHAnsi" w:cs="Calibri"/>
          <w:szCs w:val="24"/>
        </w:rPr>
        <w:t>SLDC should draw up the Merit Order Stack based on Variable Charges of previous month as per actual invoices submitted by generator to UPPCL.</w:t>
      </w:r>
    </w:p>
    <w:p w:rsidR="00337C98" w:rsidRDefault="00150B6C" w:rsidP="00337C98">
      <w:pPr>
        <w:pStyle w:val="Heading3"/>
        <w:numPr>
          <w:ilvl w:val="0"/>
          <w:numId w:val="259"/>
        </w:numPr>
        <w:tabs>
          <w:tab w:val="clear" w:pos="720"/>
        </w:tabs>
        <w:rPr>
          <w:rFonts w:asciiTheme="minorHAnsi" w:hAnsiTheme="minorHAnsi" w:cs="Calibri"/>
          <w:szCs w:val="24"/>
        </w:rPr>
      </w:pPr>
      <w:r w:rsidRPr="00B4374E">
        <w:rPr>
          <w:rFonts w:asciiTheme="minorHAnsi" w:hAnsiTheme="minorHAnsi" w:cs="Calibri"/>
          <w:szCs w:val="24"/>
        </w:rPr>
        <w:t>Variable Charges should take into account the Transmission Charges and Transmission Losses caused by each station and Fuel Adjustment Charges, if any, for the previous month for drawing the MOD stack.</w:t>
      </w:r>
    </w:p>
    <w:p w:rsidR="00337C98" w:rsidRDefault="00150B6C" w:rsidP="00337C98">
      <w:pPr>
        <w:pStyle w:val="Heading3"/>
        <w:numPr>
          <w:ilvl w:val="0"/>
          <w:numId w:val="259"/>
        </w:numPr>
        <w:tabs>
          <w:tab w:val="clear" w:pos="720"/>
        </w:tabs>
        <w:rPr>
          <w:rFonts w:asciiTheme="minorHAnsi" w:hAnsiTheme="minorHAnsi" w:cs="Calibri"/>
          <w:szCs w:val="24"/>
        </w:rPr>
      </w:pPr>
      <w:r w:rsidRPr="00B4374E">
        <w:rPr>
          <w:rFonts w:asciiTheme="minorHAnsi" w:hAnsiTheme="minorHAnsi" w:cs="Calibri"/>
          <w:szCs w:val="24"/>
        </w:rPr>
        <w:t>Technical minimum for all the generating units should be followed.</w:t>
      </w:r>
    </w:p>
    <w:p w:rsidR="00337C98" w:rsidRDefault="00150B6C" w:rsidP="00337C98">
      <w:pPr>
        <w:pStyle w:val="Heading3"/>
        <w:numPr>
          <w:ilvl w:val="0"/>
          <w:numId w:val="259"/>
        </w:numPr>
        <w:tabs>
          <w:tab w:val="clear" w:pos="720"/>
        </w:tabs>
        <w:rPr>
          <w:rFonts w:asciiTheme="minorHAnsi" w:hAnsiTheme="minorHAnsi" w:cs="Calibri"/>
          <w:szCs w:val="24"/>
        </w:rPr>
      </w:pPr>
      <w:r w:rsidRPr="00B4374E">
        <w:rPr>
          <w:rFonts w:asciiTheme="minorHAnsi" w:hAnsiTheme="minorHAnsi" w:cs="Calibri"/>
          <w:szCs w:val="24"/>
        </w:rPr>
        <w:t>For ISGS, technical minimum for backing down should be taken based on total schedule of all beneficiaries as per technical minimum specified by the CERC.</w:t>
      </w:r>
    </w:p>
    <w:p w:rsidR="00337C98" w:rsidRDefault="00150B6C" w:rsidP="00337C98">
      <w:pPr>
        <w:pStyle w:val="Heading3"/>
        <w:numPr>
          <w:ilvl w:val="0"/>
          <w:numId w:val="259"/>
        </w:numPr>
        <w:tabs>
          <w:tab w:val="clear" w:pos="720"/>
        </w:tabs>
        <w:rPr>
          <w:rFonts w:asciiTheme="minorHAnsi" w:hAnsiTheme="minorHAnsi" w:cs="Calibri"/>
          <w:szCs w:val="24"/>
        </w:rPr>
      </w:pPr>
      <w:r w:rsidRPr="00B4374E">
        <w:rPr>
          <w:rFonts w:asciiTheme="minorHAnsi" w:hAnsiTheme="minorHAnsi" w:cs="Calibri"/>
          <w:szCs w:val="24"/>
        </w:rPr>
        <w:t>In the event of load crash or persistent low demand, before putting any unit on reserve shut down, it must be ensured that all units including storage based hydro plants, co-gen plants, thermal units and schedule of ISGS share are reduced to their respective technical minimum or the minimum capacity prescribed in the contract.</w:t>
      </w:r>
    </w:p>
    <w:p w:rsidR="00337C98" w:rsidRPr="00B450F1" w:rsidRDefault="00150B6C" w:rsidP="00337C98">
      <w:pPr>
        <w:pStyle w:val="Heading3"/>
        <w:numPr>
          <w:ilvl w:val="0"/>
          <w:numId w:val="259"/>
        </w:numPr>
        <w:tabs>
          <w:tab w:val="clear" w:pos="720"/>
        </w:tabs>
        <w:rPr>
          <w:rFonts w:asciiTheme="minorHAnsi" w:hAnsiTheme="minorHAnsi" w:cs="Calibri"/>
          <w:szCs w:val="24"/>
        </w:rPr>
      </w:pPr>
      <w:r w:rsidRPr="00B4374E">
        <w:rPr>
          <w:rFonts w:asciiTheme="minorHAnsi" w:hAnsiTheme="minorHAnsi" w:cs="Calibri"/>
          <w:szCs w:val="24"/>
        </w:rPr>
        <w:lastRenderedPageBreak/>
        <w:t xml:space="preserve">If system conditions require reserve shut down of any unit, after achieving </w:t>
      </w:r>
      <w:r w:rsidRPr="00B450F1">
        <w:rPr>
          <w:rFonts w:asciiTheme="minorHAnsi" w:hAnsiTheme="minorHAnsi" w:cs="Calibri"/>
          <w:szCs w:val="24"/>
        </w:rPr>
        <w:t>technical minimum of all the units, it should be done based on merit order stack subject to following:</w:t>
      </w:r>
    </w:p>
    <w:p w:rsidR="00337C98" w:rsidRPr="00B450F1" w:rsidRDefault="00150B6C" w:rsidP="00337C98">
      <w:pPr>
        <w:pStyle w:val="Heading3"/>
        <w:numPr>
          <w:ilvl w:val="0"/>
          <w:numId w:val="266"/>
        </w:numPr>
        <w:tabs>
          <w:tab w:val="clear" w:pos="720"/>
        </w:tabs>
        <w:rPr>
          <w:rFonts w:asciiTheme="minorHAnsi" w:hAnsiTheme="minorHAnsi" w:cs="Calibri"/>
          <w:szCs w:val="24"/>
        </w:rPr>
      </w:pPr>
      <w:r w:rsidRPr="00B450F1">
        <w:rPr>
          <w:rFonts w:asciiTheme="minorHAnsi" w:hAnsiTheme="minorHAnsi" w:cs="Calibri"/>
          <w:szCs w:val="24"/>
        </w:rPr>
        <w:t>Any unit taken on bar after any shut down, shall not be taken for reserve shut down for the next 72 hours.</w:t>
      </w:r>
    </w:p>
    <w:p w:rsidR="00337C98" w:rsidRPr="00B450F1" w:rsidRDefault="00150B6C" w:rsidP="00337C98">
      <w:pPr>
        <w:pStyle w:val="Heading3"/>
        <w:numPr>
          <w:ilvl w:val="0"/>
          <w:numId w:val="266"/>
        </w:numPr>
        <w:tabs>
          <w:tab w:val="clear" w:pos="720"/>
        </w:tabs>
        <w:rPr>
          <w:rFonts w:asciiTheme="minorHAnsi" w:hAnsiTheme="minorHAnsi" w:cs="Calibri"/>
          <w:szCs w:val="24"/>
        </w:rPr>
      </w:pPr>
      <w:r w:rsidRPr="00B450F1">
        <w:rPr>
          <w:rFonts w:asciiTheme="minorHAnsi" w:hAnsiTheme="minorHAnsi" w:cs="Calibri"/>
          <w:szCs w:val="24"/>
        </w:rPr>
        <w:t>At least one unit at each generating station shall be kept operational, unless the grid condition proh</w:t>
      </w:r>
      <w:r w:rsidR="00F21F53" w:rsidRPr="00B450F1">
        <w:rPr>
          <w:rFonts w:asciiTheme="minorHAnsi" w:hAnsiTheme="minorHAnsi" w:cs="Calibri"/>
          <w:szCs w:val="24"/>
        </w:rPr>
        <w:t xml:space="preserve">ibits the running of such units. (Clause 2 was subsequently stayed by the Commission vide its Order dated </w:t>
      </w:r>
      <w:r w:rsidR="005734CF" w:rsidRPr="00B450F1">
        <w:rPr>
          <w:rFonts w:asciiTheme="minorHAnsi" w:hAnsiTheme="minorHAnsi" w:cs="Calibri"/>
          <w:szCs w:val="24"/>
        </w:rPr>
        <w:t>July 4</w:t>
      </w:r>
      <w:r w:rsidR="00F21F53" w:rsidRPr="00B450F1">
        <w:rPr>
          <w:rFonts w:asciiTheme="minorHAnsi" w:hAnsiTheme="minorHAnsi" w:cs="Calibri"/>
          <w:szCs w:val="24"/>
        </w:rPr>
        <w:t>, 2016)</w:t>
      </w:r>
    </w:p>
    <w:p w:rsidR="00150B6C" w:rsidRPr="00B450F1" w:rsidRDefault="00150B6C" w:rsidP="00150B6C">
      <w:pPr>
        <w:pStyle w:val="Heading3"/>
        <w:numPr>
          <w:ilvl w:val="0"/>
          <w:numId w:val="0"/>
        </w:numPr>
        <w:tabs>
          <w:tab w:val="clear" w:pos="720"/>
          <w:tab w:val="num" w:pos="1701"/>
        </w:tabs>
        <w:ind w:left="1701"/>
        <w:rPr>
          <w:rFonts w:asciiTheme="minorHAnsi" w:hAnsiTheme="minorHAnsi" w:cs="Calibri"/>
          <w:szCs w:val="24"/>
        </w:rPr>
      </w:pPr>
      <w:r w:rsidRPr="00B450F1">
        <w:rPr>
          <w:rFonts w:asciiTheme="minorHAnsi" w:hAnsiTheme="minorHAnsi" w:cs="Calibri"/>
          <w:szCs w:val="24"/>
        </w:rPr>
        <w:t>Note: If the two machines are in the same merit order stack then the machine with lower start up time should be preferred.</w:t>
      </w:r>
    </w:p>
    <w:p w:rsidR="00337C98" w:rsidRDefault="00150B6C" w:rsidP="00337C98">
      <w:pPr>
        <w:pStyle w:val="Heading3"/>
        <w:numPr>
          <w:ilvl w:val="0"/>
          <w:numId w:val="259"/>
        </w:numPr>
        <w:tabs>
          <w:tab w:val="clear" w:pos="720"/>
        </w:tabs>
        <w:rPr>
          <w:rFonts w:asciiTheme="minorHAnsi" w:hAnsiTheme="minorHAnsi" w:cs="Calibri"/>
          <w:szCs w:val="24"/>
        </w:rPr>
      </w:pPr>
      <w:r w:rsidRPr="00B4374E">
        <w:rPr>
          <w:rFonts w:asciiTheme="minorHAnsi" w:hAnsiTheme="minorHAnsi" w:cs="Calibri"/>
          <w:szCs w:val="24"/>
        </w:rPr>
        <w:t>The generators who are not falling under MOD stack will have the option of foregoing some part of their fixed cost for which credit will be given in their variable cost and their position in MOD stack will be revised accordingly. This will help the generators in scheduling their generation on day to day basis under MOD as well as in reducing the overall Average Power Purchase Cost (APPC) which would benefit public at large.</w:t>
      </w:r>
    </w:p>
    <w:p w:rsidR="00337C98" w:rsidRDefault="00150B6C" w:rsidP="00337C98">
      <w:pPr>
        <w:pStyle w:val="Heading3"/>
        <w:numPr>
          <w:ilvl w:val="0"/>
          <w:numId w:val="259"/>
        </w:numPr>
        <w:tabs>
          <w:tab w:val="clear" w:pos="720"/>
        </w:tabs>
      </w:pPr>
      <w:r w:rsidRPr="006C568B">
        <w:rPr>
          <w:rFonts w:asciiTheme="minorHAnsi" w:hAnsiTheme="minorHAnsi" w:cs="Calibri"/>
          <w:szCs w:val="24"/>
        </w:rPr>
        <w:t>Further</w:t>
      </w:r>
      <w:r>
        <w:rPr>
          <w:rFonts w:asciiTheme="minorHAnsi" w:hAnsiTheme="minorHAnsi" w:cs="Calibri"/>
          <w:szCs w:val="24"/>
        </w:rPr>
        <w:t>,</w:t>
      </w:r>
      <w:r w:rsidRPr="006C568B">
        <w:rPr>
          <w:rFonts w:asciiTheme="minorHAnsi" w:hAnsiTheme="minorHAnsi" w:cs="Calibri"/>
          <w:szCs w:val="24"/>
        </w:rPr>
        <w:t xml:space="preserve"> the Commission </w:t>
      </w:r>
      <w:r>
        <w:rPr>
          <w:rFonts w:asciiTheme="minorHAnsi" w:hAnsiTheme="minorHAnsi" w:cs="Calibri"/>
          <w:szCs w:val="24"/>
        </w:rPr>
        <w:t xml:space="preserve">in the said Order directed </w:t>
      </w:r>
      <w:r w:rsidRPr="006C568B">
        <w:rPr>
          <w:rFonts w:asciiTheme="minorHAnsi" w:hAnsiTheme="minorHAnsi" w:cs="Calibri"/>
          <w:szCs w:val="24"/>
        </w:rPr>
        <w:t>UPSLDC to operationalise State Power Committee and prepare detailed procedures for scheduling and despatch in consultation with all stake holders and submit to the Commission within two months for consultation and approval.</w:t>
      </w:r>
    </w:p>
    <w:p w:rsidR="00337C98" w:rsidRDefault="00337C98" w:rsidP="00337C98">
      <w:pPr>
        <w:pStyle w:val="Heading2"/>
        <w:numPr>
          <w:ilvl w:val="0"/>
          <w:numId w:val="0"/>
        </w:numPr>
        <w:spacing w:line="276" w:lineRule="auto"/>
        <w:ind w:left="780"/>
        <w:rPr>
          <w:rFonts w:ascii="Calibri" w:hAnsi="Calibri"/>
        </w:rPr>
      </w:pPr>
    </w:p>
    <w:p w:rsidR="00D5771F" w:rsidRDefault="00E34329">
      <w:pPr>
        <w:pStyle w:val="Heading2"/>
        <w:spacing w:line="276" w:lineRule="auto"/>
        <w:rPr>
          <w:rFonts w:ascii="Calibri" w:hAnsi="Calibri"/>
        </w:rPr>
      </w:pPr>
      <w:bookmarkStart w:id="171" w:name="_Toc457603920"/>
      <w:r w:rsidRPr="00E34329">
        <w:rPr>
          <w:rFonts w:ascii="Calibri" w:hAnsi="Calibri"/>
        </w:rPr>
        <w:t>OTHER GENERAL ISSUES</w:t>
      </w:r>
      <w:bookmarkEnd w:id="170"/>
      <w:bookmarkEnd w:id="171"/>
    </w:p>
    <w:p w:rsidR="0026266F" w:rsidRPr="003D2C56" w:rsidRDefault="0026266F" w:rsidP="0026266F">
      <w:pPr>
        <w:pStyle w:val="Heading2"/>
        <w:numPr>
          <w:ilvl w:val="0"/>
          <w:numId w:val="0"/>
        </w:numPr>
        <w:spacing w:line="276" w:lineRule="auto"/>
        <w:ind w:left="780"/>
        <w:rPr>
          <w:rFonts w:ascii="Calibri" w:hAnsi="Calibri"/>
          <w:b w:val="0"/>
          <w:bCs w:val="0"/>
        </w:rPr>
      </w:pPr>
    </w:p>
    <w:p w:rsidR="0026266F" w:rsidRPr="003D2C56" w:rsidRDefault="00E34329" w:rsidP="0026266F">
      <w:pPr>
        <w:numPr>
          <w:ilvl w:val="0"/>
          <w:numId w:val="217"/>
        </w:numPr>
        <w:spacing w:before="0"/>
        <w:contextualSpacing/>
        <w:rPr>
          <w:b/>
          <w:i/>
        </w:rPr>
      </w:pPr>
      <w:r w:rsidRPr="00E34329">
        <w:rPr>
          <w:b/>
          <w:i/>
        </w:rPr>
        <w:t>Comments/Suggestions of the Public</w:t>
      </w:r>
    </w:p>
    <w:p w:rsidR="00D5771F" w:rsidRDefault="00E34329">
      <w:pPr>
        <w:pStyle w:val="Heading3"/>
        <w:tabs>
          <w:tab w:val="clear" w:pos="720"/>
          <w:tab w:val="left" w:pos="4860"/>
        </w:tabs>
        <w:ind w:left="993" w:hanging="993"/>
        <w:rPr>
          <w:szCs w:val="24"/>
        </w:rPr>
      </w:pPr>
      <w:r w:rsidRPr="00E34329">
        <w:rPr>
          <w:szCs w:val="24"/>
        </w:rPr>
        <w:t xml:space="preserve">Shri Avadhesh Kumar Verma, Chairman, U.P. Rajya Vidyut Upbhokta Parishad, submitted that the Licensees have collected Rs. 150 Crore as MD penalty and addition charges which are against the Commission’s Tariff Order. Stakeholder further submitted that Licensees have also collected Rs. 300 Crore by charging higher meter rent as compared to actual meter cost and Rs. 1000 Crore as system loading charges which was abolished in EA 2003.Stakeholder further requested the Commission to take strong action against Licensees for such unlawful activity. </w:t>
      </w:r>
    </w:p>
    <w:p w:rsidR="00D5771F" w:rsidRDefault="00E34329">
      <w:pPr>
        <w:pStyle w:val="Heading3"/>
        <w:tabs>
          <w:tab w:val="clear" w:pos="720"/>
          <w:tab w:val="left" w:pos="4860"/>
        </w:tabs>
        <w:ind w:left="993" w:hanging="993"/>
        <w:rPr>
          <w:szCs w:val="24"/>
        </w:rPr>
      </w:pPr>
      <w:r w:rsidRPr="00E34329">
        <w:rPr>
          <w:szCs w:val="24"/>
        </w:rPr>
        <w:lastRenderedPageBreak/>
        <w:t>Shri Vishnu Bhagwan Agarwal Chairman, Agra Chapter, ASSOCHAM, U.P and Ashok kumar Goyal President, National Chamber of Industries &amp;Commerce submitted RMU charges should be claimed only when the supply is made from 2 or more feeders. They further submitted that there should be simple interest on late payment and if there is any dispute the interest charge should be waived till decision on the Appeal.</w:t>
      </w:r>
    </w:p>
    <w:p w:rsidR="00D5771F" w:rsidRDefault="00E34329">
      <w:pPr>
        <w:pStyle w:val="Heading3"/>
        <w:tabs>
          <w:tab w:val="clear" w:pos="720"/>
          <w:tab w:val="left" w:pos="4860"/>
        </w:tabs>
        <w:ind w:left="993" w:hanging="993"/>
        <w:rPr>
          <w:szCs w:val="24"/>
        </w:rPr>
      </w:pPr>
      <w:r w:rsidRPr="00E34329">
        <w:rPr>
          <w:szCs w:val="24"/>
        </w:rPr>
        <w:t>Associate Chambers of Commerce &amp; Industries of U. P. suggested the provisions for holding of periodically Jan Adalat at each Distt. Headquarters chaired by concerned Supdtt. Engineer at least once in a month on a particular day of each month on the pattern of Tehsil Divas be incorporated in general provisions of the tariff and similarly on quarterly basis chaired by chief Engineer (Distribution) in each of the district head quarter under jurisdiction of related zonal office. There may be provisions for periodical meetings at MD office level with Association/ chambers /organizations. There may be forum constituted under the general provision of Tariff to hear &amp; decide clarifications in regard to certain provisions.</w:t>
      </w:r>
    </w:p>
    <w:p w:rsidR="00D5771F" w:rsidRDefault="00E34329">
      <w:pPr>
        <w:pStyle w:val="Heading3"/>
        <w:tabs>
          <w:tab w:val="clear" w:pos="720"/>
          <w:tab w:val="left" w:pos="4860"/>
        </w:tabs>
        <w:ind w:left="993" w:hanging="993"/>
        <w:rPr>
          <w:szCs w:val="24"/>
        </w:rPr>
      </w:pPr>
      <w:r w:rsidRPr="00E34329">
        <w:rPr>
          <w:szCs w:val="24"/>
        </w:rPr>
        <w:t>Shri K. L. Aggarwal chairman Associate Chambers of Commerce &amp; Industries of U. P submitted that a committee be constituted at UPERC level to avoid wastage of un-necessary &amp; un-productive time, energy and money by the Discoms. It is further submitted that finding of report regard to power purchase (higher price instead of purchasing from exchanges) to be made available in public. It is also required to make public the methodology by which line losses on account of approx. 53 lacs un-metered consumers are calculated &amp; taken into account in the ARR of Discoms. The report in regard to un-metered consumers may be made available in public to control &amp; check the line losses. Further, strict target of time period be fixed for the Discoms to complete 100% metering.</w:t>
      </w:r>
    </w:p>
    <w:p w:rsidR="00D5771F" w:rsidRDefault="00E34329">
      <w:pPr>
        <w:pStyle w:val="Heading3"/>
        <w:tabs>
          <w:tab w:val="clear" w:pos="720"/>
          <w:tab w:val="left" w:pos="4860"/>
        </w:tabs>
        <w:ind w:left="993" w:hanging="993"/>
        <w:rPr>
          <w:szCs w:val="24"/>
        </w:rPr>
      </w:pPr>
      <w:r w:rsidRPr="00E34329">
        <w:rPr>
          <w:szCs w:val="24"/>
        </w:rPr>
        <w:t xml:space="preserve">Shri K. L. Aggarwal chairman Associate Chambers of Commerce &amp; Industries of U. P submitted that tariff and non-tariff items are specifically clarified in the ensuing Tariff Order to have more transparency. </w:t>
      </w:r>
    </w:p>
    <w:p w:rsidR="00D5771F" w:rsidRDefault="00E34329">
      <w:pPr>
        <w:pStyle w:val="Heading3"/>
        <w:tabs>
          <w:tab w:val="clear" w:pos="720"/>
          <w:tab w:val="left" w:pos="4860"/>
        </w:tabs>
        <w:ind w:left="993" w:hanging="993"/>
        <w:rPr>
          <w:szCs w:val="24"/>
        </w:rPr>
      </w:pPr>
      <w:r w:rsidRPr="00E34329">
        <w:rPr>
          <w:szCs w:val="24"/>
        </w:rPr>
        <w:t>Shri K. L. Aggarwal chairman Associate Chambers of Commerce &amp; Industries of U. P sought clarification regarding new connection for categories having load above 50 kW in general provisions.</w:t>
      </w:r>
    </w:p>
    <w:p w:rsidR="00D5771F" w:rsidRDefault="00E34329">
      <w:pPr>
        <w:pStyle w:val="Heading3"/>
        <w:tabs>
          <w:tab w:val="clear" w:pos="720"/>
          <w:tab w:val="left" w:pos="4860"/>
        </w:tabs>
        <w:ind w:left="993" w:hanging="993"/>
        <w:rPr>
          <w:szCs w:val="24"/>
        </w:rPr>
      </w:pPr>
      <w:r w:rsidRPr="00E34329">
        <w:rPr>
          <w:szCs w:val="24"/>
        </w:rPr>
        <w:t xml:space="preserve"> Shri K. L. Aggarwal chairman Associate Chambers of Commerce &amp; Industries of U. P sought clarification on rebate on payment on or before due date i.e. Point No. 17 under general provisions. Demand of LPS amount chargeable on the last month’s energy bill raised /added for the first time in the current bill of the consumers, all </w:t>
      </w:r>
      <w:r w:rsidRPr="00E34329">
        <w:rPr>
          <w:szCs w:val="24"/>
        </w:rPr>
        <w:lastRenderedPageBreak/>
        <w:t>cannot be treated or termed as an arrear &amp; accordingly such consumer cannot be denied for the benefit of rebate in case the relative consumer make the payment of current bill on or before due date.</w:t>
      </w:r>
    </w:p>
    <w:p w:rsidR="00D5771F" w:rsidRDefault="00E34329">
      <w:pPr>
        <w:pStyle w:val="Heading3"/>
        <w:tabs>
          <w:tab w:val="clear" w:pos="720"/>
          <w:tab w:val="left" w:pos="4860"/>
        </w:tabs>
        <w:ind w:left="993" w:hanging="993"/>
        <w:rPr>
          <w:szCs w:val="24"/>
        </w:rPr>
      </w:pPr>
      <w:r w:rsidRPr="00E34329">
        <w:rPr>
          <w:szCs w:val="24"/>
        </w:rPr>
        <w:t>Shri Sudhir Chandra Goyal M/s Khatauli Cold Storage submitted that clarification is required for general provision no. 12 “Option of migration to HV-1 &amp; HV-2 category”  regarding  on payment of charges prescribed in cost data book creates confusion and should be deleted.</w:t>
      </w:r>
    </w:p>
    <w:p w:rsidR="00D5771F" w:rsidRDefault="00E34329">
      <w:pPr>
        <w:pStyle w:val="Heading3"/>
        <w:tabs>
          <w:tab w:val="clear" w:pos="720"/>
          <w:tab w:val="left" w:pos="4860"/>
        </w:tabs>
        <w:ind w:left="993" w:hanging="993"/>
        <w:rPr>
          <w:szCs w:val="24"/>
        </w:rPr>
      </w:pPr>
      <w:r w:rsidRPr="00E34329">
        <w:rPr>
          <w:szCs w:val="24"/>
        </w:rPr>
        <w:t>Shri K. L. Aggarwal chairman Associate Chambers of Commerce &amp; Industries of U. P submitted, the Licensees have proposed to bear the transaction charges for bill payment up to Rs. 400 but the software installed is not supporting the same. The transaction charges are debited from the consumers account.</w:t>
      </w:r>
    </w:p>
    <w:p w:rsidR="00D5771F" w:rsidRDefault="00E34329">
      <w:pPr>
        <w:pStyle w:val="Heading3"/>
        <w:tabs>
          <w:tab w:val="clear" w:pos="720"/>
          <w:tab w:val="left" w:pos="4860"/>
        </w:tabs>
        <w:ind w:left="993" w:hanging="993"/>
        <w:rPr>
          <w:szCs w:val="24"/>
        </w:rPr>
      </w:pPr>
      <w:r w:rsidRPr="00E34329">
        <w:rPr>
          <w:szCs w:val="24"/>
        </w:rPr>
        <w:t>Shri Vishnu Bhagwan Agarwal Chairman, Agra Chapter, ASSOCHAM, U.P. Ashok kumar Goyal President, National Chamber of Industries &amp; Commerce submitted that purchase and sale of all Capital Assets should be through open and transparent tendering system.</w:t>
      </w:r>
    </w:p>
    <w:p w:rsidR="00D5771F" w:rsidRDefault="00E34329">
      <w:pPr>
        <w:pStyle w:val="Heading3"/>
        <w:tabs>
          <w:tab w:val="clear" w:pos="720"/>
          <w:tab w:val="left" w:pos="4860"/>
        </w:tabs>
        <w:ind w:left="993" w:hanging="993"/>
        <w:rPr>
          <w:szCs w:val="24"/>
        </w:rPr>
      </w:pPr>
      <w:r w:rsidRPr="00E34329">
        <w:rPr>
          <w:szCs w:val="24"/>
        </w:rPr>
        <w:t>Uttar Pradesh Vyapar Mandal Aligarh specified following points which are necessary for better efficiency &amp; Transparency:</w:t>
      </w:r>
    </w:p>
    <w:p w:rsidR="0026266F" w:rsidRPr="003D2C56" w:rsidRDefault="00E34329" w:rsidP="0026266F">
      <w:pPr>
        <w:pStyle w:val="ListParagraph"/>
        <w:numPr>
          <w:ilvl w:val="0"/>
          <w:numId w:val="218"/>
        </w:numPr>
        <w:spacing w:before="0" w:after="200"/>
        <w:contextualSpacing/>
        <w:rPr>
          <w:rFonts w:cs="Calibri"/>
        </w:rPr>
      </w:pPr>
      <w:r w:rsidRPr="00E34329">
        <w:rPr>
          <w:rFonts w:cs="Calibri"/>
          <w:color w:val="000000"/>
        </w:rPr>
        <w:t>As meter reading is outsourced, so Identified defective (IDF) &amp; Appeared defective (ADF) bills should not be send to consumers.</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If consumer send request for disconnection then date of receiving should be considered as the date of disconnection</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Maintaining power factor is the responsibility of Licensee, no penalty has to be imposed on consumer. Earlier, there was a provision of power rebate but same has been abolished while the provision of charging power factor penalty is kept as it is.</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There must be provision for penalty to Discoms for Non-compliance of direction of the Commission.</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If any consumer wants to enhance load by self declaration, the same should be accepted immediately.</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Places where line losses are more, prepaid meter should be installed.</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At the time of new connection, Full cost of meter is charged from the consumer. When meter becomes defective then again consumer is asked to pay the full cost of the meter which is not justified and at the time of disconnection meter (which is the property of consumer) should be handed over to consumer or cost of meter should be paid to consumer in case meter is kept by Discoms.</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lastRenderedPageBreak/>
        <w:t xml:space="preserve">Bill format should be simple and clear. </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Charging three times in case of excess demand is not logical since at 11kV all the equipments are of consumer and any damage due to excess demand is of consumer only.</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If all the equipment in consumer premises is at the cost of consumer, no penalty on exceeding demand should be levied.</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Solar energy may be connected with GRID.</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There must be rules for improving collection so that cost of electricity reduces over the period of time.</w:t>
      </w:r>
    </w:p>
    <w:p w:rsidR="0026266F" w:rsidRPr="003D2C56" w:rsidRDefault="00E34329" w:rsidP="0026266F">
      <w:pPr>
        <w:pStyle w:val="ListParagraph"/>
        <w:numPr>
          <w:ilvl w:val="0"/>
          <w:numId w:val="218"/>
        </w:numPr>
        <w:spacing w:before="0" w:after="200"/>
        <w:contextualSpacing/>
        <w:rPr>
          <w:rFonts w:cs="Calibri"/>
        </w:rPr>
      </w:pPr>
      <w:r w:rsidRPr="00E34329">
        <w:rPr>
          <w:rFonts w:cs="Calibri"/>
        </w:rPr>
        <w:t xml:space="preserve">Licensees should collect the due payments from the govt. offices and big consumers. </w:t>
      </w:r>
    </w:p>
    <w:p w:rsidR="00D5771F" w:rsidRDefault="00E34329">
      <w:pPr>
        <w:pStyle w:val="Heading3"/>
        <w:tabs>
          <w:tab w:val="clear" w:pos="720"/>
          <w:tab w:val="left" w:pos="4860"/>
        </w:tabs>
        <w:ind w:left="993" w:hanging="993"/>
        <w:rPr>
          <w:szCs w:val="24"/>
        </w:rPr>
      </w:pPr>
      <w:r w:rsidRPr="00E34329">
        <w:rPr>
          <w:szCs w:val="24"/>
        </w:rPr>
        <w:t>Shri Vishnu Bhagwan Agarwal Chairman, Agra Chapter, ASSOCHAM, U.P and Ashok kumar Goyal President, National Chamber of Industries &amp; Commerce submitted that the industrial consumers may be allowed to make bulk purchase of electricity based on their annual /periodical requirement and credit the same to the account of Discoms. They further submitted that the said amount of electricity may be supplied after adding permitted transmission charges so that the consumers may get benefit of market rate of supply of electricity.</w:t>
      </w:r>
    </w:p>
    <w:p w:rsidR="00D5771F" w:rsidRDefault="00E34329">
      <w:pPr>
        <w:pStyle w:val="Heading3"/>
        <w:tabs>
          <w:tab w:val="clear" w:pos="720"/>
          <w:tab w:val="left" w:pos="4860"/>
        </w:tabs>
        <w:ind w:left="993" w:hanging="993"/>
        <w:rPr>
          <w:szCs w:val="24"/>
        </w:rPr>
      </w:pPr>
      <w:r w:rsidRPr="00E34329">
        <w:rPr>
          <w:szCs w:val="24"/>
        </w:rPr>
        <w:t>Shri O.P. Rathi, Chairman Uttar Pradesh Udyog Vyapar Pratinidhi Mandal Aligarh submitted that senior officers of Discoms should hear the complaints of consumers by publishing the date of meeting in the newspaper every month. It is further submitted that one copy of complain should be send to Executive Engineer and also deliberation of proceedings to be followed in the last week of the  month in the presence of complainant, Executive Engineer and dignitaries .</w:t>
      </w:r>
    </w:p>
    <w:p w:rsidR="00D5771F" w:rsidRDefault="00E34329">
      <w:pPr>
        <w:pStyle w:val="Heading3"/>
        <w:tabs>
          <w:tab w:val="clear" w:pos="720"/>
          <w:tab w:val="left" w:pos="4860"/>
        </w:tabs>
        <w:ind w:left="993" w:hanging="993"/>
        <w:rPr>
          <w:szCs w:val="24"/>
        </w:rPr>
      </w:pPr>
      <w:r w:rsidRPr="00E34329">
        <w:rPr>
          <w:szCs w:val="24"/>
        </w:rPr>
        <w:t xml:space="preserve">Shri Sabir Hashami, Chairman Aam Janata Society submitted that the Discom has enhanced connected load from 1 kW </w:t>
      </w:r>
      <w:r w:rsidR="001745C9">
        <w:rPr>
          <w:szCs w:val="24"/>
        </w:rPr>
        <w:t xml:space="preserve">to </w:t>
      </w:r>
      <w:r w:rsidRPr="00E34329">
        <w:rPr>
          <w:szCs w:val="24"/>
        </w:rPr>
        <w:t>2 kW without any investigation. It is further submitted that proper investigation of connected load may be made by third party. It is submitted that there should be minimum limit of connected load as 1/2 kW for commercial consumers having small shops.</w:t>
      </w:r>
    </w:p>
    <w:p w:rsidR="00D5771F" w:rsidRDefault="00E34329">
      <w:pPr>
        <w:pStyle w:val="Heading3"/>
        <w:tabs>
          <w:tab w:val="clear" w:pos="720"/>
          <w:tab w:val="left" w:pos="4860"/>
        </w:tabs>
        <w:ind w:left="993" w:hanging="993"/>
        <w:rPr>
          <w:szCs w:val="24"/>
        </w:rPr>
      </w:pPr>
      <w:r w:rsidRPr="00E34329">
        <w:rPr>
          <w:szCs w:val="24"/>
        </w:rPr>
        <w:t xml:space="preserve">Shri Rama Shanker Awasthi submitted that as per Section 23 of EA 2003 the Commission is empowered to impose scheduled power cut in the State. It seems that Commission never imposed scheduled power cut. The Licensees illegally imposed protective load surcharge on the consumers for using electricity during </w:t>
      </w:r>
      <w:r w:rsidRPr="00E34329">
        <w:rPr>
          <w:szCs w:val="24"/>
        </w:rPr>
        <w:lastRenderedPageBreak/>
        <w:t>unscheduled power cut. In fact levy of protective load surcharge is dependent upon imposition of scheduled power cut by the Commission.</w:t>
      </w:r>
    </w:p>
    <w:p w:rsidR="00337C98" w:rsidRDefault="00337C98" w:rsidP="00337C98">
      <w:pPr>
        <w:pStyle w:val="Heading3"/>
        <w:numPr>
          <w:ilvl w:val="0"/>
          <w:numId w:val="0"/>
        </w:numPr>
        <w:tabs>
          <w:tab w:val="clear" w:pos="720"/>
          <w:tab w:val="left" w:pos="4860"/>
        </w:tabs>
        <w:ind w:left="993"/>
        <w:rPr>
          <w:szCs w:val="24"/>
        </w:rPr>
      </w:pPr>
    </w:p>
    <w:p w:rsidR="0026266F" w:rsidRPr="003D2C56" w:rsidRDefault="00E34329" w:rsidP="0026266F">
      <w:pPr>
        <w:numPr>
          <w:ilvl w:val="0"/>
          <w:numId w:val="217"/>
        </w:numPr>
        <w:spacing w:before="0"/>
        <w:contextualSpacing/>
        <w:rPr>
          <w:rFonts w:cs="Calibri"/>
          <w:b/>
          <w:bCs/>
          <w:i/>
          <w:iCs/>
        </w:rPr>
      </w:pPr>
      <w:r w:rsidRPr="00E34329">
        <w:rPr>
          <w:rFonts w:cs="Calibri"/>
          <w:b/>
          <w:bCs/>
          <w:i/>
          <w:iCs/>
        </w:rPr>
        <w:t>Petitioner’s Response</w:t>
      </w:r>
    </w:p>
    <w:p w:rsidR="00D5771F" w:rsidRDefault="00E34329">
      <w:pPr>
        <w:pStyle w:val="Heading3"/>
        <w:tabs>
          <w:tab w:val="clear" w:pos="720"/>
          <w:tab w:val="left" w:pos="4860"/>
        </w:tabs>
        <w:ind w:left="993" w:hanging="993"/>
        <w:rPr>
          <w:szCs w:val="24"/>
        </w:rPr>
      </w:pPr>
      <w:r w:rsidRPr="00E34329">
        <w:rPr>
          <w:bCs w:val="0"/>
          <w:szCs w:val="24"/>
        </w:rPr>
        <w:t>A state advisory committee has already been appointed which comprises of various representatives from the fields of industry, Media, Consumer association, Government etc.</w:t>
      </w:r>
    </w:p>
    <w:p w:rsidR="00D5771F" w:rsidRDefault="00E34329">
      <w:pPr>
        <w:pStyle w:val="Heading3"/>
        <w:tabs>
          <w:tab w:val="clear" w:pos="720"/>
          <w:tab w:val="left" w:pos="4860"/>
        </w:tabs>
        <w:ind w:left="993" w:hanging="993"/>
        <w:rPr>
          <w:szCs w:val="24"/>
        </w:rPr>
      </w:pPr>
      <w:r w:rsidRPr="00E34329">
        <w:rPr>
          <w:szCs w:val="24"/>
        </w:rPr>
        <w:t>The commercial data has been submitted in the load forecast model submitted along with the Tariff Petition.</w:t>
      </w:r>
    </w:p>
    <w:p w:rsidR="00D5771F" w:rsidRDefault="00E34329">
      <w:pPr>
        <w:pStyle w:val="Heading3"/>
        <w:tabs>
          <w:tab w:val="clear" w:pos="720"/>
          <w:tab w:val="left" w:pos="4860"/>
        </w:tabs>
        <w:ind w:left="993" w:hanging="993"/>
        <w:rPr>
          <w:szCs w:val="24"/>
        </w:rPr>
      </w:pPr>
      <w:r w:rsidRPr="00E34329">
        <w:rPr>
          <w:szCs w:val="24"/>
        </w:rPr>
        <w:t>The appointment of the CGRF is done by the Commission.</w:t>
      </w:r>
    </w:p>
    <w:p w:rsidR="00D5771F" w:rsidRDefault="00E34329">
      <w:pPr>
        <w:pStyle w:val="Heading3"/>
        <w:tabs>
          <w:tab w:val="clear" w:pos="720"/>
          <w:tab w:val="left" w:pos="4860"/>
        </w:tabs>
        <w:ind w:left="993" w:hanging="993"/>
        <w:rPr>
          <w:szCs w:val="24"/>
        </w:rPr>
      </w:pPr>
      <w:r w:rsidRPr="00E34329">
        <w:rPr>
          <w:szCs w:val="24"/>
        </w:rPr>
        <w:t>Regarding provision for holding periodically Jan Adalat, Meetings at MD level with association, the Licensee has submitted that the Commission may take suitable view in this regards as it deems fit.</w:t>
      </w:r>
    </w:p>
    <w:p w:rsidR="0026266F" w:rsidRPr="003D2C56" w:rsidRDefault="0026266F" w:rsidP="0026266F">
      <w:pPr>
        <w:pStyle w:val="Heading3"/>
        <w:numPr>
          <w:ilvl w:val="0"/>
          <w:numId w:val="0"/>
        </w:numPr>
        <w:tabs>
          <w:tab w:val="clear" w:pos="720"/>
          <w:tab w:val="left" w:pos="4860"/>
        </w:tabs>
        <w:ind w:left="993"/>
        <w:rPr>
          <w:bCs w:val="0"/>
          <w:szCs w:val="24"/>
        </w:rPr>
      </w:pPr>
    </w:p>
    <w:p w:rsidR="0026266F" w:rsidRPr="003D2C56" w:rsidRDefault="00E34329" w:rsidP="0026266F">
      <w:pPr>
        <w:pStyle w:val="ListParagraph"/>
        <w:numPr>
          <w:ilvl w:val="0"/>
          <w:numId w:val="217"/>
        </w:numPr>
        <w:tabs>
          <w:tab w:val="left" w:pos="1980"/>
        </w:tabs>
        <w:spacing w:before="0"/>
        <w:contextualSpacing/>
        <w:rPr>
          <w:b/>
          <w:i/>
        </w:rPr>
      </w:pPr>
      <w:r w:rsidRPr="00E34329">
        <w:rPr>
          <w:b/>
          <w:i/>
        </w:rPr>
        <w:t>The Commission’s view:</w:t>
      </w:r>
    </w:p>
    <w:p w:rsidR="00D5771F" w:rsidRDefault="00E34329">
      <w:pPr>
        <w:pStyle w:val="Heading3"/>
        <w:tabs>
          <w:tab w:val="clear" w:pos="720"/>
          <w:tab w:val="left" w:pos="4860"/>
        </w:tabs>
        <w:ind w:left="993" w:hanging="993"/>
        <w:rPr>
          <w:rFonts w:asciiTheme="minorHAnsi" w:hAnsiTheme="minorHAnsi"/>
          <w:szCs w:val="24"/>
        </w:rPr>
      </w:pPr>
      <w:r w:rsidRPr="00E34329">
        <w:rPr>
          <w:szCs w:val="24"/>
        </w:rPr>
        <w:t>The Commission has taken note of issues raised by the stakeholders and has addressed the issues related to Truing Up for FY 2013-14, ARR for FY 2016-17 and tariff design for FY 2016-17 in the relevant sections of this Order.</w:t>
      </w:r>
    </w:p>
    <w:p w:rsidR="00E763BE" w:rsidRPr="00C60AD1" w:rsidRDefault="00E763BE" w:rsidP="00C60AD1">
      <w:pPr>
        <w:spacing w:before="0" w:line="240" w:lineRule="auto"/>
        <w:jc w:val="left"/>
      </w:pPr>
    </w:p>
    <w:p w:rsidR="00D5771F" w:rsidRDefault="00E763BE">
      <w:pPr>
        <w:pStyle w:val="Heading3"/>
        <w:keepNext/>
        <w:keepLines/>
        <w:numPr>
          <w:ilvl w:val="0"/>
          <w:numId w:val="0"/>
        </w:numPr>
        <w:tabs>
          <w:tab w:val="clear" w:pos="720"/>
        </w:tabs>
        <w:spacing w:before="200"/>
        <w:rPr>
          <w:b/>
          <w:bCs w:val="0"/>
          <w:caps/>
          <w:kern w:val="32"/>
          <w:szCs w:val="32"/>
        </w:rPr>
      </w:pPr>
      <w:r w:rsidRPr="00C60AD1">
        <w:br w:type="page"/>
      </w:r>
    </w:p>
    <w:p w:rsidR="003147B8" w:rsidRPr="00FA4684" w:rsidRDefault="00E34329" w:rsidP="00C60AD1">
      <w:pPr>
        <w:pStyle w:val="Heading1"/>
      </w:pPr>
      <w:bookmarkStart w:id="172" w:name="_Toc457603921"/>
      <w:r w:rsidRPr="00E34329">
        <w:lastRenderedPageBreak/>
        <w:t>TRUING UP OF AGGREGATE REVENUE REQUIREMENT FOR FY 20</w:t>
      </w:r>
      <w:bookmarkEnd w:id="0"/>
      <w:r w:rsidRPr="00E34329">
        <w:t>13-14</w:t>
      </w:r>
      <w:bookmarkEnd w:id="172"/>
    </w:p>
    <w:p w:rsidR="006B17F5" w:rsidRPr="00FA4684" w:rsidRDefault="00E34329" w:rsidP="00C60AD1">
      <w:pPr>
        <w:pStyle w:val="Heading2"/>
        <w:numPr>
          <w:ilvl w:val="1"/>
          <w:numId w:val="33"/>
        </w:numPr>
        <w:rPr>
          <w:rFonts w:ascii="Calibri" w:hAnsi="Calibri" w:cs="Calibri"/>
          <w:szCs w:val="26"/>
          <w:lang w:val="en-US"/>
        </w:rPr>
      </w:pPr>
      <w:bookmarkStart w:id="173" w:name="_Toc457603922"/>
      <w:r w:rsidRPr="00E34329">
        <w:rPr>
          <w:rFonts w:ascii="Calibri" w:hAnsi="Calibri" w:cs="Calibri"/>
          <w:szCs w:val="26"/>
          <w:lang w:val="en-US"/>
        </w:rPr>
        <w:t>INTRODUCTION</w:t>
      </w:r>
      <w:bookmarkEnd w:id="173"/>
    </w:p>
    <w:p w:rsidR="003147B8" w:rsidRPr="00FA4684" w:rsidRDefault="00E34329" w:rsidP="00C60AD1">
      <w:pPr>
        <w:pStyle w:val="Heading3"/>
        <w:tabs>
          <w:tab w:val="clear" w:pos="720"/>
          <w:tab w:val="num" w:pos="993"/>
        </w:tabs>
        <w:ind w:left="993" w:hanging="993"/>
      </w:pPr>
      <w:r w:rsidRPr="00E34329">
        <w:t xml:space="preserve">The Petitioner has sought the final truing up of expenditure and revenue for FY 2013-14 based on actual expenditure and revenue as per audited accounts. In this section, the Commission has analysed all the elements of actual revenue and expenses for FY 2013-14 and has undertaken the truing up of expenses and revenue after prudence check on the data made available by the Petitioner. </w:t>
      </w:r>
    </w:p>
    <w:p w:rsidR="008B0C65" w:rsidRPr="00FA4684" w:rsidRDefault="008B0C65" w:rsidP="008B0C65">
      <w:pPr>
        <w:pStyle w:val="Heading3"/>
        <w:numPr>
          <w:ilvl w:val="0"/>
          <w:numId w:val="0"/>
        </w:numPr>
        <w:tabs>
          <w:tab w:val="clear" w:pos="720"/>
        </w:tabs>
        <w:ind w:left="993"/>
      </w:pPr>
    </w:p>
    <w:p w:rsidR="003147B8" w:rsidRPr="00FA4684" w:rsidRDefault="00E34329" w:rsidP="00C60AD1">
      <w:pPr>
        <w:pStyle w:val="Heading2"/>
        <w:rPr>
          <w:rFonts w:ascii="Calibri" w:hAnsi="Calibri" w:cs="Calibri"/>
          <w:szCs w:val="26"/>
          <w:lang w:val="en-US"/>
        </w:rPr>
      </w:pPr>
      <w:bookmarkStart w:id="174" w:name="_Toc356912997"/>
      <w:bookmarkStart w:id="175" w:name="_Toc457603923"/>
      <w:r w:rsidRPr="00E34329">
        <w:rPr>
          <w:rFonts w:ascii="Calibri" w:hAnsi="Calibri" w:cs="Calibri"/>
          <w:szCs w:val="26"/>
          <w:lang w:val="en-US"/>
        </w:rPr>
        <w:t>POWER PURCHASE EXPENSES</w:t>
      </w:r>
      <w:bookmarkEnd w:id="174"/>
      <w:bookmarkEnd w:id="175"/>
    </w:p>
    <w:p w:rsidR="003147B8" w:rsidRPr="00FA4684" w:rsidRDefault="00E34329" w:rsidP="00C60AD1">
      <w:pPr>
        <w:pStyle w:val="Heading3"/>
        <w:tabs>
          <w:tab w:val="clear" w:pos="720"/>
          <w:tab w:val="num" w:pos="993"/>
        </w:tabs>
        <w:ind w:left="993" w:hanging="993"/>
      </w:pPr>
      <w:r w:rsidRPr="00E34329">
        <w:t xml:space="preserve">The Commission, in the Tariff Order for FY 2013-14, had approved the power purchase quantum of 84,632.00 MU and total power purchase expenses of Rs. 31,456.00 Crore at UPPCL level. The Petitioner, in its True-up Petition, has submitted that the actual power purchase expenses for FY 2013-14 are Rs. 33,233.64 Crore towards power procurement of 84,251.84 MU at UPPCL level. </w:t>
      </w:r>
    </w:p>
    <w:p w:rsidR="003147B8" w:rsidRPr="00FA4684" w:rsidRDefault="00E34329" w:rsidP="00C60AD1">
      <w:pPr>
        <w:pStyle w:val="Heading3"/>
        <w:tabs>
          <w:tab w:val="clear" w:pos="720"/>
          <w:tab w:val="num" w:pos="993"/>
        </w:tabs>
        <w:ind w:left="993" w:hanging="993"/>
      </w:pPr>
      <w:r w:rsidRPr="00E34329">
        <w:t xml:space="preserve">The Petitioner submitted that it has considered the following philosophy for computing the allowable power purchase cost: </w:t>
      </w:r>
    </w:p>
    <w:p w:rsidR="003147B8" w:rsidRPr="00FA4684" w:rsidRDefault="00E34329" w:rsidP="00C60AD1">
      <w:pPr>
        <w:pStyle w:val="Heading3"/>
        <w:numPr>
          <w:ilvl w:val="2"/>
          <w:numId w:val="10"/>
        </w:numPr>
        <w:tabs>
          <w:tab w:val="clear" w:pos="720"/>
          <w:tab w:val="clear" w:pos="936"/>
          <w:tab w:val="num" w:pos="1350"/>
        </w:tabs>
        <w:ind w:left="1440" w:hanging="306"/>
      </w:pPr>
      <w:r w:rsidRPr="00E34329">
        <w:t>The allowable power purchase input has been calculated by grossing up the actual energy received at the Discom end by the approved / actual transmission losses, whichever is lower.</w:t>
      </w:r>
    </w:p>
    <w:p w:rsidR="003147B8" w:rsidRPr="00FA4684" w:rsidRDefault="00E34329" w:rsidP="00C60AD1">
      <w:pPr>
        <w:pStyle w:val="Heading3"/>
        <w:numPr>
          <w:ilvl w:val="2"/>
          <w:numId w:val="10"/>
        </w:numPr>
        <w:tabs>
          <w:tab w:val="clear" w:pos="720"/>
          <w:tab w:val="clear" w:pos="936"/>
          <w:tab w:val="num" w:pos="1350"/>
        </w:tabs>
        <w:ind w:left="1440" w:hanging="306"/>
      </w:pPr>
      <w:r w:rsidRPr="00E34329">
        <w:t xml:space="preserve">The allowable power purchase cost has been computed by multiplying the </w:t>
      </w:r>
      <w:r w:rsidRPr="00E34329">
        <w:rPr>
          <w:rFonts w:cs="Calibri"/>
          <w:lang w:eastAsia="es-ES"/>
        </w:rPr>
        <w:t>revised bulk supply Tariff with allowable power purchase input to derive the allowable power purchase cost for truing up.</w:t>
      </w:r>
    </w:p>
    <w:p w:rsidR="003147B8" w:rsidRPr="00E0115C" w:rsidRDefault="00E34329" w:rsidP="00C60AD1">
      <w:pPr>
        <w:pStyle w:val="Heading3"/>
        <w:tabs>
          <w:tab w:val="clear" w:pos="720"/>
          <w:tab w:val="num" w:pos="993"/>
        </w:tabs>
        <w:ind w:left="993" w:hanging="993"/>
        <w:rPr>
          <w:rFonts w:asciiTheme="minorHAnsi" w:hAnsiTheme="minorHAnsi"/>
        </w:rPr>
      </w:pPr>
      <w:r w:rsidRPr="00E34329">
        <w:t>As per the above philosophy, the Bulk Supply Tariff as worked out by the Petitioner is shown in the Table below:</w:t>
      </w:r>
    </w:p>
    <w:p w:rsidR="00FA3863" w:rsidRPr="00E0115C" w:rsidRDefault="00E34329" w:rsidP="00C60AD1">
      <w:pPr>
        <w:tabs>
          <w:tab w:val="left" w:pos="2113"/>
        </w:tabs>
        <w:spacing w:before="0"/>
        <w:rPr>
          <w:rFonts w:asciiTheme="minorHAnsi" w:hAnsiTheme="minorHAnsi" w:cs="Calibri"/>
          <w:b/>
          <w:sz w:val="22"/>
          <w:szCs w:val="22"/>
          <w:lang w:val="en-US"/>
        </w:rPr>
      </w:pPr>
      <w:r w:rsidRPr="00E34329">
        <w:rPr>
          <w:rFonts w:asciiTheme="minorHAnsi" w:hAnsiTheme="minorHAnsi" w:cs="Calibri"/>
          <w:b/>
          <w:sz w:val="22"/>
          <w:szCs w:val="22"/>
          <w:lang w:val="en-US"/>
        </w:rPr>
        <w:tab/>
      </w:r>
    </w:p>
    <w:p w:rsidR="003147B8" w:rsidRPr="00E0115C" w:rsidRDefault="00E34329" w:rsidP="00C60AD1">
      <w:pPr>
        <w:spacing w:before="0"/>
        <w:jc w:val="center"/>
        <w:rPr>
          <w:rFonts w:asciiTheme="minorHAnsi" w:hAnsiTheme="minorHAnsi"/>
          <w:sz w:val="22"/>
          <w:szCs w:val="22"/>
          <w:lang w:val="en-US"/>
        </w:rPr>
      </w:pPr>
      <w:bookmarkStart w:id="176" w:name="_Toc457603993"/>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BULK SUPPLY TARIFF AS COMPUTED BY THE PETITIONER FOR FY 2013-14</w:t>
      </w:r>
      <w:bookmarkEnd w:id="176"/>
    </w:p>
    <w:tbl>
      <w:tblPr>
        <w:tblW w:w="407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44"/>
        <w:gridCol w:w="930"/>
        <w:gridCol w:w="2079"/>
      </w:tblGrid>
      <w:tr w:rsidR="005F1B9A" w:rsidRPr="00680AFE" w:rsidTr="0088339D">
        <w:trPr>
          <w:trHeight w:val="378"/>
          <w:tblHeader/>
          <w:jc w:val="center"/>
        </w:trPr>
        <w:tc>
          <w:tcPr>
            <w:tcW w:w="3059" w:type="pct"/>
            <w:shd w:val="clear" w:color="auto" w:fill="DBE5F1" w:themeFill="accent1" w:themeFillTint="33"/>
            <w:hideMark/>
          </w:tcPr>
          <w:p w:rsidR="00F70DA9" w:rsidRPr="00680AFE" w:rsidRDefault="00337C98" w:rsidP="00FA4684">
            <w:pPr>
              <w:tabs>
                <w:tab w:val="left" w:pos="1260"/>
              </w:tabs>
              <w:spacing w:before="0" w:line="240" w:lineRule="auto"/>
              <w:jc w:val="center"/>
              <w:rPr>
                <w:rFonts w:asciiTheme="minorHAnsi" w:hAnsiTheme="minorHAnsi" w:cstheme="minorHAnsi"/>
                <w:b/>
                <w:sz w:val="22"/>
              </w:rPr>
            </w:pPr>
            <w:r w:rsidRPr="00337C98">
              <w:rPr>
                <w:rFonts w:asciiTheme="minorHAnsi" w:hAnsiTheme="minorHAnsi" w:cstheme="minorHAnsi"/>
                <w:b/>
                <w:sz w:val="22"/>
              </w:rPr>
              <w:t>Particulars</w:t>
            </w:r>
          </w:p>
        </w:tc>
        <w:tc>
          <w:tcPr>
            <w:tcW w:w="600" w:type="pct"/>
            <w:shd w:val="clear" w:color="auto" w:fill="DBE5F1" w:themeFill="accent1" w:themeFillTint="33"/>
            <w:hideMark/>
          </w:tcPr>
          <w:p w:rsidR="00F70DA9" w:rsidRPr="00680AFE" w:rsidRDefault="00337C98" w:rsidP="00FA4684">
            <w:pPr>
              <w:tabs>
                <w:tab w:val="left" w:pos="1260"/>
              </w:tabs>
              <w:spacing w:before="0" w:line="240" w:lineRule="auto"/>
              <w:jc w:val="center"/>
              <w:rPr>
                <w:rFonts w:asciiTheme="minorHAnsi" w:hAnsiTheme="minorHAnsi" w:cstheme="minorHAnsi"/>
                <w:b/>
                <w:sz w:val="22"/>
              </w:rPr>
            </w:pPr>
            <w:r w:rsidRPr="00337C98">
              <w:rPr>
                <w:rFonts w:asciiTheme="minorHAnsi" w:hAnsiTheme="minorHAnsi" w:cstheme="minorHAnsi"/>
                <w:b/>
                <w:sz w:val="22"/>
              </w:rPr>
              <w:t>Unit</w:t>
            </w:r>
          </w:p>
        </w:tc>
        <w:tc>
          <w:tcPr>
            <w:tcW w:w="1341" w:type="pct"/>
            <w:shd w:val="clear" w:color="auto" w:fill="DBE5F1" w:themeFill="accent1" w:themeFillTint="33"/>
            <w:hideMark/>
          </w:tcPr>
          <w:p w:rsidR="00A33039" w:rsidRPr="00680AFE" w:rsidRDefault="00337C98">
            <w:pPr>
              <w:tabs>
                <w:tab w:val="left" w:pos="1260"/>
              </w:tabs>
              <w:spacing w:before="0" w:line="240" w:lineRule="auto"/>
              <w:jc w:val="center"/>
              <w:rPr>
                <w:rFonts w:asciiTheme="minorHAnsi" w:hAnsiTheme="minorHAnsi" w:cstheme="minorHAnsi"/>
                <w:b/>
                <w:sz w:val="22"/>
              </w:rPr>
            </w:pPr>
            <w:r w:rsidRPr="00337C98">
              <w:rPr>
                <w:rFonts w:asciiTheme="minorHAnsi" w:hAnsiTheme="minorHAnsi" w:cstheme="minorHAnsi"/>
                <w:b/>
                <w:sz w:val="22"/>
              </w:rPr>
              <w:t>True-up Petition</w:t>
            </w:r>
          </w:p>
        </w:tc>
      </w:tr>
      <w:tr w:rsidR="00D83074" w:rsidRPr="00680AFE" w:rsidTr="00D83074">
        <w:trPr>
          <w:trHeight w:val="255"/>
          <w:jc w:val="center"/>
        </w:trPr>
        <w:tc>
          <w:tcPr>
            <w:tcW w:w="3059" w:type="pct"/>
            <w:shd w:val="clear" w:color="000000" w:fill="FFFFFF"/>
            <w:vAlign w:val="center"/>
            <w:hideMark/>
          </w:tcPr>
          <w:p w:rsidR="00D83074" w:rsidRPr="00680AFE" w:rsidRDefault="00AD62F9" w:rsidP="00C60AD1">
            <w:pPr>
              <w:spacing w:before="0"/>
              <w:jc w:val="left"/>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Power Purchase</w:t>
            </w:r>
          </w:p>
        </w:tc>
        <w:tc>
          <w:tcPr>
            <w:tcW w:w="600" w:type="pct"/>
            <w:shd w:val="clear" w:color="000000" w:fill="FFFFFF"/>
            <w:vAlign w:val="center"/>
            <w:hideMark/>
          </w:tcPr>
          <w:p w:rsidR="00D83074" w:rsidRPr="00680AFE" w:rsidRDefault="00AD62F9" w:rsidP="00C60AD1">
            <w:pPr>
              <w:spacing w:before="0"/>
              <w:jc w:val="center"/>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MU</w:t>
            </w:r>
          </w:p>
        </w:tc>
        <w:tc>
          <w:tcPr>
            <w:tcW w:w="1341" w:type="pct"/>
            <w:shd w:val="clear" w:color="000000" w:fill="FFFFFF"/>
            <w:vAlign w:val="center"/>
            <w:hideMark/>
          </w:tcPr>
          <w:p w:rsidR="00D83074" w:rsidRPr="00680AFE" w:rsidRDefault="00337C98" w:rsidP="00C60AD1">
            <w:pPr>
              <w:spacing w:before="0"/>
              <w:jc w:val="right"/>
              <w:rPr>
                <w:rFonts w:asciiTheme="minorHAnsi" w:hAnsiTheme="minorHAnsi" w:cs="Calibri"/>
                <w:color w:val="000000"/>
                <w:sz w:val="22"/>
                <w:lang w:val="en-IN" w:eastAsia="en-IN"/>
              </w:rPr>
            </w:pPr>
            <w:r w:rsidRPr="00337C98">
              <w:rPr>
                <w:rFonts w:asciiTheme="minorHAnsi" w:hAnsiTheme="minorHAnsi" w:cs="Calibri"/>
                <w:color w:val="000000"/>
                <w:sz w:val="22"/>
                <w:lang w:val="en-IN" w:eastAsia="en-IN"/>
              </w:rPr>
              <w:t>84,251.84</w:t>
            </w:r>
          </w:p>
        </w:tc>
      </w:tr>
      <w:tr w:rsidR="00D83074" w:rsidRPr="00680AFE" w:rsidTr="00D83074">
        <w:trPr>
          <w:trHeight w:val="255"/>
          <w:jc w:val="center"/>
        </w:trPr>
        <w:tc>
          <w:tcPr>
            <w:tcW w:w="3059" w:type="pct"/>
            <w:shd w:val="clear" w:color="000000" w:fill="FFFFFF"/>
            <w:vAlign w:val="center"/>
            <w:hideMark/>
          </w:tcPr>
          <w:p w:rsidR="00D83074" w:rsidRPr="00680AFE" w:rsidRDefault="00AD62F9" w:rsidP="00C60AD1">
            <w:pPr>
              <w:spacing w:before="0"/>
              <w:jc w:val="left"/>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Transmission Loss</w:t>
            </w:r>
          </w:p>
        </w:tc>
        <w:tc>
          <w:tcPr>
            <w:tcW w:w="600" w:type="pct"/>
            <w:shd w:val="clear" w:color="000000" w:fill="FFFFFF"/>
            <w:vAlign w:val="center"/>
            <w:hideMark/>
          </w:tcPr>
          <w:p w:rsidR="00D83074" w:rsidRPr="00680AFE" w:rsidRDefault="00AD62F9" w:rsidP="00C60AD1">
            <w:pPr>
              <w:spacing w:before="0"/>
              <w:jc w:val="center"/>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MU</w:t>
            </w:r>
          </w:p>
        </w:tc>
        <w:tc>
          <w:tcPr>
            <w:tcW w:w="1341" w:type="pct"/>
            <w:shd w:val="clear" w:color="000000" w:fill="FFFFFF"/>
            <w:vAlign w:val="center"/>
            <w:hideMark/>
          </w:tcPr>
          <w:p w:rsidR="00D83074" w:rsidRPr="00680AFE" w:rsidRDefault="00337C98" w:rsidP="00C60AD1">
            <w:pPr>
              <w:spacing w:before="0"/>
              <w:jc w:val="right"/>
              <w:rPr>
                <w:rFonts w:asciiTheme="minorHAnsi" w:hAnsiTheme="minorHAnsi" w:cs="Calibri"/>
                <w:color w:val="000000"/>
                <w:sz w:val="22"/>
                <w:lang w:val="en-IN" w:eastAsia="en-IN"/>
              </w:rPr>
            </w:pPr>
            <w:r w:rsidRPr="00337C98">
              <w:rPr>
                <w:rFonts w:asciiTheme="minorHAnsi" w:hAnsiTheme="minorHAnsi" w:cs="Calibri"/>
                <w:color w:val="000000"/>
                <w:sz w:val="22"/>
                <w:lang w:val="en-IN" w:eastAsia="en-IN"/>
              </w:rPr>
              <w:t>4,431.01</w:t>
            </w:r>
          </w:p>
        </w:tc>
      </w:tr>
      <w:tr w:rsidR="00D83074" w:rsidRPr="00680AFE" w:rsidTr="00D83074">
        <w:trPr>
          <w:trHeight w:val="255"/>
          <w:jc w:val="center"/>
        </w:trPr>
        <w:tc>
          <w:tcPr>
            <w:tcW w:w="3059" w:type="pct"/>
            <w:shd w:val="clear" w:color="000000" w:fill="FFFFFF"/>
            <w:vAlign w:val="center"/>
            <w:hideMark/>
          </w:tcPr>
          <w:p w:rsidR="00D83074" w:rsidRPr="00680AFE" w:rsidRDefault="00AD62F9" w:rsidP="00C60AD1">
            <w:pPr>
              <w:spacing w:before="0"/>
              <w:jc w:val="left"/>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Transmission Loss</w:t>
            </w:r>
          </w:p>
        </w:tc>
        <w:tc>
          <w:tcPr>
            <w:tcW w:w="600" w:type="pct"/>
            <w:shd w:val="clear" w:color="000000" w:fill="FFFFFF"/>
            <w:vAlign w:val="center"/>
            <w:hideMark/>
          </w:tcPr>
          <w:p w:rsidR="00D83074" w:rsidRPr="00680AFE" w:rsidRDefault="00AD62F9" w:rsidP="00C60AD1">
            <w:pPr>
              <w:spacing w:before="0"/>
              <w:jc w:val="center"/>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w:t>
            </w:r>
          </w:p>
        </w:tc>
        <w:tc>
          <w:tcPr>
            <w:tcW w:w="1341" w:type="pct"/>
            <w:shd w:val="clear" w:color="000000" w:fill="FFFFFF"/>
            <w:vAlign w:val="center"/>
            <w:hideMark/>
          </w:tcPr>
          <w:p w:rsidR="00D83074" w:rsidRPr="00680AFE" w:rsidRDefault="00337C98" w:rsidP="00C60AD1">
            <w:pPr>
              <w:spacing w:before="0"/>
              <w:jc w:val="right"/>
              <w:rPr>
                <w:rFonts w:asciiTheme="minorHAnsi" w:hAnsiTheme="minorHAnsi" w:cs="Calibri"/>
                <w:color w:val="000000"/>
                <w:sz w:val="22"/>
                <w:lang w:val="en-IN" w:eastAsia="en-IN"/>
              </w:rPr>
            </w:pPr>
            <w:r w:rsidRPr="00337C98">
              <w:rPr>
                <w:rFonts w:asciiTheme="minorHAnsi" w:hAnsiTheme="minorHAnsi" w:cs="Calibri"/>
                <w:color w:val="000000"/>
                <w:sz w:val="22"/>
                <w:lang w:val="en-IN" w:eastAsia="en-IN"/>
              </w:rPr>
              <w:t>5.26%</w:t>
            </w:r>
          </w:p>
        </w:tc>
      </w:tr>
      <w:tr w:rsidR="00D83074" w:rsidRPr="00680AFE" w:rsidTr="00D83074">
        <w:trPr>
          <w:trHeight w:val="255"/>
          <w:jc w:val="center"/>
        </w:trPr>
        <w:tc>
          <w:tcPr>
            <w:tcW w:w="3059" w:type="pct"/>
            <w:shd w:val="clear" w:color="000000" w:fill="FFFFFF"/>
            <w:vAlign w:val="center"/>
            <w:hideMark/>
          </w:tcPr>
          <w:p w:rsidR="00D83074" w:rsidRPr="00680AFE" w:rsidRDefault="00AD62F9" w:rsidP="00C60AD1">
            <w:pPr>
              <w:spacing w:before="0"/>
              <w:jc w:val="left"/>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Energy available at Discom End</w:t>
            </w:r>
          </w:p>
        </w:tc>
        <w:tc>
          <w:tcPr>
            <w:tcW w:w="600" w:type="pct"/>
            <w:shd w:val="clear" w:color="000000" w:fill="FFFFFF"/>
            <w:vAlign w:val="center"/>
            <w:hideMark/>
          </w:tcPr>
          <w:p w:rsidR="00D83074" w:rsidRPr="00680AFE" w:rsidRDefault="00AD62F9" w:rsidP="00C60AD1">
            <w:pPr>
              <w:spacing w:before="0"/>
              <w:jc w:val="center"/>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MU</w:t>
            </w:r>
          </w:p>
        </w:tc>
        <w:tc>
          <w:tcPr>
            <w:tcW w:w="1341" w:type="pct"/>
            <w:shd w:val="clear" w:color="000000" w:fill="FFFFFF"/>
            <w:vAlign w:val="center"/>
            <w:hideMark/>
          </w:tcPr>
          <w:p w:rsidR="00D83074" w:rsidRPr="00680AFE" w:rsidRDefault="00337C98" w:rsidP="00C60AD1">
            <w:pPr>
              <w:spacing w:before="0"/>
              <w:jc w:val="right"/>
              <w:rPr>
                <w:rFonts w:asciiTheme="minorHAnsi" w:hAnsiTheme="minorHAnsi" w:cs="Calibri"/>
                <w:color w:val="000000"/>
                <w:sz w:val="22"/>
                <w:lang w:val="en-IN" w:eastAsia="en-IN"/>
              </w:rPr>
            </w:pPr>
            <w:r w:rsidRPr="00337C98">
              <w:rPr>
                <w:rFonts w:asciiTheme="minorHAnsi" w:hAnsiTheme="minorHAnsi" w:cs="Calibri"/>
                <w:color w:val="000000"/>
                <w:sz w:val="22"/>
                <w:lang w:val="en-IN" w:eastAsia="en-IN"/>
              </w:rPr>
              <w:t>79,820.83</w:t>
            </w:r>
          </w:p>
        </w:tc>
      </w:tr>
      <w:tr w:rsidR="00D83074" w:rsidRPr="00680AFE" w:rsidTr="00D83074">
        <w:trPr>
          <w:trHeight w:val="255"/>
          <w:jc w:val="center"/>
        </w:trPr>
        <w:tc>
          <w:tcPr>
            <w:tcW w:w="3059" w:type="pct"/>
            <w:shd w:val="clear" w:color="000000" w:fill="FFFFFF"/>
            <w:vAlign w:val="center"/>
            <w:hideMark/>
          </w:tcPr>
          <w:p w:rsidR="00D83074" w:rsidRPr="00680AFE" w:rsidRDefault="00AD62F9" w:rsidP="00C60AD1">
            <w:pPr>
              <w:spacing w:before="0"/>
              <w:jc w:val="left"/>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Allowable Power Purchase Cost at Discom end (including PGCIL Charges)</w:t>
            </w:r>
          </w:p>
        </w:tc>
        <w:tc>
          <w:tcPr>
            <w:tcW w:w="600" w:type="pct"/>
            <w:shd w:val="clear" w:color="000000" w:fill="FFFFFF"/>
            <w:vAlign w:val="center"/>
            <w:hideMark/>
          </w:tcPr>
          <w:p w:rsidR="00D83074" w:rsidRPr="00680AFE" w:rsidRDefault="00AD62F9" w:rsidP="00C60AD1">
            <w:pPr>
              <w:spacing w:before="0"/>
              <w:jc w:val="center"/>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Rs Crore</w:t>
            </w:r>
          </w:p>
        </w:tc>
        <w:tc>
          <w:tcPr>
            <w:tcW w:w="1341" w:type="pct"/>
            <w:shd w:val="clear" w:color="000000" w:fill="FFFFFF"/>
            <w:vAlign w:val="center"/>
            <w:hideMark/>
          </w:tcPr>
          <w:p w:rsidR="00D83074" w:rsidRPr="00680AFE" w:rsidRDefault="00337C98" w:rsidP="00C60AD1">
            <w:pPr>
              <w:spacing w:before="0"/>
              <w:jc w:val="right"/>
              <w:rPr>
                <w:rFonts w:asciiTheme="minorHAnsi" w:hAnsiTheme="minorHAnsi" w:cs="Calibri"/>
                <w:color w:val="000000"/>
                <w:sz w:val="22"/>
                <w:lang w:val="en-IN" w:eastAsia="en-IN"/>
              </w:rPr>
            </w:pPr>
            <w:r w:rsidRPr="00337C98">
              <w:rPr>
                <w:rFonts w:asciiTheme="minorHAnsi" w:hAnsiTheme="minorHAnsi" w:cs="Calibri"/>
                <w:color w:val="000000"/>
                <w:sz w:val="22"/>
                <w:lang w:val="en-IN" w:eastAsia="en-IN"/>
              </w:rPr>
              <w:t>33,233.64</w:t>
            </w:r>
          </w:p>
        </w:tc>
      </w:tr>
      <w:tr w:rsidR="00D83074" w:rsidRPr="00680AFE" w:rsidTr="00D83074">
        <w:trPr>
          <w:trHeight w:val="255"/>
          <w:jc w:val="center"/>
        </w:trPr>
        <w:tc>
          <w:tcPr>
            <w:tcW w:w="3059" w:type="pct"/>
            <w:shd w:val="clear" w:color="000000" w:fill="FFFFFF"/>
            <w:vAlign w:val="center"/>
            <w:hideMark/>
          </w:tcPr>
          <w:p w:rsidR="00D83074" w:rsidRPr="00680AFE" w:rsidRDefault="00AD62F9" w:rsidP="00C60AD1">
            <w:pPr>
              <w:spacing w:before="0"/>
              <w:jc w:val="left"/>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lastRenderedPageBreak/>
              <w:t>Power Purchase Cost per unit at Discom end (BST)</w:t>
            </w:r>
          </w:p>
        </w:tc>
        <w:tc>
          <w:tcPr>
            <w:tcW w:w="600" w:type="pct"/>
            <w:shd w:val="clear" w:color="000000" w:fill="FFFFFF"/>
            <w:vAlign w:val="center"/>
            <w:hideMark/>
          </w:tcPr>
          <w:p w:rsidR="00D83074" w:rsidRPr="00680AFE" w:rsidRDefault="00AD62F9" w:rsidP="00C60AD1">
            <w:pPr>
              <w:spacing w:before="0"/>
              <w:jc w:val="center"/>
              <w:rPr>
                <w:rFonts w:asciiTheme="minorHAnsi" w:hAnsiTheme="minorHAnsi" w:cs="Calibri"/>
                <w:color w:val="000000"/>
                <w:sz w:val="22"/>
                <w:lang w:val="en-IN" w:eastAsia="en-IN"/>
              </w:rPr>
            </w:pPr>
            <w:r w:rsidRPr="00AD62F9">
              <w:rPr>
                <w:rFonts w:asciiTheme="minorHAnsi" w:hAnsiTheme="minorHAnsi" w:cs="Calibri"/>
                <w:color w:val="000000"/>
                <w:sz w:val="22"/>
                <w:lang w:val="en-IN" w:eastAsia="en-IN"/>
              </w:rPr>
              <w:t>Rs/kWh</w:t>
            </w:r>
          </w:p>
        </w:tc>
        <w:tc>
          <w:tcPr>
            <w:tcW w:w="1341" w:type="pct"/>
            <w:shd w:val="clear" w:color="000000" w:fill="FFFFFF"/>
            <w:vAlign w:val="center"/>
            <w:hideMark/>
          </w:tcPr>
          <w:p w:rsidR="00D83074" w:rsidRPr="00680AFE" w:rsidRDefault="00337C98" w:rsidP="00C60AD1">
            <w:pPr>
              <w:spacing w:before="0"/>
              <w:jc w:val="right"/>
              <w:rPr>
                <w:rFonts w:asciiTheme="minorHAnsi" w:hAnsiTheme="minorHAnsi" w:cs="Calibri"/>
                <w:color w:val="000000"/>
                <w:sz w:val="22"/>
                <w:lang w:val="en-IN" w:eastAsia="en-IN"/>
              </w:rPr>
            </w:pPr>
            <w:r w:rsidRPr="00337C98">
              <w:rPr>
                <w:rFonts w:asciiTheme="minorHAnsi" w:hAnsiTheme="minorHAnsi" w:cs="Calibri"/>
                <w:color w:val="000000"/>
                <w:sz w:val="22"/>
                <w:lang w:val="en-IN" w:eastAsia="en-IN"/>
              </w:rPr>
              <w:t>4.16</w:t>
            </w:r>
          </w:p>
        </w:tc>
      </w:tr>
    </w:tbl>
    <w:p w:rsidR="00D5771F" w:rsidRDefault="00D5771F">
      <w:pPr>
        <w:pStyle w:val="Heading3"/>
        <w:numPr>
          <w:ilvl w:val="0"/>
          <w:numId w:val="0"/>
        </w:numPr>
        <w:tabs>
          <w:tab w:val="clear" w:pos="720"/>
        </w:tabs>
        <w:ind w:left="993"/>
        <w:rPr>
          <w:rFonts w:asciiTheme="minorHAnsi" w:hAnsiTheme="minorHAnsi"/>
        </w:rPr>
      </w:pPr>
    </w:p>
    <w:p w:rsidR="00F70DA9" w:rsidRPr="00FA4684" w:rsidRDefault="00E34329" w:rsidP="00C60AD1">
      <w:pPr>
        <w:pStyle w:val="Heading3"/>
        <w:tabs>
          <w:tab w:val="clear" w:pos="720"/>
          <w:tab w:val="num" w:pos="993"/>
        </w:tabs>
        <w:ind w:left="993" w:hanging="993"/>
      </w:pPr>
      <w:r w:rsidRPr="00E34329">
        <w:t>The Commission has computed the BST based on the same philosophy as adopted in its Order dated June 18, 2015. The Commission asked the Petitioner to submit the breakup of the Transmission Losses between Intra-State and Inter-State. The Petitioner submitted the Intra-State transmission loss to be 4.10% and Inter-State transmission loss to be 3.97% for FY 2013-14. Further, in reply to the query raised by the Commission regarding bifurcated details of power purchase cost and PGCIL charges for FY 2013-14, the Petitioner submitted the following details.</w:t>
      </w:r>
    </w:p>
    <w:p w:rsidR="009D4C92" w:rsidRPr="00E0115C" w:rsidRDefault="009D4C92" w:rsidP="00C60AD1">
      <w:pPr>
        <w:spacing w:before="0"/>
        <w:jc w:val="center"/>
        <w:rPr>
          <w:rFonts w:asciiTheme="minorHAnsi" w:hAnsiTheme="minorHAnsi" w:cs="Calibri"/>
          <w:b/>
          <w:sz w:val="22"/>
          <w:szCs w:val="22"/>
          <w:lang w:val="en-US"/>
        </w:rPr>
      </w:pPr>
    </w:p>
    <w:p w:rsidR="009D4C92" w:rsidRPr="00E0115C" w:rsidRDefault="00E34329" w:rsidP="00C60AD1">
      <w:pPr>
        <w:spacing w:before="0"/>
        <w:jc w:val="center"/>
        <w:rPr>
          <w:rFonts w:asciiTheme="minorHAnsi" w:hAnsiTheme="minorHAnsi"/>
          <w:sz w:val="22"/>
          <w:szCs w:val="22"/>
          <w:lang w:val="en-US"/>
        </w:rPr>
      </w:pPr>
      <w:bookmarkStart w:id="177" w:name="_Toc457603994"/>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DETAILS OF POWER PURCHASE COST AND PGCIL CHARGES SUBMITTED BY THE PETITIONER FOR FY 2013-14</w:t>
      </w:r>
      <w:bookmarkEnd w:id="177"/>
    </w:p>
    <w:tbl>
      <w:tblPr>
        <w:tblStyle w:val="TableGrid"/>
        <w:tblW w:w="0" w:type="auto"/>
        <w:jc w:val="center"/>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00"/>
        <w:gridCol w:w="3528"/>
      </w:tblGrid>
      <w:tr w:rsidR="0027635D" w:rsidRPr="00C2017B" w:rsidTr="0088339D">
        <w:trPr>
          <w:trHeight w:val="351"/>
          <w:jc w:val="center"/>
        </w:trPr>
        <w:tc>
          <w:tcPr>
            <w:tcW w:w="4100" w:type="dxa"/>
            <w:shd w:val="clear" w:color="auto" w:fill="DBE5F1" w:themeFill="accent1" w:themeFillTint="33"/>
          </w:tcPr>
          <w:p w:rsidR="00F70DA9" w:rsidRPr="00C2017B" w:rsidRDefault="00E34329" w:rsidP="0088339D">
            <w:pPr>
              <w:tabs>
                <w:tab w:val="left" w:pos="1260"/>
              </w:tabs>
              <w:spacing w:before="0" w:line="240" w:lineRule="auto"/>
              <w:jc w:val="center"/>
              <w:rPr>
                <w:rFonts w:asciiTheme="minorHAnsi" w:hAnsiTheme="minorHAnsi" w:cstheme="minorHAnsi"/>
                <w:b/>
                <w:sz w:val="22"/>
                <w:szCs w:val="22"/>
              </w:rPr>
            </w:pPr>
            <w:r w:rsidRPr="00E34329">
              <w:rPr>
                <w:rFonts w:asciiTheme="minorHAnsi" w:hAnsiTheme="minorHAnsi" w:cstheme="minorHAnsi"/>
                <w:b/>
                <w:sz w:val="22"/>
                <w:szCs w:val="22"/>
              </w:rPr>
              <w:t>Particulars</w:t>
            </w:r>
          </w:p>
        </w:tc>
        <w:tc>
          <w:tcPr>
            <w:tcW w:w="3528" w:type="dxa"/>
            <w:shd w:val="clear" w:color="auto" w:fill="DBE5F1" w:themeFill="accent1" w:themeFillTint="33"/>
          </w:tcPr>
          <w:p w:rsidR="00A33039" w:rsidRPr="00A33039" w:rsidRDefault="00E34329">
            <w:pPr>
              <w:tabs>
                <w:tab w:val="left" w:pos="1260"/>
              </w:tabs>
              <w:spacing w:before="0" w:line="240" w:lineRule="auto"/>
              <w:jc w:val="center"/>
              <w:rPr>
                <w:rFonts w:asciiTheme="minorHAnsi" w:hAnsiTheme="minorHAnsi" w:cstheme="minorHAnsi"/>
                <w:b/>
                <w:sz w:val="22"/>
                <w:szCs w:val="22"/>
              </w:rPr>
            </w:pPr>
            <w:r w:rsidRPr="00E34329">
              <w:rPr>
                <w:rFonts w:asciiTheme="minorHAnsi" w:hAnsiTheme="minorHAnsi" w:cstheme="minorHAnsi"/>
                <w:b/>
                <w:sz w:val="22"/>
                <w:szCs w:val="22"/>
              </w:rPr>
              <w:t>Amount (Rs. Crore)</w:t>
            </w:r>
          </w:p>
        </w:tc>
      </w:tr>
      <w:tr w:rsidR="00115282" w:rsidRPr="00C2017B" w:rsidTr="00DB6B2E">
        <w:trPr>
          <w:trHeight w:val="351"/>
          <w:jc w:val="center"/>
        </w:trPr>
        <w:tc>
          <w:tcPr>
            <w:tcW w:w="4100" w:type="dxa"/>
            <w:vAlign w:val="center"/>
          </w:tcPr>
          <w:p w:rsidR="00D5771F" w:rsidRDefault="00E34329">
            <w:pPr>
              <w:spacing w:before="0" w:line="240" w:lineRule="auto"/>
              <w:jc w:val="left"/>
              <w:rPr>
                <w:rFonts w:asciiTheme="minorHAnsi" w:hAnsiTheme="minorHAnsi"/>
                <w:color w:val="000000"/>
                <w:sz w:val="22"/>
                <w:szCs w:val="22"/>
              </w:rPr>
            </w:pPr>
            <w:r w:rsidRPr="00E34329">
              <w:rPr>
                <w:rFonts w:asciiTheme="minorHAnsi" w:hAnsiTheme="minorHAnsi"/>
                <w:color w:val="000000"/>
                <w:sz w:val="22"/>
                <w:szCs w:val="22"/>
              </w:rPr>
              <w:t>Power Purchase Cost</w:t>
            </w:r>
          </w:p>
        </w:tc>
        <w:tc>
          <w:tcPr>
            <w:tcW w:w="3528" w:type="dxa"/>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lang w:val="en-IN" w:eastAsia="en-IN"/>
              </w:rPr>
              <w:t>31,956.62</w:t>
            </w:r>
          </w:p>
        </w:tc>
      </w:tr>
      <w:tr w:rsidR="00115282" w:rsidRPr="00C2017B" w:rsidTr="00DB6B2E">
        <w:trPr>
          <w:trHeight w:val="351"/>
          <w:jc w:val="center"/>
        </w:trPr>
        <w:tc>
          <w:tcPr>
            <w:tcW w:w="4100" w:type="dxa"/>
            <w:vAlign w:val="center"/>
          </w:tcPr>
          <w:p w:rsidR="00D5771F" w:rsidRDefault="00E34329">
            <w:pPr>
              <w:spacing w:before="0" w:line="240" w:lineRule="auto"/>
              <w:jc w:val="left"/>
              <w:rPr>
                <w:rFonts w:asciiTheme="minorHAnsi" w:hAnsiTheme="minorHAnsi"/>
                <w:color w:val="000000"/>
                <w:sz w:val="22"/>
                <w:szCs w:val="22"/>
              </w:rPr>
            </w:pPr>
            <w:r w:rsidRPr="00E34329">
              <w:rPr>
                <w:rFonts w:asciiTheme="minorHAnsi" w:hAnsiTheme="minorHAnsi"/>
                <w:color w:val="000000"/>
                <w:sz w:val="22"/>
                <w:szCs w:val="22"/>
              </w:rPr>
              <w:t>PGCIL Charges</w:t>
            </w:r>
          </w:p>
        </w:tc>
        <w:tc>
          <w:tcPr>
            <w:tcW w:w="3528" w:type="dxa"/>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lang w:val="en-IN" w:eastAsia="en-IN"/>
              </w:rPr>
              <w:t>1,277.02</w:t>
            </w:r>
          </w:p>
        </w:tc>
      </w:tr>
      <w:tr w:rsidR="00115282" w:rsidRPr="00C2017B" w:rsidTr="001745C9">
        <w:trPr>
          <w:trHeight w:val="77"/>
          <w:jc w:val="center"/>
        </w:trPr>
        <w:tc>
          <w:tcPr>
            <w:tcW w:w="4100" w:type="dxa"/>
            <w:vAlign w:val="center"/>
          </w:tcPr>
          <w:p w:rsidR="00D5771F" w:rsidRDefault="00E34329">
            <w:pPr>
              <w:spacing w:line="240" w:lineRule="auto"/>
              <w:rPr>
                <w:rFonts w:asciiTheme="minorHAnsi" w:hAnsiTheme="minorHAnsi" w:cstheme="minorHAnsi"/>
                <w:b/>
                <w:sz w:val="22"/>
                <w:szCs w:val="22"/>
              </w:rPr>
            </w:pPr>
            <w:r w:rsidRPr="00E34329">
              <w:rPr>
                <w:rFonts w:asciiTheme="minorHAnsi" w:hAnsiTheme="minorHAnsi" w:cstheme="minorHAnsi"/>
                <w:b/>
                <w:sz w:val="22"/>
                <w:szCs w:val="22"/>
              </w:rPr>
              <w:t>Total Power Purchase Cost</w:t>
            </w:r>
          </w:p>
        </w:tc>
        <w:tc>
          <w:tcPr>
            <w:tcW w:w="3528" w:type="dxa"/>
            <w:vAlign w:val="center"/>
          </w:tcPr>
          <w:p w:rsidR="00D5771F" w:rsidRDefault="00E34329">
            <w:pPr>
              <w:spacing w:line="240" w:lineRule="auto"/>
              <w:jc w:val="right"/>
              <w:rPr>
                <w:rFonts w:asciiTheme="minorHAnsi" w:hAnsiTheme="minorHAnsi" w:cstheme="minorHAnsi"/>
                <w:b/>
                <w:sz w:val="22"/>
                <w:szCs w:val="22"/>
              </w:rPr>
            </w:pPr>
            <w:r w:rsidRPr="00E34329">
              <w:rPr>
                <w:rFonts w:asciiTheme="minorHAnsi" w:hAnsiTheme="minorHAnsi"/>
                <w:b/>
                <w:bCs/>
                <w:color w:val="000000"/>
                <w:sz w:val="22"/>
                <w:szCs w:val="22"/>
                <w:lang w:val="en-IN" w:eastAsia="en-IN"/>
              </w:rPr>
              <w:t>33,233.64</w:t>
            </w:r>
          </w:p>
        </w:tc>
      </w:tr>
    </w:tbl>
    <w:p w:rsidR="006B17F5" w:rsidRPr="00E0115C" w:rsidRDefault="006B17F5" w:rsidP="00C60AD1">
      <w:pPr>
        <w:pStyle w:val="Heading3"/>
        <w:numPr>
          <w:ilvl w:val="0"/>
          <w:numId w:val="0"/>
        </w:numPr>
        <w:tabs>
          <w:tab w:val="clear" w:pos="720"/>
        </w:tabs>
        <w:spacing w:before="0" w:after="240" w:line="240" w:lineRule="auto"/>
        <w:ind w:left="993"/>
        <w:jc w:val="left"/>
        <w:rPr>
          <w:rFonts w:asciiTheme="minorHAnsi" w:hAnsiTheme="minorHAnsi"/>
        </w:rPr>
      </w:pPr>
    </w:p>
    <w:p w:rsidR="00F70DA9" w:rsidRPr="0088339D" w:rsidRDefault="00E34329" w:rsidP="00C60AD1">
      <w:pPr>
        <w:pStyle w:val="Heading3"/>
        <w:tabs>
          <w:tab w:val="clear" w:pos="720"/>
          <w:tab w:val="num" w:pos="993"/>
        </w:tabs>
        <w:ind w:left="993" w:hanging="993"/>
      </w:pPr>
      <w:r w:rsidRPr="00E34329">
        <w:t>The Petitioner submitted that it has calculated the allowable power purchase input at Discom end by grossing up the actual energy sales by the approved distribution loss target or actual Distribution losses, whichever is lower. Thereafter, the allowable power purchase input has been multiplied by the Trued up Bulk Supply rate to derive the allowable power purchase cost for FY 2013-14as shown in the Table below:</w:t>
      </w:r>
    </w:p>
    <w:p w:rsidR="00971930" w:rsidRPr="00E0115C" w:rsidRDefault="00971930" w:rsidP="00C60AD1">
      <w:pPr>
        <w:spacing w:before="0"/>
        <w:jc w:val="center"/>
        <w:rPr>
          <w:rFonts w:asciiTheme="minorHAnsi" w:hAnsiTheme="minorHAnsi"/>
          <w:b/>
          <w:sz w:val="22"/>
          <w:szCs w:val="22"/>
          <w:lang w:val="en-US"/>
        </w:rPr>
      </w:pPr>
    </w:p>
    <w:p w:rsidR="003147B8" w:rsidRPr="00E0115C" w:rsidRDefault="00E34329" w:rsidP="00C60AD1">
      <w:pPr>
        <w:spacing w:before="0"/>
        <w:jc w:val="center"/>
        <w:rPr>
          <w:rFonts w:asciiTheme="minorHAnsi" w:hAnsiTheme="minorHAnsi"/>
          <w:b/>
          <w:sz w:val="22"/>
          <w:szCs w:val="22"/>
          <w:lang w:val="en-US"/>
        </w:rPr>
      </w:pPr>
      <w:bookmarkStart w:id="178" w:name="_Toc457603995"/>
      <w:r w:rsidRPr="00E34329">
        <w:rPr>
          <w:rFonts w:asciiTheme="minorHAnsi" w:hAnsiTheme="minorHAnsi"/>
          <w:b/>
          <w:sz w:val="22"/>
          <w:szCs w:val="22"/>
          <w:lang w:val="en-US"/>
        </w:rPr>
        <w:t xml:space="preserve">Table </w:t>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STYLEREF 1 \s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4</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noBreakHyphen/>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SEQ Table \* ARABIC \s 1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3</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t>: POWER PURCHASE COST AS COMPUTED BY PETITIONER FOR FY 2013-14</w:t>
      </w:r>
      <w:bookmarkEnd w:id="178"/>
    </w:p>
    <w:tbl>
      <w:tblPr>
        <w:tblW w:w="3726" w:type="pct"/>
        <w:jc w:val="center"/>
        <w:tblInd w:w="26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858"/>
        <w:gridCol w:w="1221"/>
        <w:gridCol w:w="2012"/>
      </w:tblGrid>
      <w:tr w:rsidR="00DA6A79" w:rsidRPr="00E0115C" w:rsidTr="006C4D08">
        <w:trPr>
          <w:trHeight w:val="292"/>
          <w:tblHeader/>
          <w:jc w:val="center"/>
        </w:trPr>
        <w:tc>
          <w:tcPr>
            <w:tcW w:w="3858" w:type="dxa"/>
            <w:shd w:val="clear" w:color="auto" w:fill="DBE5F1" w:themeFill="accent1" w:themeFillTint="33"/>
            <w:hideMark/>
          </w:tcPr>
          <w:p w:rsidR="00714676" w:rsidRPr="00E0115C" w:rsidRDefault="00E34329">
            <w:pPr>
              <w:tabs>
                <w:tab w:val="left" w:pos="1260"/>
              </w:tabs>
              <w:spacing w:before="0" w:line="240" w:lineRule="auto"/>
              <w:jc w:val="center"/>
              <w:rPr>
                <w:rFonts w:asciiTheme="minorHAnsi" w:hAnsiTheme="minorHAnsi" w:cstheme="minorHAnsi"/>
                <w:b/>
              </w:rPr>
            </w:pPr>
            <w:r w:rsidRPr="00E34329">
              <w:rPr>
                <w:rFonts w:asciiTheme="minorHAnsi" w:hAnsiTheme="minorHAnsi" w:cstheme="minorHAnsi"/>
                <w:b/>
              </w:rPr>
              <w:t>Particulars</w:t>
            </w:r>
          </w:p>
        </w:tc>
        <w:tc>
          <w:tcPr>
            <w:tcW w:w="1221" w:type="dxa"/>
            <w:shd w:val="clear" w:color="auto" w:fill="DBE5F1" w:themeFill="accent1" w:themeFillTint="33"/>
            <w:hideMark/>
          </w:tcPr>
          <w:p w:rsidR="00714676" w:rsidRPr="00E0115C" w:rsidRDefault="00E34329">
            <w:pPr>
              <w:tabs>
                <w:tab w:val="left" w:pos="1260"/>
              </w:tabs>
              <w:spacing w:before="0" w:line="240" w:lineRule="auto"/>
              <w:jc w:val="center"/>
              <w:rPr>
                <w:rFonts w:asciiTheme="minorHAnsi" w:hAnsiTheme="minorHAnsi" w:cstheme="minorHAnsi"/>
                <w:b/>
              </w:rPr>
            </w:pPr>
            <w:r w:rsidRPr="00E34329">
              <w:rPr>
                <w:rFonts w:asciiTheme="minorHAnsi" w:hAnsiTheme="minorHAnsi" w:cstheme="minorHAnsi"/>
                <w:b/>
              </w:rPr>
              <w:t>Unit</w:t>
            </w:r>
          </w:p>
        </w:tc>
        <w:tc>
          <w:tcPr>
            <w:tcW w:w="2012" w:type="dxa"/>
            <w:shd w:val="clear" w:color="auto" w:fill="DBE5F1" w:themeFill="accent1" w:themeFillTint="33"/>
            <w:hideMark/>
          </w:tcPr>
          <w:p w:rsidR="00714676" w:rsidRPr="00E0115C" w:rsidRDefault="00E34329">
            <w:pPr>
              <w:tabs>
                <w:tab w:val="left" w:pos="1260"/>
              </w:tabs>
              <w:spacing w:before="0" w:line="240" w:lineRule="auto"/>
              <w:jc w:val="center"/>
              <w:rPr>
                <w:rFonts w:asciiTheme="minorHAnsi" w:hAnsiTheme="minorHAnsi" w:cstheme="minorHAnsi"/>
                <w:b/>
              </w:rPr>
            </w:pPr>
            <w:r w:rsidRPr="00E34329">
              <w:rPr>
                <w:rFonts w:asciiTheme="minorHAnsi" w:hAnsiTheme="minorHAnsi" w:cstheme="minorHAnsi"/>
                <w:b/>
              </w:rPr>
              <w:t>True-up Petition</w:t>
            </w:r>
          </w:p>
        </w:tc>
      </w:tr>
      <w:tr w:rsidR="006D192F" w:rsidRPr="00E0115C" w:rsidTr="006C4D08">
        <w:trPr>
          <w:trHeight w:val="300"/>
          <w:jc w:val="center"/>
        </w:trPr>
        <w:tc>
          <w:tcPr>
            <w:tcW w:w="3858" w:type="dxa"/>
            <w:shd w:val="clear" w:color="auto" w:fill="auto"/>
            <w:noWrap/>
            <w:vAlign w:val="center"/>
            <w:hideMark/>
          </w:tcPr>
          <w:p w:rsidR="008B0C65" w:rsidRPr="00E0115C" w:rsidRDefault="00E34329" w:rsidP="008B0C65">
            <w:pPr>
              <w:spacing w:before="0" w:line="240" w:lineRule="auto"/>
              <w:jc w:val="left"/>
              <w:rPr>
                <w:rFonts w:asciiTheme="minorHAnsi" w:hAnsiTheme="minorHAnsi" w:cs="Calibri"/>
                <w:color w:val="000000"/>
                <w:sz w:val="22"/>
                <w:szCs w:val="18"/>
                <w:lang w:val="en-IN" w:eastAsia="en-IN"/>
              </w:rPr>
            </w:pPr>
            <w:r w:rsidRPr="00E34329">
              <w:rPr>
                <w:rFonts w:asciiTheme="minorHAnsi" w:hAnsiTheme="minorHAnsi"/>
                <w:color w:val="000000"/>
                <w:sz w:val="22"/>
              </w:rPr>
              <w:t>Power Purchase</w:t>
            </w:r>
          </w:p>
        </w:tc>
        <w:tc>
          <w:tcPr>
            <w:tcW w:w="1221" w:type="dxa"/>
            <w:shd w:val="clear" w:color="000000" w:fill="FFFFFF"/>
            <w:vAlign w:val="center"/>
            <w:hideMark/>
          </w:tcPr>
          <w:p w:rsidR="008B0C65" w:rsidRPr="00E0115C" w:rsidRDefault="00E34329" w:rsidP="008B0C65">
            <w:pPr>
              <w:spacing w:before="0" w:line="240" w:lineRule="auto"/>
              <w:jc w:val="center"/>
              <w:rPr>
                <w:rFonts w:asciiTheme="minorHAnsi" w:hAnsiTheme="minorHAnsi" w:cs="Calibri"/>
                <w:color w:val="000000"/>
                <w:sz w:val="22"/>
                <w:szCs w:val="18"/>
                <w:lang w:val="en-IN" w:eastAsia="en-IN"/>
              </w:rPr>
            </w:pPr>
            <w:r w:rsidRPr="00E34329">
              <w:rPr>
                <w:rFonts w:asciiTheme="minorHAnsi" w:hAnsiTheme="minorHAnsi"/>
                <w:color w:val="000000"/>
                <w:sz w:val="22"/>
              </w:rPr>
              <w:t>MU</w:t>
            </w:r>
          </w:p>
        </w:tc>
        <w:tc>
          <w:tcPr>
            <w:tcW w:w="2012" w:type="dxa"/>
            <w:shd w:val="clear" w:color="auto" w:fill="auto"/>
            <w:vAlign w:val="center"/>
            <w:hideMark/>
          </w:tcPr>
          <w:p w:rsidR="008B0C65" w:rsidRPr="00E0115C" w:rsidRDefault="00E34329" w:rsidP="008B0C65">
            <w:pPr>
              <w:spacing w:before="0" w:line="240" w:lineRule="auto"/>
              <w:jc w:val="right"/>
              <w:rPr>
                <w:rFonts w:asciiTheme="minorHAnsi" w:hAnsiTheme="minorHAnsi"/>
                <w:color w:val="000000"/>
                <w:sz w:val="22"/>
              </w:rPr>
            </w:pPr>
            <w:r w:rsidRPr="00E34329">
              <w:rPr>
                <w:rFonts w:asciiTheme="minorHAnsi" w:hAnsiTheme="minorHAnsi" w:cs="Calibri"/>
                <w:color w:val="000000"/>
              </w:rPr>
              <w:t xml:space="preserve">18,436.63 </w:t>
            </w:r>
          </w:p>
        </w:tc>
      </w:tr>
      <w:tr w:rsidR="006D192F" w:rsidRPr="00E0115C" w:rsidTr="006C4D08">
        <w:trPr>
          <w:trHeight w:val="300"/>
          <w:jc w:val="center"/>
        </w:trPr>
        <w:tc>
          <w:tcPr>
            <w:tcW w:w="3858" w:type="dxa"/>
            <w:shd w:val="clear" w:color="auto" w:fill="auto"/>
            <w:noWrap/>
            <w:vAlign w:val="center"/>
            <w:hideMark/>
          </w:tcPr>
          <w:p w:rsidR="008B0C65" w:rsidRPr="00E0115C" w:rsidRDefault="00E34329" w:rsidP="008B0C65">
            <w:pPr>
              <w:tabs>
                <w:tab w:val="left" w:pos="1260"/>
              </w:tabs>
              <w:spacing w:before="0" w:line="240" w:lineRule="auto"/>
              <w:jc w:val="left"/>
              <w:rPr>
                <w:rFonts w:asciiTheme="minorHAnsi" w:hAnsiTheme="minorHAnsi" w:cs="Calibri"/>
                <w:color w:val="000000"/>
                <w:sz w:val="22"/>
                <w:szCs w:val="18"/>
                <w:lang w:val="en-IN" w:eastAsia="en-IN"/>
              </w:rPr>
            </w:pPr>
            <w:r w:rsidRPr="00E34329">
              <w:rPr>
                <w:rFonts w:asciiTheme="minorHAnsi" w:hAnsiTheme="minorHAnsi"/>
                <w:color w:val="000000"/>
                <w:sz w:val="22"/>
              </w:rPr>
              <w:t>Sales</w:t>
            </w:r>
          </w:p>
        </w:tc>
        <w:tc>
          <w:tcPr>
            <w:tcW w:w="1221" w:type="dxa"/>
            <w:shd w:val="clear" w:color="000000" w:fill="FFFFFF"/>
            <w:vAlign w:val="center"/>
            <w:hideMark/>
          </w:tcPr>
          <w:p w:rsidR="008B0C65" w:rsidRPr="00E0115C" w:rsidRDefault="00E34329" w:rsidP="008B0C65">
            <w:pPr>
              <w:spacing w:before="0" w:line="240" w:lineRule="auto"/>
              <w:jc w:val="center"/>
              <w:rPr>
                <w:rFonts w:asciiTheme="minorHAnsi" w:hAnsiTheme="minorHAnsi" w:cs="Calibri"/>
                <w:color w:val="000000"/>
                <w:sz w:val="22"/>
                <w:szCs w:val="18"/>
                <w:lang w:val="en-IN" w:eastAsia="en-IN"/>
              </w:rPr>
            </w:pPr>
            <w:r w:rsidRPr="00E34329">
              <w:rPr>
                <w:rFonts w:asciiTheme="minorHAnsi" w:hAnsiTheme="minorHAnsi"/>
                <w:color w:val="000000"/>
                <w:sz w:val="22"/>
              </w:rPr>
              <w:t>MU</w:t>
            </w:r>
          </w:p>
        </w:tc>
        <w:tc>
          <w:tcPr>
            <w:tcW w:w="2012" w:type="dxa"/>
            <w:shd w:val="clear" w:color="auto" w:fill="auto"/>
            <w:vAlign w:val="center"/>
            <w:hideMark/>
          </w:tcPr>
          <w:p w:rsidR="008B0C65" w:rsidRPr="00E0115C" w:rsidRDefault="00E34329" w:rsidP="008B0C65">
            <w:pPr>
              <w:spacing w:before="0" w:line="240" w:lineRule="auto"/>
              <w:jc w:val="right"/>
              <w:rPr>
                <w:rFonts w:asciiTheme="minorHAnsi" w:hAnsiTheme="minorHAnsi"/>
                <w:color w:val="000000"/>
                <w:sz w:val="22"/>
              </w:rPr>
            </w:pPr>
            <w:r w:rsidRPr="00E34329">
              <w:rPr>
                <w:rFonts w:asciiTheme="minorHAnsi" w:hAnsiTheme="minorHAnsi" w:cs="Calibri"/>
                <w:color w:val="000000"/>
              </w:rPr>
              <w:t xml:space="preserve">13,148.05 </w:t>
            </w:r>
          </w:p>
        </w:tc>
      </w:tr>
      <w:tr w:rsidR="006D192F" w:rsidRPr="00E0115C" w:rsidTr="006C4D08">
        <w:trPr>
          <w:trHeight w:val="300"/>
          <w:jc w:val="center"/>
        </w:trPr>
        <w:tc>
          <w:tcPr>
            <w:tcW w:w="3858" w:type="dxa"/>
            <w:shd w:val="clear" w:color="auto" w:fill="auto"/>
            <w:noWrap/>
            <w:vAlign w:val="center"/>
            <w:hideMark/>
          </w:tcPr>
          <w:p w:rsidR="008B0C65" w:rsidRPr="00E0115C" w:rsidRDefault="00E34329" w:rsidP="008B0C65">
            <w:pPr>
              <w:spacing w:before="0" w:line="240" w:lineRule="auto"/>
              <w:jc w:val="left"/>
              <w:rPr>
                <w:rFonts w:asciiTheme="minorHAnsi" w:hAnsiTheme="minorHAnsi" w:cs="Calibri"/>
                <w:color w:val="000000"/>
                <w:sz w:val="22"/>
                <w:szCs w:val="18"/>
                <w:lang w:val="en-IN" w:eastAsia="en-IN"/>
              </w:rPr>
            </w:pPr>
            <w:r w:rsidRPr="00E34329">
              <w:rPr>
                <w:rFonts w:asciiTheme="minorHAnsi" w:hAnsiTheme="minorHAnsi"/>
                <w:color w:val="000000"/>
                <w:sz w:val="22"/>
              </w:rPr>
              <w:t>Distribution Loss Target</w:t>
            </w:r>
          </w:p>
        </w:tc>
        <w:tc>
          <w:tcPr>
            <w:tcW w:w="1221" w:type="dxa"/>
            <w:shd w:val="clear" w:color="000000" w:fill="FFFFFF"/>
            <w:vAlign w:val="center"/>
            <w:hideMark/>
          </w:tcPr>
          <w:p w:rsidR="008B0C65" w:rsidRPr="00E0115C" w:rsidRDefault="00E34329" w:rsidP="008B0C65">
            <w:pPr>
              <w:spacing w:before="0" w:line="240" w:lineRule="auto"/>
              <w:jc w:val="center"/>
              <w:rPr>
                <w:rFonts w:asciiTheme="minorHAnsi" w:hAnsiTheme="minorHAnsi" w:cs="Calibri"/>
                <w:color w:val="000000"/>
                <w:sz w:val="22"/>
                <w:szCs w:val="18"/>
                <w:lang w:val="en-IN" w:eastAsia="en-IN"/>
              </w:rPr>
            </w:pPr>
            <w:r w:rsidRPr="00E34329">
              <w:rPr>
                <w:rFonts w:asciiTheme="minorHAnsi" w:hAnsiTheme="minorHAnsi"/>
                <w:color w:val="000000"/>
                <w:sz w:val="22"/>
              </w:rPr>
              <w:t>%</w:t>
            </w:r>
          </w:p>
        </w:tc>
        <w:tc>
          <w:tcPr>
            <w:tcW w:w="2012" w:type="dxa"/>
            <w:shd w:val="clear" w:color="auto" w:fill="auto"/>
            <w:vAlign w:val="center"/>
            <w:hideMark/>
          </w:tcPr>
          <w:p w:rsidR="008B0C65" w:rsidRPr="00E0115C" w:rsidRDefault="00E34329" w:rsidP="008B0C65">
            <w:pPr>
              <w:spacing w:before="0" w:line="240" w:lineRule="auto"/>
              <w:jc w:val="right"/>
              <w:rPr>
                <w:rFonts w:asciiTheme="minorHAnsi" w:hAnsiTheme="minorHAnsi"/>
                <w:color w:val="000000"/>
                <w:sz w:val="22"/>
              </w:rPr>
            </w:pPr>
            <w:r w:rsidRPr="00E34329">
              <w:rPr>
                <w:rFonts w:asciiTheme="minorHAnsi" w:hAnsiTheme="minorHAnsi" w:cs="Calibri"/>
                <w:color w:val="000000"/>
              </w:rPr>
              <w:t>28.00%</w:t>
            </w:r>
          </w:p>
        </w:tc>
      </w:tr>
      <w:tr w:rsidR="006D192F" w:rsidRPr="00E0115C" w:rsidTr="006C4D08">
        <w:trPr>
          <w:trHeight w:val="300"/>
          <w:jc w:val="center"/>
        </w:trPr>
        <w:tc>
          <w:tcPr>
            <w:tcW w:w="3858" w:type="dxa"/>
            <w:shd w:val="clear" w:color="auto" w:fill="auto"/>
            <w:noWrap/>
            <w:vAlign w:val="center"/>
            <w:hideMark/>
          </w:tcPr>
          <w:p w:rsidR="008B0C65" w:rsidRPr="00E0115C" w:rsidRDefault="00E34329" w:rsidP="008B0C65">
            <w:pPr>
              <w:spacing w:before="0" w:line="240" w:lineRule="auto"/>
              <w:jc w:val="left"/>
              <w:rPr>
                <w:rFonts w:asciiTheme="minorHAnsi" w:hAnsiTheme="minorHAnsi" w:cs="Calibri"/>
                <w:color w:val="000000"/>
                <w:sz w:val="22"/>
                <w:szCs w:val="18"/>
                <w:lang w:val="en-IN" w:eastAsia="en-IN"/>
              </w:rPr>
            </w:pPr>
            <w:r w:rsidRPr="00E34329">
              <w:rPr>
                <w:rFonts w:asciiTheme="minorHAnsi" w:hAnsiTheme="minorHAnsi"/>
                <w:color w:val="000000"/>
                <w:sz w:val="22"/>
              </w:rPr>
              <w:t>Allowable Power Purchase</w:t>
            </w:r>
          </w:p>
        </w:tc>
        <w:tc>
          <w:tcPr>
            <w:tcW w:w="1221" w:type="dxa"/>
            <w:shd w:val="clear" w:color="000000" w:fill="FFFFFF"/>
            <w:vAlign w:val="center"/>
            <w:hideMark/>
          </w:tcPr>
          <w:p w:rsidR="008B0C65" w:rsidRPr="00E0115C" w:rsidRDefault="00E34329" w:rsidP="008B0C65">
            <w:pPr>
              <w:spacing w:before="0" w:line="240" w:lineRule="auto"/>
              <w:jc w:val="center"/>
              <w:rPr>
                <w:rFonts w:asciiTheme="minorHAnsi" w:hAnsiTheme="minorHAnsi" w:cs="Calibri"/>
                <w:color w:val="000000"/>
                <w:sz w:val="22"/>
                <w:szCs w:val="18"/>
                <w:lang w:val="en-IN" w:eastAsia="en-IN"/>
              </w:rPr>
            </w:pPr>
            <w:r w:rsidRPr="00E34329">
              <w:rPr>
                <w:rFonts w:asciiTheme="minorHAnsi" w:hAnsiTheme="minorHAnsi"/>
                <w:color w:val="000000"/>
                <w:sz w:val="22"/>
              </w:rPr>
              <w:t>MU</w:t>
            </w:r>
          </w:p>
        </w:tc>
        <w:tc>
          <w:tcPr>
            <w:tcW w:w="2012" w:type="dxa"/>
            <w:shd w:val="clear" w:color="auto" w:fill="auto"/>
            <w:vAlign w:val="center"/>
            <w:hideMark/>
          </w:tcPr>
          <w:p w:rsidR="008B0C65" w:rsidRPr="00E0115C" w:rsidRDefault="00E34329" w:rsidP="008B0C65">
            <w:pPr>
              <w:spacing w:before="0" w:line="240" w:lineRule="auto"/>
              <w:jc w:val="right"/>
              <w:rPr>
                <w:rFonts w:asciiTheme="minorHAnsi" w:hAnsiTheme="minorHAnsi"/>
                <w:color w:val="000000"/>
                <w:sz w:val="22"/>
              </w:rPr>
            </w:pPr>
            <w:r w:rsidRPr="00E34329">
              <w:rPr>
                <w:rFonts w:asciiTheme="minorHAnsi" w:hAnsiTheme="minorHAnsi" w:cs="Calibri"/>
                <w:color w:val="000000"/>
              </w:rPr>
              <w:t xml:space="preserve">18,260.56 </w:t>
            </w:r>
          </w:p>
        </w:tc>
      </w:tr>
      <w:tr w:rsidR="006D192F" w:rsidRPr="00E0115C" w:rsidTr="006C4D08">
        <w:trPr>
          <w:trHeight w:val="300"/>
          <w:jc w:val="center"/>
        </w:trPr>
        <w:tc>
          <w:tcPr>
            <w:tcW w:w="3858" w:type="dxa"/>
            <w:shd w:val="clear" w:color="auto" w:fill="auto"/>
            <w:noWrap/>
            <w:vAlign w:val="center"/>
            <w:hideMark/>
          </w:tcPr>
          <w:p w:rsidR="008B0C65" w:rsidRPr="00E0115C" w:rsidRDefault="00E34329" w:rsidP="008B0C65">
            <w:pPr>
              <w:spacing w:before="0" w:line="240" w:lineRule="auto"/>
              <w:jc w:val="left"/>
              <w:rPr>
                <w:rFonts w:asciiTheme="minorHAnsi" w:hAnsiTheme="minorHAnsi" w:cs="Calibri"/>
                <w:color w:val="000000"/>
                <w:sz w:val="22"/>
                <w:szCs w:val="18"/>
                <w:lang w:val="en-IN" w:eastAsia="en-IN"/>
              </w:rPr>
            </w:pPr>
            <w:r w:rsidRPr="00E34329">
              <w:rPr>
                <w:rFonts w:asciiTheme="minorHAnsi" w:hAnsiTheme="minorHAnsi"/>
                <w:color w:val="000000"/>
                <w:sz w:val="22"/>
              </w:rPr>
              <w:t>Trued up Bulk Supply Tariff</w:t>
            </w:r>
          </w:p>
        </w:tc>
        <w:tc>
          <w:tcPr>
            <w:tcW w:w="1221" w:type="dxa"/>
            <w:shd w:val="clear" w:color="000000" w:fill="FFFFFF"/>
            <w:vAlign w:val="center"/>
            <w:hideMark/>
          </w:tcPr>
          <w:p w:rsidR="008B0C65" w:rsidRPr="00E0115C" w:rsidRDefault="00E34329" w:rsidP="008B0C65">
            <w:pPr>
              <w:spacing w:before="0" w:line="240" w:lineRule="auto"/>
              <w:jc w:val="center"/>
              <w:rPr>
                <w:rFonts w:asciiTheme="minorHAnsi" w:hAnsiTheme="minorHAnsi" w:cs="Calibri"/>
                <w:color w:val="000000"/>
                <w:sz w:val="22"/>
                <w:szCs w:val="18"/>
                <w:lang w:val="en-IN" w:eastAsia="en-IN"/>
              </w:rPr>
            </w:pPr>
            <w:r w:rsidRPr="00E34329">
              <w:rPr>
                <w:rFonts w:asciiTheme="minorHAnsi" w:hAnsiTheme="minorHAnsi"/>
                <w:color w:val="000000"/>
                <w:sz w:val="22"/>
              </w:rPr>
              <w:t>Rs/kWh</w:t>
            </w:r>
          </w:p>
        </w:tc>
        <w:tc>
          <w:tcPr>
            <w:tcW w:w="2012" w:type="dxa"/>
            <w:shd w:val="clear" w:color="auto" w:fill="auto"/>
            <w:vAlign w:val="center"/>
            <w:hideMark/>
          </w:tcPr>
          <w:p w:rsidR="008B0C65" w:rsidRPr="00E0115C" w:rsidRDefault="00E34329" w:rsidP="008B0C65">
            <w:pPr>
              <w:spacing w:before="0" w:line="240" w:lineRule="auto"/>
              <w:jc w:val="right"/>
              <w:rPr>
                <w:rFonts w:asciiTheme="minorHAnsi" w:hAnsiTheme="minorHAnsi"/>
                <w:color w:val="000000"/>
                <w:sz w:val="22"/>
              </w:rPr>
            </w:pPr>
            <w:r w:rsidRPr="00E34329">
              <w:rPr>
                <w:rFonts w:asciiTheme="minorHAnsi" w:hAnsiTheme="minorHAnsi" w:cs="Calibri"/>
                <w:color w:val="000000"/>
              </w:rPr>
              <w:t>4.16</w:t>
            </w:r>
          </w:p>
        </w:tc>
      </w:tr>
      <w:tr w:rsidR="006D192F" w:rsidRPr="00E0115C" w:rsidTr="006C4D08">
        <w:trPr>
          <w:trHeight w:val="300"/>
          <w:jc w:val="center"/>
        </w:trPr>
        <w:tc>
          <w:tcPr>
            <w:tcW w:w="3858" w:type="dxa"/>
            <w:shd w:val="clear" w:color="auto" w:fill="auto"/>
            <w:noWrap/>
            <w:vAlign w:val="center"/>
            <w:hideMark/>
          </w:tcPr>
          <w:p w:rsidR="008B0C65" w:rsidRPr="00E0115C" w:rsidRDefault="00E34329" w:rsidP="008B0C65">
            <w:pPr>
              <w:spacing w:before="0" w:line="240" w:lineRule="auto"/>
              <w:jc w:val="left"/>
              <w:rPr>
                <w:rFonts w:asciiTheme="minorHAnsi" w:hAnsiTheme="minorHAnsi" w:cs="Calibri"/>
                <w:b/>
                <w:bCs/>
                <w:color w:val="000000"/>
                <w:sz w:val="22"/>
                <w:szCs w:val="18"/>
                <w:lang w:val="en-IN" w:eastAsia="en-IN"/>
              </w:rPr>
            </w:pPr>
            <w:r w:rsidRPr="00E34329">
              <w:rPr>
                <w:rFonts w:asciiTheme="minorHAnsi" w:hAnsiTheme="minorHAnsi"/>
                <w:b/>
                <w:bCs/>
                <w:color w:val="000000"/>
                <w:sz w:val="22"/>
              </w:rPr>
              <w:t>Allowable Power Purchase Cost</w:t>
            </w:r>
          </w:p>
        </w:tc>
        <w:tc>
          <w:tcPr>
            <w:tcW w:w="1221" w:type="dxa"/>
            <w:shd w:val="clear" w:color="auto" w:fill="auto"/>
            <w:vAlign w:val="center"/>
            <w:hideMark/>
          </w:tcPr>
          <w:p w:rsidR="008B0C65" w:rsidRPr="00E0115C" w:rsidRDefault="00E34329" w:rsidP="008B0C65">
            <w:pPr>
              <w:spacing w:before="0" w:line="240" w:lineRule="auto"/>
              <w:jc w:val="center"/>
              <w:rPr>
                <w:rFonts w:asciiTheme="minorHAnsi" w:hAnsiTheme="minorHAnsi" w:cs="Calibri"/>
                <w:color w:val="000000"/>
                <w:sz w:val="22"/>
                <w:szCs w:val="18"/>
                <w:lang w:val="en-IN" w:eastAsia="en-IN"/>
              </w:rPr>
            </w:pPr>
            <w:r w:rsidRPr="00E34329">
              <w:rPr>
                <w:rFonts w:asciiTheme="minorHAnsi" w:hAnsiTheme="minorHAnsi"/>
                <w:b/>
                <w:bCs/>
                <w:color w:val="000000"/>
                <w:sz w:val="22"/>
              </w:rPr>
              <w:t>Rs Crore</w:t>
            </w:r>
          </w:p>
        </w:tc>
        <w:tc>
          <w:tcPr>
            <w:tcW w:w="2012" w:type="dxa"/>
            <w:shd w:val="clear" w:color="auto" w:fill="auto"/>
            <w:vAlign w:val="center"/>
            <w:hideMark/>
          </w:tcPr>
          <w:p w:rsidR="008B0C65" w:rsidRPr="00E0115C" w:rsidRDefault="00E34329" w:rsidP="008B0C65">
            <w:pPr>
              <w:spacing w:before="0" w:line="240" w:lineRule="auto"/>
              <w:jc w:val="right"/>
              <w:rPr>
                <w:rFonts w:asciiTheme="minorHAnsi" w:hAnsiTheme="minorHAnsi"/>
                <w:b/>
                <w:bCs/>
                <w:color w:val="000000"/>
                <w:sz w:val="22"/>
              </w:rPr>
            </w:pPr>
            <w:r w:rsidRPr="00E34329">
              <w:rPr>
                <w:rFonts w:asciiTheme="minorHAnsi" w:hAnsiTheme="minorHAnsi" w:cs="Calibri"/>
                <w:b/>
                <w:bCs/>
                <w:color w:val="000000"/>
              </w:rPr>
              <w:t xml:space="preserve">7,602.84 </w:t>
            </w:r>
          </w:p>
        </w:tc>
      </w:tr>
    </w:tbl>
    <w:p w:rsidR="00D5771F" w:rsidRDefault="00D5771F">
      <w:pPr>
        <w:pStyle w:val="Heading3"/>
        <w:numPr>
          <w:ilvl w:val="0"/>
          <w:numId w:val="0"/>
        </w:numPr>
        <w:tabs>
          <w:tab w:val="clear" w:pos="720"/>
        </w:tabs>
        <w:ind w:left="993"/>
        <w:rPr>
          <w:lang w:val="en-IN"/>
        </w:rPr>
      </w:pPr>
    </w:p>
    <w:p w:rsidR="00F70DA9" w:rsidRPr="0088339D" w:rsidRDefault="00E34329" w:rsidP="00C60AD1">
      <w:pPr>
        <w:pStyle w:val="Heading3"/>
        <w:tabs>
          <w:tab w:val="clear" w:pos="720"/>
          <w:tab w:val="num" w:pos="993"/>
        </w:tabs>
        <w:ind w:left="993" w:hanging="993"/>
        <w:rPr>
          <w:lang w:val="en-IN"/>
        </w:rPr>
      </w:pPr>
      <w:r w:rsidRPr="00E34329">
        <w:t xml:space="preserve">The Commission has been considering Distribution losses as controllable parameter and thereupon the power purchase cost consequent to under-achievement of </w:t>
      </w:r>
      <w:r w:rsidRPr="00E34329">
        <w:lastRenderedPageBreak/>
        <w:t>Distribution loss is disallowed. For truing up of ARR for FY 2013-14 the</w:t>
      </w:r>
      <w:r w:rsidRPr="00E34329">
        <w:rPr>
          <w:lang w:val="en-US"/>
        </w:rPr>
        <w:t xml:space="preserve"> allowable power purchase quantum has been computed by grossing up the actual energy sales by the approved distribution loss target or actual loss level whichever is lower</w:t>
      </w:r>
      <w:r w:rsidRPr="00E34329">
        <w:rPr>
          <w:lang w:val="en-IN"/>
        </w:rPr>
        <w:t xml:space="preserve">. </w:t>
      </w:r>
      <w:r w:rsidRPr="00E34329">
        <w:rPr>
          <w:lang w:val="en-US"/>
        </w:rPr>
        <w:t>The power purchase cost is then computed by considering the allowable power purchase thus derived and the bulk supply tariff computed at Discoms periphery which is in line with the approach followed by the Commission in its earlier Orders.</w:t>
      </w:r>
    </w:p>
    <w:p w:rsidR="00D5771F" w:rsidRDefault="00E34329">
      <w:pPr>
        <w:pStyle w:val="Heading3"/>
        <w:tabs>
          <w:tab w:val="clear" w:pos="720"/>
          <w:tab w:val="left" w:pos="993"/>
        </w:tabs>
        <w:spacing w:after="240"/>
        <w:ind w:left="993" w:hanging="993"/>
        <w:rPr>
          <w:lang w:val="en-US"/>
        </w:rPr>
      </w:pPr>
      <w:r w:rsidRPr="00E34329">
        <w:rPr>
          <w:lang w:val="en-US"/>
        </w:rPr>
        <w:t xml:space="preserve">Regulation 4.2 (11) of Distribution Tariff Regulations, 2006 specifies as below: </w:t>
      </w:r>
    </w:p>
    <w:p w:rsidR="00C77C0E" w:rsidRPr="0088339D" w:rsidRDefault="00E34329" w:rsidP="00C60AD1">
      <w:pPr>
        <w:ind w:left="1440"/>
        <w:rPr>
          <w:i/>
          <w:lang w:val="en-US"/>
        </w:rPr>
      </w:pPr>
      <w:r w:rsidRPr="00E34329">
        <w:rPr>
          <w:i/>
          <w:lang w:val="en-US"/>
        </w:rPr>
        <w:t>“4.2 Power Purchase Cost:</w:t>
      </w:r>
    </w:p>
    <w:p w:rsidR="00C77C0E" w:rsidRPr="0088339D" w:rsidRDefault="00E34329" w:rsidP="00C60AD1">
      <w:pPr>
        <w:ind w:left="1440"/>
        <w:rPr>
          <w:i/>
        </w:rPr>
      </w:pPr>
      <w:r w:rsidRPr="00E34329">
        <w:rPr>
          <w:i/>
          <w:lang w:val="en-US"/>
        </w:rPr>
        <w:t>11. In the regime of Availability Based Tariff (ABT), the cost of power purchase through UI shall be allowed to be passed through in tariff of the subsequent year subject to</w:t>
      </w:r>
      <w:r w:rsidRPr="00E34329">
        <w:rPr>
          <w:i/>
        </w:rPr>
        <w:t xml:space="preserve"> the following conditions: </w:t>
      </w:r>
    </w:p>
    <w:p w:rsidR="00C77C0E" w:rsidRPr="0088339D" w:rsidRDefault="00E34329" w:rsidP="00C60AD1">
      <w:pPr>
        <w:ind w:left="1440"/>
        <w:rPr>
          <w:i/>
        </w:rPr>
      </w:pPr>
      <w:r w:rsidRPr="00E34329">
        <w:rPr>
          <w:i/>
        </w:rPr>
        <w:t>a) The average rate for power purchased through UI should not exceed the maximum rate for power purchased under the Merit Order of the licensee as approved by the Commission.</w:t>
      </w:r>
    </w:p>
    <w:p w:rsidR="00C77C0E" w:rsidRPr="0088339D" w:rsidRDefault="00E34329" w:rsidP="00C60AD1">
      <w:pPr>
        <w:ind w:left="1440"/>
        <w:rPr>
          <w:i/>
        </w:rPr>
      </w:pPr>
      <w:r w:rsidRPr="00E34329">
        <w:rPr>
          <w:i/>
        </w:rPr>
        <w:t>b) The total cost of electricity units purchased through UI shall be restricted to 10% of total power purchase cost approved by the Commission.</w:t>
      </w:r>
    </w:p>
    <w:p w:rsidR="00C77C0E" w:rsidRPr="0088339D" w:rsidRDefault="00E34329" w:rsidP="00C60AD1">
      <w:pPr>
        <w:ind w:left="1440"/>
        <w:rPr>
          <w:i/>
        </w:rPr>
      </w:pPr>
      <w:r w:rsidRPr="00E34329">
        <w:rPr>
          <w:i/>
        </w:rPr>
        <w:t>Provided that where the average rate for power purchased under UI exceeds the maximum specified rate of power purchase under the Merit Order of the licensee, the cost of such power purchase shall be allowed to be passed through in tariffs of the subsequent year at the maximum rate for power purchase under the Merit Order of the licensee as approved by the Commission whether the ceiling limit of 10% as stated in 11 (b) above has reached or not.“</w:t>
      </w:r>
    </w:p>
    <w:p w:rsidR="003147B8" w:rsidRPr="0088339D" w:rsidRDefault="00E34329" w:rsidP="00C60AD1">
      <w:pPr>
        <w:pStyle w:val="Heading3"/>
        <w:tabs>
          <w:tab w:val="clear" w:pos="720"/>
        </w:tabs>
        <w:spacing w:after="240"/>
        <w:ind w:left="993" w:hanging="993"/>
      </w:pPr>
      <w:r w:rsidRPr="00E34329">
        <w:t>The Commission has obtained the rates and energy procured through unscheduled interchange (UI). It has been observed that the Petitioner for FY 2013-14 has sold 398.16 MUs through UI at an average rate of Rs. 4.28 per kWh. In view of the above, the Commission has allowed the power sold through UI.</w:t>
      </w:r>
    </w:p>
    <w:p w:rsidR="00F70DA9" w:rsidRPr="00C2017B" w:rsidRDefault="00E34329" w:rsidP="00C60AD1">
      <w:pPr>
        <w:pStyle w:val="Heading3"/>
        <w:tabs>
          <w:tab w:val="clear" w:pos="720"/>
          <w:tab w:val="left" w:pos="993"/>
        </w:tabs>
        <w:spacing w:after="240"/>
        <w:ind w:left="993" w:hanging="993"/>
        <w:rPr>
          <w:lang w:val="en-IN"/>
        </w:rPr>
      </w:pPr>
      <w:bookmarkStart w:id="179" w:name="_Toc419623675"/>
      <w:bookmarkStart w:id="180" w:name="_Toc419641604"/>
      <w:bookmarkStart w:id="181" w:name="_Toc420005516"/>
      <w:bookmarkStart w:id="182" w:name="_Toc420016225"/>
      <w:bookmarkStart w:id="183" w:name="_Toc420016269"/>
      <w:bookmarkEnd w:id="179"/>
      <w:bookmarkEnd w:id="180"/>
      <w:bookmarkEnd w:id="181"/>
      <w:bookmarkEnd w:id="182"/>
      <w:bookmarkEnd w:id="183"/>
      <w:r w:rsidRPr="00E34329">
        <w:rPr>
          <w:lang w:val="en-US"/>
        </w:rPr>
        <w:t>The Petitioner has claimed Rs. 37.48 Crore towards allocation of O&amp;M Expenses of UPPCL. In reply to the query raised by the Commission regarding computation of arriving at the above mentioned amount of Rs. 37.48 Crore, the Petitioner submitted the following details:</w:t>
      </w:r>
    </w:p>
    <w:p w:rsidR="00D5771F" w:rsidRDefault="00D5771F">
      <w:pPr>
        <w:pStyle w:val="Heading3"/>
        <w:numPr>
          <w:ilvl w:val="0"/>
          <w:numId w:val="0"/>
        </w:numPr>
        <w:tabs>
          <w:tab w:val="clear" w:pos="720"/>
          <w:tab w:val="left" w:pos="993"/>
        </w:tabs>
        <w:spacing w:after="240"/>
        <w:ind w:left="993"/>
        <w:rPr>
          <w:lang w:val="en-IN"/>
        </w:rPr>
      </w:pPr>
    </w:p>
    <w:p w:rsidR="00F70DA9" w:rsidRPr="00E0115C" w:rsidRDefault="00E34329" w:rsidP="00C60AD1">
      <w:pPr>
        <w:spacing w:before="0" w:line="240" w:lineRule="auto"/>
        <w:jc w:val="center"/>
        <w:rPr>
          <w:rFonts w:asciiTheme="minorHAnsi" w:hAnsiTheme="minorHAnsi" w:cstheme="minorHAnsi"/>
          <w:b/>
        </w:rPr>
      </w:pPr>
      <w:bookmarkStart w:id="184" w:name="_Toc457603996"/>
      <w:r w:rsidRPr="00E34329">
        <w:rPr>
          <w:rFonts w:asciiTheme="minorHAnsi" w:hAnsiTheme="minorHAnsi"/>
          <w:b/>
          <w:sz w:val="22"/>
          <w:szCs w:val="22"/>
          <w:lang w:val="en-US"/>
        </w:rPr>
        <w:lastRenderedPageBreak/>
        <w:t xml:space="preserve">Table </w:t>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STYLEREF 1 \s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4</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noBreakHyphen/>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SEQ Table \* ARABIC \s 1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4</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t>:   COMPUTATION OF O&amp;M EXPENSES OF UPPCL AS SUBMITTED BY PETITIONER FOR FY 2013-14</w:t>
      </w:r>
      <w:bookmarkEnd w:id="184"/>
      <w:r w:rsidR="00467D3B">
        <w:rPr>
          <w:rFonts w:asciiTheme="minorHAnsi" w:hAnsiTheme="minorHAnsi"/>
          <w:b/>
          <w:sz w:val="22"/>
          <w:szCs w:val="22"/>
          <w:lang w:val="en-US"/>
        </w:rPr>
        <w:t xml:space="preserve"> (Rs. Crore)</w:t>
      </w:r>
    </w:p>
    <w:tbl>
      <w:tblPr>
        <w:tblW w:w="5255" w:type="dxa"/>
        <w:jc w:val="center"/>
        <w:tblInd w:w="8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827"/>
        <w:gridCol w:w="1428"/>
      </w:tblGrid>
      <w:tr w:rsidR="00B16EAD" w:rsidRPr="00680AFE" w:rsidTr="00C2017B">
        <w:trPr>
          <w:trHeight w:val="477"/>
          <w:jc w:val="center"/>
        </w:trPr>
        <w:tc>
          <w:tcPr>
            <w:tcW w:w="3827" w:type="dxa"/>
            <w:shd w:val="clear" w:color="000000" w:fill="DBE5F1"/>
            <w:hideMark/>
          </w:tcPr>
          <w:p w:rsidR="00337C98" w:rsidRPr="00337C98" w:rsidRDefault="00337C98" w:rsidP="00337C98">
            <w:pPr>
              <w:spacing w:before="0" w:line="240" w:lineRule="auto"/>
              <w:rPr>
                <w:rFonts w:asciiTheme="minorHAnsi" w:hAnsiTheme="minorHAnsi"/>
                <w:b/>
                <w:sz w:val="22"/>
                <w:lang w:val="en-IN" w:eastAsia="en-IN"/>
              </w:rPr>
            </w:pPr>
            <w:r w:rsidRPr="00337C98">
              <w:rPr>
                <w:rFonts w:asciiTheme="minorHAnsi" w:hAnsiTheme="minorHAnsi"/>
                <w:b/>
                <w:sz w:val="22"/>
                <w:lang w:val="en-IN" w:eastAsia="en-IN"/>
              </w:rPr>
              <w:t>Particulars</w:t>
            </w:r>
          </w:p>
        </w:tc>
        <w:tc>
          <w:tcPr>
            <w:tcW w:w="1428" w:type="dxa"/>
            <w:shd w:val="clear" w:color="000000" w:fill="DBE5F1"/>
          </w:tcPr>
          <w:p w:rsidR="00337C98" w:rsidRPr="00337C98" w:rsidRDefault="00337C98" w:rsidP="00337C98">
            <w:pPr>
              <w:spacing w:before="0" w:line="240" w:lineRule="auto"/>
              <w:rPr>
                <w:rFonts w:asciiTheme="minorHAnsi" w:hAnsiTheme="minorHAnsi"/>
                <w:b/>
                <w:color w:val="000000"/>
                <w:sz w:val="22"/>
              </w:rPr>
            </w:pPr>
            <w:r w:rsidRPr="00337C98">
              <w:rPr>
                <w:rFonts w:asciiTheme="minorHAnsi" w:hAnsiTheme="minorHAnsi"/>
                <w:b/>
                <w:color w:val="000000"/>
                <w:sz w:val="22"/>
              </w:rPr>
              <w:t>FY 2013-14</w:t>
            </w:r>
          </w:p>
          <w:p w:rsidR="00337C98" w:rsidRPr="00337C98" w:rsidRDefault="00337C98" w:rsidP="00337C98">
            <w:pPr>
              <w:spacing w:before="0" w:line="240" w:lineRule="auto"/>
              <w:rPr>
                <w:rFonts w:asciiTheme="minorHAnsi" w:hAnsiTheme="minorHAnsi"/>
                <w:b/>
                <w:sz w:val="22"/>
                <w:lang w:val="en-IN" w:eastAsia="en-IN"/>
              </w:rPr>
            </w:pPr>
            <w:r w:rsidRPr="00337C98">
              <w:rPr>
                <w:rFonts w:asciiTheme="minorHAnsi" w:hAnsiTheme="minorHAnsi"/>
                <w:b/>
                <w:color w:val="000000"/>
                <w:sz w:val="22"/>
              </w:rPr>
              <w:t>(Audited)</w:t>
            </w:r>
          </w:p>
        </w:tc>
      </w:tr>
      <w:tr w:rsidR="00C5622C" w:rsidRPr="00680AFE" w:rsidTr="00680AFE">
        <w:trPr>
          <w:trHeight w:val="412"/>
          <w:jc w:val="center"/>
        </w:trPr>
        <w:tc>
          <w:tcPr>
            <w:tcW w:w="3827" w:type="dxa"/>
            <w:shd w:val="clear" w:color="auto" w:fill="auto"/>
            <w:vAlign w:val="center"/>
            <w:hideMark/>
          </w:tcPr>
          <w:p w:rsidR="00337C98" w:rsidRPr="00337C98" w:rsidRDefault="00337C98" w:rsidP="00337C98">
            <w:pPr>
              <w:spacing w:before="0" w:line="240" w:lineRule="auto"/>
              <w:rPr>
                <w:rFonts w:asciiTheme="minorHAnsi" w:hAnsiTheme="minorHAnsi"/>
                <w:sz w:val="22"/>
                <w:lang w:val="en-IN"/>
              </w:rPr>
            </w:pPr>
            <w:r w:rsidRPr="00337C98">
              <w:rPr>
                <w:rFonts w:asciiTheme="minorHAnsi" w:hAnsiTheme="minorHAnsi"/>
                <w:sz w:val="22"/>
              </w:rPr>
              <w:t xml:space="preserve">Employee Benefit Expenses </w:t>
            </w:r>
          </w:p>
        </w:tc>
        <w:tc>
          <w:tcPr>
            <w:tcW w:w="1428" w:type="dxa"/>
            <w:vAlign w:val="center"/>
          </w:tcPr>
          <w:p w:rsidR="00337C98" w:rsidRPr="00337C98" w:rsidRDefault="00337C98" w:rsidP="00337C98">
            <w:pPr>
              <w:spacing w:before="0" w:line="240" w:lineRule="auto"/>
              <w:jc w:val="right"/>
              <w:rPr>
                <w:rFonts w:asciiTheme="minorHAnsi" w:hAnsiTheme="minorHAnsi"/>
                <w:sz w:val="22"/>
              </w:rPr>
            </w:pPr>
            <w:r w:rsidRPr="00337C98">
              <w:rPr>
                <w:rFonts w:asciiTheme="minorHAnsi" w:hAnsiTheme="minorHAnsi"/>
                <w:sz w:val="22"/>
              </w:rPr>
              <w:t>138.48</w:t>
            </w:r>
          </w:p>
        </w:tc>
      </w:tr>
      <w:tr w:rsidR="00C5622C" w:rsidRPr="00680AFE" w:rsidTr="00680AFE">
        <w:trPr>
          <w:trHeight w:val="333"/>
          <w:jc w:val="center"/>
        </w:trPr>
        <w:tc>
          <w:tcPr>
            <w:tcW w:w="3827" w:type="dxa"/>
            <w:shd w:val="clear" w:color="auto" w:fill="auto"/>
            <w:vAlign w:val="center"/>
            <w:hideMark/>
          </w:tcPr>
          <w:p w:rsidR="00337C98" w:rsidRPr="00337C98" w:rsidRDefault="00337C98" w:rsidP="00337C98">
            <w:pPr>
              <w:spacing w:before="0" w:line="240" w:lineRule="auto"/>
              <w:rPr>
                <w:rFonts w:asciiTheme="minorHAnsi" w:hAnsiTheme="minorHAnsi"/>
                <w:sz w:val="22"/>
              </w:rPr>
            </w:pPr>
            <w:r w:rsidRPr="00337C98">
              <w:rPr>
                <w:rFonts w:asciiTheme="minorHAnsi" w:hAnsiTheme="minorHAnsi"/>
                <w:sz w:val="22"/>
              </w:rPr>
              <w:t>Administrative, General and Other Expenses</w:t>
            </w:r>
          </w:p>
        </w:tc>
        <w:tc>
          <w:tcPr>
            <w:tcW w:w="1428" w:type="dxa"/>
            <w:vAlign w:val="center"/>
          </w:tcPr>
          <w:p w:rsidR="00337C98" w:rsidRPr="00337C98" w:rsidRDefault="00337C98" w:rsidP="00337C98">
            <w:pPr>
              <w:spacing w:before="0" w:line="240" w:lineRule="auto"/>
              <w:jc w:val="right"/>
              <w:rPr>
                <w:rFonts w:asciiTheme="minorHAnsi" w:hAnsiTheme="minorHAnsi"/>
                <w:sz w:val="22"/>
              </w:rPr>
            </w:pPr>
            <w:r w:rsidRPr="00337C98">
              <w:rPr>
                <w:rFonts w:asciiTheme="minorHAnsi" w:hAnsiTheme="minorHAnsi"/>
                <w:sz w:val="22"/>
              </w:rPr>
              <w:t>19.23</w:t>
            </w:r>
          </w:p>
        </w:tc>
      </w:tr>
      <w:tr w:rsidR="00C5622C" w:rsidRPr="00680AFE" w:rsidTr="00680AFE">
        <w:trPr>
          <w:trHeight w:val="300"/>
          <w:jc w:val="center"/>
        </w:trPr>
        <w:tc>
          <w:tcPr>
            <w:tcW w:w="3827" w:type="dxa"/>
            <w:shd w:val="clear" w:color="auto" w:fill="auto"/>
            <w:vAlign w:val="center"/>
            <w:hideMark/>
          </w:tcPr>
          <w:p w:rsidR="00337C98" w:rsidRPr="00337C98" w:rsidRDefault="00337C98" w:rsidP="00337C98">
            <w:pPr>
              <w:spacing w:before="0" w:line="240" w:lineRule="auto"/>
              <w:rPr>
                <w:rFonts w:asciiTheme="minorHAnsi" w:hAnsiTheme="minorHAnsi"/>
                <w:sz w:val="22"/>
              </w:rPr>
            </w:pPr>
            <w:r w:rsidRPr="00337C98">
              <w:rPr>
                <w:rFonts w:asciiTheme="minorHAnsi" w:hAnsiTheme="minorHAnsi"/>
                <w:sz w:val="22"/>
              </w:rPr>
              <w:t>Total O&amp;M Expenses</w:t>
            </w:r>
          </w:p>
        </w:tc>
        <w:tc>
          <w:tcPr>
            <w:tcW w:w="1428" w:type="dxa"/>
            <w:vAlign w:val="center"/>
          </w:tcPr>
          <w:p w:rsidR="00337C98" w:rsidRPr="00337C98" w:rsidRDefault="00337C98" w:rsidP="00337C98">
            <w:pPr>
              <w:spacing w:before="0" w:line="240" w:lineRule="auto"/>
              <w:jc w:val="right"/>
              <w:rPr>
                <w:rFonts w:asciiTheme="minorHAnsi" w:hAnsiTheme="minorHAnsi"/>
                <w:sz w:val="22"/>
              </w:rPr>
            </w:pPr>
            <w:r w:rsidRPr="00337C98">
              <w:rPr>
                <w:rFonts w:asciiTheme="minorHAnsi" w:hAnsiTheme="minorHAnsi"/>
                <w:sz w:val="22"/>
              </w:rPr>
              <w:t>157.71</w:t>
            </w:r>
          </w:p>
        </w:tc>
      </w:tr>
    </w:tbl>
    <w:p w:rsidR="00337C98" w:rsidRDefault="00337C98" w:rsidP="00337C98">
      <w:pPr>
        <w:spacing w:before="0"/>
        <w:jc w:val="center"/>
        <w:rPr>
          <w:rFonts w:asciiTheme="minorHAnsi" w:hAnsiTheme="minorHAnsi"/>
          <w:b/>
          <w:sz w:val="22"/>
          <w:szCs w:val="22"/>
          <w:lang w:val="en-US"/>
        </w:rPr>
      </w:pPr>
    </w:p>
    <w:p w:rsidR="004F2C5E" w:rsidRPr="00E0115C" w:rsidRDefault="00E34329" w:rsidP="00C60AD1">
      <w:pPr>
        <w:spacing w:before="0"/>
        <w:jc w:val="center"/>
        <w:rPr>
          <w:rFonts w:asciiTheme="minorHAnsi" w:hAnsiTheme="minorHAnsi"/>
          <w:b/>
          <w:sz w:val="22"/>
          <w:szCs w:val="22"/>
          <w:lang w:val="en-US"/>
        </w:rPr>
      </w:pPr>
      <w:bookmarkStart w:id="185" w:name="_Toc457603997"/>
      <w:r w:rsidRPr="00E34329">
        <w:rPr>
          <w:rFonts w:asciiTheme="minorHAnsi" w:hAnsiTheme="minorHAnsi"/>
          <w:b/>
          <w:sz w:val="22"/>
          <w:szCs w:val="22"/>
          <w:lang w:val="en-US"/>
        </w:rPr>
        <w:t xml:space="preserve">Table </w:t>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STYLEREF 1 \s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4</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noBreakHyphen/>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SEQ Table \* ARABIC \s 1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5</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t>: ALLOCATION OF O&amp;M EXPENSES IN THE RATIO OF INPUT ENERGY AS SUBMITTED BY PETITIONER FOR FY 2013-14</w:t>
      </w:r>
      <w:bookmarkEnd w:id="185"/>
    </w:p>
    <w:p w:rsidR="004F2C5E" w:rsidRPr="00E0115C" w:rsidRDefault="004F2C5E" w:rsidP="00C60AD1">
      <w:pPr>
        <w:spacing w:before="0"/>
        <w:jc w:val="center"/>
        <w:rPr>
          <w:rFonts w:asciiTheme="minorHAnsi" w:hAnsiTheme="minorHAnsi"/>
          <w:b/>
          <w:sz w:val="22"/>
          <w:szCs w:val="22"/>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883"/>
        <w:gridCol w:w="1133"/>
        <w:gridCol w:w="1132"/>
        <w:gridCol w:w="1132"/>
        <w:gridCol w:w="1132"/>
        <w:gridCol w:w="1014"/>
        <w:gridCol w:w="921"/>
        <w:gridCol w:w="1168"/>
      </w:tblGrid>
      <w:tr w:rsidR="004F2C5E" w:rsidRPr="00E0115C" w:rsidTr="00C2017B">
        <w:trPr>
          <w:trHeight w:val="378"/>
          <w:tblHeader/>
          <w:jc w:val="center"/>
        </w:trPr>
        <w:tc>
          <w:tcPr>
            <w:tcW w:w="989" w:type="pct"/>
            <w:shd w:val="clear" w:color="auto" w:fill="DBE5F1" w:themeFill="accent1" w:themeFillTint="33"/>
            <w:hideMark/>
          </w:tcPr>
          <w:p w:rsidR="00337C98" w:rsidRDefault="00E34329" w:rsidP="00337C98">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Particulars</w:t>
            </w:r>
          </w:p>
        </w:tc>
        <w:tc>
          <w:tcPr>
            <w:tcW w:w="595" w:type="pct"/>
            <w:shd w:val="clear" w:color="auto" w:fill="DBE5F1" w:themeFill="accent1" w:themeFillTint="33"/>
            <w:hideMark/>
          </w:tcPr>
          <w:p w:rsidR="00337C98" w:rsidRDefault="00E34329" w:rsidP="00337C98">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DVVNL</w:t>
            </w:r>
          </w:p>
        </w:tc>
        <w:tc>
          <w:tcPr>
            <w:tcW w:w="595" w:type="pct"/>
            <w:shd w:val="clear" w:color="auto" w:fill="DBE5F1" w:themeFill="accent1" w:themeFillTint="33"/>
            <w:hideMark/>
          </w:tcPr>
          <w:p w:rsidR="00337C98" w:rsidRDefault="00E34329" w:rsidP="00337C98">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MVVNL</w:t>
            </w:r>
          </w:p>
        </w:tc>
        <w:tc>
          <w:tcPr>
            <w:tcW w:w="595" w:type="pct"/>
            <w:shd w:val="clear" w:color="auto" w:fill="DBE5F1" w:themeFill="accent1" w:themeFillTint="33"/>
            <w:hideMark/>
          </w:tcPr>
          <w:p w:rsidR="00337C98" w:rsidRDefault="00E34329" w:rsidP="00337C98">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PVVNL</w:t>
            </w:r>
          </w:p>
        </w:tc>
        <w:tc>
          <w:tcPr>
            <w:tcW w:w="595" w:type="pct"/>
            <w:shd w:val="clear" w:color="auto" w:fill="DBE5F1" w:themeFill="accent1" w:themeFillTint="33"/>
            <w:hideMark/>
          </w:tcPr>
          <w:p w:rsidR="00337C98" w:rsidRDefault="00E34329" w:rsidP="00337C98">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PuVVNL</w:t>
            </w:r>
          </w:p>
        </w:tc>
        <w:tc>
          <w:tcPr>
            <w:tcW w:w="533" w:type="pct"/>
            <w:shd w:val="clear" w:color="auto" w:fill="DBE5F1" w:themeFill="accent1" w:themeFillTint="33"/>
            <w:hideMark/>
          </w:tcPr>
          <w:p w:rsidR="00337C98" w:rsidRDefault="00E34329" w:rsidP="00337C98">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KESCO</w:t>
            </w:r>
          </w:p>
        </w:tc>
        <w:tc>
          <w:tcPr>
            <w:tcW w:w="484" w:type="pct"/>
            <w:shd w:val="clear" w:color="auto" w:fill="DBE5F1" w:themeFill="accent1" w:themeFillTint="33"/>
            <w:hideMark/>
          </w:tcPr>
          <w:p w:rsidR="00337C98" w:rsidRDefault="00E34329" w:rsidP="00337C98">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NPCL</w:t>
            </w:r>
          </w:p>
        </w:tc>
        <w:tc>
          <w:tcPr>
            <w:tcW w:w="614" w:type="pct"/>
            <w:shd w:val="clear" w:color="auto" w:fill="DBE5F1" w:themeFill="accent1" w:themeFillTint="33"/>
            <w:hideMark/>
          </w:tcPr>
          <w:p w:rsidR="00337C98" w:rsidRDefault="00E34329" w:rsidP="00337C98">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Total</w:t>
            </w:r>
          </w:p>
        </w:tc>
      </w:tr>
      <w:tr w:rsidR="004F2C5E" w:rsidRPr="00E0115C" w:rsidTr="004F2C5E">
        <w:trPr>
          <w:trHeight w:val="489"/>
          <w:jc w:val="center"/>
        </w:trPr>
        <w:tc>
          <w:tcPr>
            <w:tcW w:w="989" w:type="pct"/>
            <w:shd w:val="clear" w:color="auto" w:fill="auto"/>
            <w:noWrap/>
            <w:vAlign w:val="center"/>
            <w:hideMark/>
          </w:tcPr>
          <w:p w:rsidR="00337C98" w:rsidRDefault="00E34329" w:rsidP="00337C98">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Input energy (MU)</w:t>
            </w:r>
          </w:p>
        </w:tc>
        <w:tc>
          <w:tcPr>
            <w:tcW w:w="595"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lang w:val="en-IN" w:eastAsia="en-IN"/>
              </w:rPr>
              <w:t>18,436.63</w:t>
            </w:r>
          </w:p>
        </w:tc>
        <w:tc>
          <w:tcPr>
            <w:tcW w:w="595"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lang w:val="en-IN" w:eastAsia="en-IN"/>
              </w:rPr>
              <w:t>14,252.93</w:t>
            </w:r>
          </w:p>
        </w:tc>
        <w:tc>
          <w:tcPr>
            <w:tcW w:w="595"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lang w:val="en-IN" w:eastAsia="en-IN"/>
              </w:rPr>
              <w:t>24,098.90</w:t>
            </w:r>
          </w:p>
        </w:tc>
        <w:tc>
          <w:tcPr>
            <w:tcW w:w="595"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lang w:val="en-IN" w:eastAsia="en-IN"/>
              </w:rPr>
              <w:t>16,928.91</w:t>
            </w:r>
          </w:p>
        </w:tc>
        <w:tc>
          <w:tcPr>
            <w:tcW w:w="533"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lang w:val="en-IN" w:eastAsia="en-IN"/>
              </w:rPr>
              <w:t>3,554.39</w:t>
            </w:r>
          </w:p>
        </w:tc>
        <w:tc>
          <w:tcPr>
            <w:tcW w:w="484"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lang w:val="en-IN" w:eastAsia="en-IN"/>
              </w:rPr>
              <w:t>314.36</w:t>
            </w:r>
          </w:p>
        </w:tc>
        <w:tc>
          <w:tcPr>
            <w:tcW w:w="614"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lang w:val="en-IN" w:eastAsia="en-IN"/>
              </w:rPr>
              <w:t>77,586.12</w:t>
            </w:r>
          </w:p>
        </w:tc>
      </w:tr>
      <w:tr w:rsidR="004F2C5E" w:rsidRPr="00E0115C" w:rsidTr="004F2C5E">
        <w:trPr>
          <w:trHeight w:val="353"/>
          <w:jc w:val="center"/>
        </w:trPr>
        <w:tc>
          <w:tcPr>
            <w:tcW w:w="4386" w:type="pct"/>
            <w:gridSpan w:val="7"/>
            <w:shd w:val="clear" w:color="auto" w:fill="auto"/>
            <w:noWrap/>
            <w:vAlign w:val="center"/>
            <w:hideMark/>
          </w:tcPr>
          <w:p w:rsidR="00337C98" w:rsidRDefault="00E34329" w:rsidP="00337C98">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Total O&amp;M Expenses – UPPCL as per audited account of FY 2013-14</w:t>
            </w:r>
            <w:r w:rsidR="00467D3B">
              <w:rPr>
                <w:rFonts w:asciiTheme="minorHAnsi" w:hAnsiTheme="minorHAnsi"/>
                <w:sz w:val="22"/>
                <w:szCs w:val="22"/>
                <w:lang w:val="en-IN" w:eastAsia="en-IN"/>
              </w:rPr>
              <w:t xml:space="preserve"> (Rs. Crore)</w:t>
            </w:r>
          </w:p>
        </w:tc>
        <w:tc>
          <w:tcPr>
            <w:tcW w:w="614"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lang w:val="en-IN" w:eastAsia="en-IN"/>
              </w:rPr>
              <w:t>157.71</w:t>
            </w:r>
          </w:p>
        </w:tc>
      </w:tr>
      <w:tr w:rsidR="004F2C5E" w:rsidRPr="00E0115C" w:rsidTr="004F2C5E">
        <w:trPr>
          <w:trHeight w:val="489"/>
          <w:jc w:val="center"/>
        </w:trPr>
        <w:tc>
          <w:tcPr>
            <w:tcW w:w="989" w:type="pct"/>
            <w:shd w:val="clear" w:color="auto" w:fill="auto"/>
            <w:noWrap/>
            <w:vAlign w:val="center"/>
            <w:hideMark/>
          </w:tcPr>
          <w:p w:rsidR="00337C98" w:rsidRDefault="00E34329" w:rsidP="00337C98">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Allocation of O&amp;M</w:t>
            </w:r>
          </w:p>
          <w:p w:rsidR="00467D3B" w:rsidRDefault="00467D3B" w:rsidP="00337C98">
            <w:pPr>
              <w:spacing w:before="0" w:line="240" w:lineRule="auto"/>
              <w:rPr>
                <w:rFonts w:asciiTheme="minorHAnsi" w:hAnsiTheme="minorHAnsi"/>
                <w:sz w:val="22"/>
                <w:szCs w:val="22"/>
                <w:lang w:val="en-IN" w:eastAsia="en-IN"/>
              </w:rPr>
            </w:pPr>
            <w:r>
              <w:rPr>
                <w:rFonts w:asciiTheme="minorHAnsi" w:hAnsiTheme="minorHAnsi"/>
                <w:sz w:val="22"/>
                <w:szCs w:val="22"/>
                <w:lang w:val="en-IN" w:eastAsia="en-IN"/>
              </w:rPr>
              <w:t>(Rs. Crore)</w:t>
            </w:r>
          </w:p>
        </w:tc>
        <w:tc>
          <w:tcPr>
            <w:tcW w:w="595"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lang w:val="en-IN" w:eastAsia="en-IN"/>
              </w:rPr>
              <w:t>37.48</w:t>
            </w:r>
          </w:p>
        </w:tc>
        <w:tc>
          <w:tcPr>
            <w:tcW w:w="595"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lang w:val="en-IN" w:eastAsia="en-IN"/>
              </w:rPr>
              <w:t>28.97</w:t>
            </w:r>
          </w:p>
        </w:tc>
        <w:tc>
          <w:tcPr>
            <w:tcW w:w="595"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lang w:val="en-IN" w:eastAsia="en-IN"/>
              </w:rPr>
              <w:t>48.98</w:t>
            </w:r>
          </w:p>
        </w:tc>
        <w:tc>
          <w:tcPr>
            <w:tcW w:w="595"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lang w:val="en-IN" w:eastAsia="en-IN"/>
              </w:rPr>
              <w:t>34.41</w:t>
            </w:r>
          </w:p>
        </w:tc>
        <w:tc>
          <w:tcPr>
            <w:tcW w:w="533"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lang w:val="en-IN" w:eastAsia="en-IN"/>
              </w:rPr>
              <w:t>7.22</w:t>
            </w:r>
          </w:p>
        </w:tc>
        <w:tc>
          <w:tcPr>
            <w:tcW w:w="484"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lang w:val="en-IN" w:eastAsia="en-IN"/>
              </w:rPr>
              <w:t>0.64</w:t>
            </w:r>
          </w:p>
        </w:tc>
        <w:tc>
          <w:tcPr>
            <w:tcW w:w="614" w:type="pct"/>
            <w:shd w:val="clear" w:color="auto" w:fill="auto"/>
            <w:noWrap/>
            <w:vAlign w:val="center"/>
            <w:hideMark/>
          </w:tcPr>
          <w:p w:rsidR="00337C98" w:rsidRDefault="00E34329" w:rsidP="00337C98">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lang w:val="en-IN" w:eastAsia="en-IN"/>
              </w:rPr>
              <w:t>157.71</w:t>
            </w:r>
          </w:p>
        </w:tc>
      </w:tr>
    </w:tbl>
    <w:p w:rsidR="00B61184" w:rsidRDefault="00B61184">
      <w:pPr>
        <w:spacing w:before="0"/>
        <w:rPr>
          <w:rFonts w:asciiTheme="minorHAnsi" w:hAnsiTheme="minorHAnsi" w:cstheme="minorHAnsi"/>
          <w:b/>
        </w:rPr>
      </w:pPr>
    </w:p>
    <w:p w:rsidR="0024084F" w:rsidRPr="00D76C64" w:rsidRDefault="00E34329" w:rsidP="00C60AD1">
      <w:pPr>
        <w:pStyle w:val="Heading3"/>
        <w:tabs>
          <w:tab w:val="clear" w:pos="720"/>
        </w:tabs>
        <w:spacing w:after="240"/>
        <w:ind w:left="993" w:hanging="993"/>
      </w:pPr>
      <w:bookmarkStart w:id="186" w:name="_Toc419623678"/>
      <w:bookmarkStart w:id="187" w:name="_Toc419641606"/>
      <w:bookmarkStart w:id="188" w:name="_Toc420005518"/>
      <w:bookmarkStart w:id="189" w:name="_Toc420016227"/>
      <w:bookmarkStart w:id="190" w:name="_Toc420016271"/>
      <w:bookmarkStart w:id="191" w:name="_Toc420196305"/>
      <w:bookmarkStart w:id="192" w:name="_Toc420196387"/>
      <w:bookmarkStart w:id="193" w:name="_Toc420197557"/>
      <w:bookmarkStart w:id="194" w:name="_Ref419628155"/>
      <w:bookmarkStart w:id="195" w:name="_Ref396208734"/>
      <w:bookmarkEnd w:id="186"/>
      <w:bookmarkEnd w:id="187"/>
      <w:bookmarkEnd w:id="188"/>
      <w:bookmarkEnd w:id="189"/>
      <w:bookmarkEnd w:id="190"/>
      <w:bookmarkEnd w:id="191"/>
      <w:bookmarkEnd w:id="192"/>
      <w:bookmarkEnd w:id="193"/>
      <w:r w:rsidRPr="00E34329">
        <w:t xml:space="preserve">The Commission has verified the above amount from the Audited Accounts of UPPCL and has allowed such expenses based on actual for FY 2013-14. As the above expenses have been incurred by UPPCL, which is mostly for procuring the power for the Discoms, the above expenses for the purpose of Truing up has been considered as a part of Bulk Supply Tariff. It may further be noted that the procurement of power is the responsibility of the Distribution Licensee for which the Commission allows considerable amount of O&amp;M Expenses and interest on working capital to the Licensee. The Commission has allowed such expenses </w:t>
      </w:r>
      <w:r w:rsidRPr="00E34329">
        <w:rPr>
          <w:lang w:val="en-US"/>
        </w:rPr>
        <w:t xml:space="preserve">during Truing-up of FY 2008-09 to FY 2011-12. </w:t>
      </w:r>
      <w:r w:rsidRPr="00E34329">
        <w:t>However, in the Order dated October 1, 2014, the Commission has directed the Licensee that from FY 2014-15 onwards it should manage such O&amp;M Expenses for procuring the power from the O&amp;M Expenses allowed to it.</w:t>
      </w:r>
      <w:bookmarkEnd w:id="194"/>
    </w:p>
    <w:bookmarkEnd w:id="195"/>
    <w:p w:rsidR="003147B8" w:rsidRPr="00E0115C" w:rsidRDefault="00E34329" w:rsidP="00C60AD1">
      <w:pPr>
        <w:pStyle w:val="Heading3"/>
        <w:tabs>
          <w:tab w:val="clear" w:pos="720"/>
        </w:tabs>
        <w:spacing w:after="240"/>
        <w:ind w:left="993" w:hanging="993"/>
        <w:rPr>
          <w:rFonts w:asciiTheme="minorHAnsi" w:hAnsiTheme="minorHAnsi"/>
        </w:rPr>
      </w:pPr>
      <w:r w:rsidRPr="00E34329">
        <w:t xml:space="preserve">The Table below summarises the energy balance, power purchase quantum and cost submitted by the Petitioner and as approved by the Commission at UPPCL level and the Bulk Supply Tariff for FY 2013-14: </w:t>
      </w:r>
    </w:p>
    <w:p w:rsidR="00D3623B" w:rsidRPr="00E0115C" w:rsidRDefault="00D3623B" w:rsidP="00C60AD1">
      <w:pPr>
        <w:spacing w:before="0" w:line="240" w:lineRule="auto"/>
        <w:jc w:val="left"/>
        <w:rPr>
          <w:rFonts w:asciiTheme="minorHAnsi" w:hAnsiTheme="minorHAnsi"/>
          <w:b/>
          <w:sz w:val="22"/>
          <w:szCs w:val="22"/>
          <w:lang w:val="en-US"/>
        </w:rPr>
      </w:pPr>
    </w:p>
    <w:p w:rsidR="006042EA" w:rsidRPr="00E0115C" w:rsidRDefault="00E34329" w:rsidP="00C60AD1">
      <w:pPr>
        <w:spacing w:before="0" w:line="240" w:lineRule="auto"/>
        <w:jc w:val="left"/>
        <w:rPr>
          <w:rFonts w:asciiTheme="minorHAnsi" w:hAnsiTheme="minorHAnsi"/>
          <w:b/>
          <w:sz w:val="22"/>
          <w:szCs w:val="22"/>
          <w:lang w:val="en-US"/>
        </w:rPr>
      </w:pPr>
      <w:r w:rsidRPr="00E34329">
        <w:rPr>
          <w:rFonts w:asciiTheme="minorHAnsi" w:hAnsiTheme="minorHAnsi"/>
          <w:b/>
          <w:sz w:val="22"/>
          <w:szCs w:val="22"/>
          <w:lang w:val="en-US"/>
        </w:rPr>
        <w:br w:type="page"/>
      </w:r>
    </w:p>
    <w:p w:rsidR="003147B8" w:rsidRPr="00E0115C" w:rsidRDefault="00E34329" w:rsidP="00C60AD1">
      <w:pPr>
        <w:spacing w:before="0"/>
        <w:jc w:val="center"/>
        <w:rPr>
          <w:rFonts w:asciiTheme="minorHAnsi" w:hAnsiTheme="minorHAnsi"/>
          <w:b/>
          <w:sz w:val="22"/>
          <w:szCs w:val="22"/>
          <w:lang w:val="en-US"/>
        </w:rPr>
      </w:pPr>
      <w:bookmarkStart w:id="196" w:name="_Toc457603998"/>
      <w:r w:rsidRPr="00E34329">
        <w:rPr>
          <w:rFonts w:asciiTheme="minorHAnsi" w:hAnsiTheme="minorHAnsi"/>
          <w:b/>
          <w:sz w:val="22"/>
          <w:szCs w:val="22"/>
          <w:lang w:val="en-US"/>
        </w:rPr>
        <w:lastRenderedPageBreak/>
        <w:t xml:space="preserve">Table </w:t>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STYLEREF 1 \s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4</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noBreakHyphen/>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SEQ Table \* ARABIC \s 1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6</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t>: ENERGY BALANCE AND BULK SUPPLY TARIFF APPROVED FOR FY 2013-14</w:t>
      </w:r>
      <w:bookmarkEnd w:id="196"/>
    </w:p>
    <w:tbl>
      <w:tblPr>
        <w:tblW w:w="4754" w:type="pct"/>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151"/>
        <w:gridCol w:w="1078"/>
        <w:gridCol w:w="1261"/>
        <w:gridCol w:w="1259"/>
        <w:gridCol w:w="1113"/>
        <w:gridCol w:w="1185"/>
      </w:tblGrid>
      <w:tr w:rsidR="00164598" w:rsidRPr="00E0115C" w:rsidTr="00C2017B">
        <w:trPr>
          <w:trHeight w:val="801"/>
        </w:trPr>
        <w:tc>
          <w:tcPr>
            <w:tcW w:w="1741" w:type="pct"/>
            <w:shd w:val="clear" w:color="auto" w:fill="DBE5F1" w:themeFill="accent1" w:themeFillTint="33"/>
            <w:hideMark/>
          </w:tcPr>
          <w:p w:rsidR="008B0C65" w:rsidRPr="00E0115C" w:rsidRDefault="00E34329" w:rsidP="00D76C64">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Particulars</w:t>
            </w:r>
          </w:p>
        </w:tc>
        <w:tc>
          <w:tcPr>
            <w:tcW w:w="596" w:type="pct"/>
            <w:shd w:val="clear" w:color="auto" w:fill="DBE5F1" w:themeFill="accent1" w:themeFillTint="33"/>
            <w:noWrap/>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Unit</w:t>
            </w:r>
          </w:p>
        </w:tc>
        <w:tc>
          <w:tcPr>
            <w:tcW w:w="697" w:type="pct"/>
            <w:shd w:val="clear" w:color="auto" w:fill="DBE5F1" w:themeFill="accent1" w:themeFillTint="33"/>
            <w:noWrap/>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Tariff Order</w:t>
            </w:r>
          </w:p>
        </w:tc>
        <w:tc>
          <w:tcPr>
            <w:tcW w:w="696" w:type="pct"/>
            <w:shd w:val="clear" w:color="auto" w:fill="DBE5F1" w:themeFill="accent1" w:themeFillTint="33"/>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Petition</w:t>
            </w:r>
          </w:p>
        </w:tc>
        <w:tc>
          <w:tcPr>
            <w:tcW w:w="615" w:type="pct"/>
            <w:shd w:val="clear" w:color="auto" w:fill="DBE5F1" w:themeFill="accent1" w:themeFillTint="33"/>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Actual</w:t>
            </w:r>
          </w:p>
        </w:tc>
        <w:tc>
          <w:tcPr>
            <w:tcW w:w="655" w:type="pct"/>
            <w:shd w:val="clear" w:color="auto" w:fill="DBE5F1" w:themeFill="accent1" w:themeFillTint="33"/>
            <w:noWrap/>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 xml:space="preserve">Approved upon Truing </w:t>
            </w:r>
            <w:r w:rsidR="00C2017B">
              <w:rPr>
                <w:rFonts w:asciiTheme="minorHAnsi" w:hAnsiTheme="minorHAnsi"/>
                <w:b/>
                <w:sz w:val="22"/>
                <w:szCs w:val="22"/>
                <w:lang w:val="en-IN" w:eastAsia="en-IN"/>
              </w:rPr>
              <w:t>u</w:t>
            </w:r>
            <w:r w:rsidRPr="00E34329">
              <w:rPr>
                <w:rFonts w:asciiTheme="minorHAnsi" w:hAnsiTheme="minorHAnsi"/>
                <w:b/>
                <w:sz w:val="22"/>
                <w:szCs w:val="22"/>
                <w:lang w:val="en-IN" w:eastAsia="en-IN"/>
              </w:rPr>
              <w:t>p</w:t>
            </w:r>
          </w:p>
        </w:tc>
      </w:tr>
      <w:tr w:rsidR="00C22ADB" w:rsidRPr="00E0115C" w:rsidTr="00C22ADB">
        <w:trPr>
          <w:trHeight w:val="300"/>
        </w:trPr>
        <w:tc>
          <w:tcPr>
            <w:tcW w:w="1741" w:type="pct"/>
            <w:shd w:val="clear" w:color="000000" w:fill="FFFFFF"/>
            <w:vAlign w:val="center"/>
            <w:hideMark/>
          </w:tcPr>
          <w:p w:rsidR="008B0C65" w:rsidRPr="00E0115C" w:rsidRDefault="00E34329" w:rsidP="008B0C65">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Power Purchase</w:t>
            </w:r>
          </w:p>
        </w:tc>
        <w:tc>
          <w:tcPr>
            <w:tcW w:w="596" w:type="pct"/>
            <w:shd w:val="clear" w:color="000000" w:fill="FFFFFF"/>
            <w:noWrap/>
            <w:vAlign w:val="center"/>
            <w:hideMark/>
          </w:tcPr>
          <w:p w:rsidR="008B0C65" w:rsidRPr="00E0115C" w:rsidRDefault="00E34329" w:rsidP="008B0C65">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MU</w:t>
            </w:r>
          </w:p>
        </w:tc>
        <w:tc>
          <w:tcPr>
            <w:tcW w:w="697"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84,632.00 </w:t>
            </w:r>
          </w:p>
        </w:tc>
        <w:tc>
          <w:tcPr>
            <w:tcW w:w="696"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84,251.84 </w:t>
            </w:r>
          </w:p>
        </w:tc>
        <w:tc>
          <w:tcPr>
            <w:tcW w:w="615" w:type="pct"/>
            <w:vAlign w:val="center"/>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84,251.84 </w:t>
            </w:r>
          </w:p>
        </w:tc>
        <w:tc>
          <w:tcPr>
            <w:tcW w:w="655" w:type="pct"/>
            <w:shd w:val="clear" w:color="000000" w:fill="FFFFFF"/>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83,870.96 </w:t>
            </w:r>
          </w:p>
        </w:tc>
      </w:tr>
      <w:tr w:rsidR="00C22ADB" w:rsidRPr="00E0115C" w:rsidTr="00C22ADB">
        <w:trPr>
          <w:trHeight w:val="300"/>
        </w:trPr>
        <w:tc>
          <w:tcPr>
            <w:tcW w:w="1741" w:type="pct"/>
            <w:shd w:val="clear" w:color="auto" w:fill="auto"/>
            <w:vAlign w:val="center"/>
            <w:hideMark/>
          </w:tcPr>
          <w:p w:rsidR="008B0C65" w:rsidRPr="00E0115C" w:rsidRDefault="00E34329" w:rsidP="008B0C65">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Inter-State Transmission Losses</w:t>
            </w:r>
          </w:p>
        </w:tc>
        <w:tc>
          <w:tcPr>
            <w:tcW w:w="596" w:type="pct"/>
            <w:shd w:val="clear" w:color="auto" w:fill="auto"/>
            <w:noWrap/>
            <w:vAlign w:val="center"/>
            <w:hideMark/>
          </w:tcPr>
          <w:p w:rsidR="008B0C65" w:rsidRPr="00E0115C" w:rsidRDefault="00E34329" w:rsidP="008B0C65">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MU</w:t>
            </w:r>
          </w:p>
        </w:tc>
        <w:tc>
          <w:tcPr>
            <w:tcW w:w="697"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1,397.00 </w:t>
            </w:r>
          </w:p>
        </w:tc>
        <w:tc>
          <w:tcPr>
            <w:tcW w:w="696"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1,390.72 </w:t>
            </w:r>
          </w:p>
        </w:tc>
        <w:tc>
          <w:tcPr>
            <w:tcW w:w="615" w:type="pct"/>
            <w:vAlign w:val="center"/>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3,344.80 </w:t>
            </w:r>
          </w:p>
        </w:tc>
        <w:tc>
          <w:tcPr>
            <w:tcW w:w="655"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3,329.68 </w:t>
            </w:r>
          </w:p>
        </w:tc>
      </w:tr>
      <w:tr w:rsidR="00C22ADB" w:rsidRPr="00E0115C" w:rsidTr="00C22ADB">
        <w:trPr>
          <w:trHeight w:val="300"/>
        </w:trPr>
        <w:tc>
          <w:tcPr>
            <w:tcW w:w="1741" w:type="pct"/>
            <w:shd w:val="clear" w:color="auto" w:fill="auto"/>
            <w:vAlign w:val="center"/>
            <w:hideMark/>
          </w:tcPr>
          <w:p w:rsidR="008B0C65" w:rsidRPr="00E0115C" w:rsidRDefault="00E34329" w:rsidP="008B0C65">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Inter-State Transmission Losses</w:t>
            </w:r>
          </w:p>
        </w:tc>
        <w:tc>
          <w:tcPr>
            <w:tcW w:w="596" w:type="pct"/>
            <w:shd w:val="clear" w:color="auto" w:fill="auto"/>
            <w:noWrap/>
            <w:vAlign w:val="center"/>
            <w:hideMark/>
          </w:tcPr>
          <w:p w:rsidR="008B0C65" w:rsidRPr="00E0115C" w:rsidRDefault="00E34329" w:rsidP="008B0C65">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w:t>
            </w:r>
          </w:p>
        </w:tc>
        <w:tc>
          <w:tcPr>
            <w:tcW w:w="697"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1.65%</w:t>
            </w:r>
          </w:p>
        </w:tc>
        <w:tc>
          <w:tcPr>
            <w:tcW w:w="696"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1.65%</w:t>
            </w:r>
          </w:p>
        </w:tc>
        <w:tc>
          <w:tcPr>
            <w:tcW w:w="615" w:type="pct"/>
            <w:vAlign w:val="center"/>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3.97%</w:t>
            </w:r>
          </w:p>
        </w:tc>
        <w:tc>
          <w:tcPr>
            <w:tcW w:w="655"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3.97%</w:t>
            </w:r>
          </w:p>
        </w:tc>
      </w:tr>
      <w:tr w:rsidR="00C22ADB" w:rsidRPr="00E0115C" w:rsidTr="00C22ADB">
        <w:trPr>
          <w:trHeight w:val="300"/>
        </w:trPr>
        <w:tc>
          <w:tcPr>
            <w:tcW w:w="1741" w:type="pct"/>
            <w:shd w:val="clear" w:color="auto" w:fill="auto"/>
            <w:vAlign w:val="center"/>
            <w:hideMark/>
          </w:tcPr>
          <w:p w:rsidR="008B0C65" w:rsidRPr="00E0115C" w:rsidRDefault="00E34329" w:rsidP="008B0C65">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Intra-State Transmission Losses</w:t>
            </w:r>
          </w:p>
        </w:tc>
        <w:tc>
          <w:tcPr>
            <w:tcW w:w="596" w:type="pct"/>
            <w:shd w:val="clear" w:color="auto" w:fill="auto"/>
            <w:noWrap/>
            <w:vAlign w:val="center"/>
            <w:hideMark/>
          </w:tcPr>
          <w:p w:rsidR="008B0C65" w:rsidRPr="00E0115C" w:rsidRDefault="00E34329" w:rsidP="008B0C65">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MU</w:t>
            </w:r>
          </w:p>
        </w:tc>
        <w:tc>
          <w:tcPr>
            <w:tcW w:w="697"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3,054.00 </w:t>
            </w:r>
          </w:p>
        </w:tc>
        <w:tc>
          <w:tcPr>
            <w:tcW w:w="696"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3,040.28 </w:t>
            </w:r>
          </w:p>
        </w:tc>
        <w:tc>
          <w:tcPr>
            <w:tcW w:w="615" w:type="pct"/>
            <w:vAlign w:val="center"/>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3,320.92 </w:t>
            </w:r>
          </w:p>
        </w:tc>
        <w:tc>
          <w:tcPr>
            <w:tcW w:w="655"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2,955.16 </w:t>
            </w:r>
          </w:p>
        </w:tc>
      </w:tr>
      <w:tr w:rsidR="00C22ADB" w:rsidRPr="00E0115C" w:rsidTr="00C22ADB">
        <w:trPr>
          <w:trHeight w:val="300"/>
        </w:trPr>
        <w:tc>
          <w:tcPr>
            <w:tcW w:w="1741" w:type="pct"/>
            <w:shd w:val="clear" w:color="auto" w:fill="auto"/>
            <w:vAlign w:val="center"/>
            <w:hideMark/>
          </w:tcPr>
          <w:p w:rsidR="008B0C65" w:rsidRPr="00E0115C" w:rsidRDefault="00E34329" w:rsidP="008B0C65">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Intra-State Transmission Losses</w:t>
            </w:r>
          </w:p>
        </w:tc>
        <w:tc>
          <w:tcPr>
            <w:tcW w:w="596" w:type="pct"/>
            <w:shd w:val="clear" w:color="auto" w:fill="auto"/>
            <w:noWrap/>
            <w:vAlign w:val="center"/>
            <w:hideMark/>
          </w:tcPr>
          <w:p w:rsidR="008B0C65" w:rsidRPr="00E0115C" w:rsidRDefault="00E34329" w:rsidP="008B0C65">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w:t>
            </w:r>
          </w:p>
        </w:tc>
        <w:tc>
          <w:tcPr>
            <w:tcW w:w="697"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3.67%</w:t>
            </w:r>
          </w:p>
        </w:tc>
        <w:tc>
          <w:tcPr>
            <w:tcW w:w="696"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3.67%</w:t>
            </w:r>
          </w:p>
        </w:tc>
        <w:tc>
          <w:tcPr>
            <w:tcW w:w="615" w:type="pct"/>
            <w:vAlign w:val="center"/>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4.10%</w:t>
            </w:r>
          </w:p>
        </w:tc>
        <w:tc>
          <w:tcPr>
            <w:tcW w:w="655"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3.67%</w:t>
            </w:r>
          </w:p>
        </w:tc>
      </w:tr>
      <w:tr w:rsidR="00C22ADB" w:rsidRPr="00E0115C" w:rsidTr="00C22ADB">
        <w:trPr>
          <w:trHeight w:val="300"/>
        </w:trPr>
        <w:tc>
          <w:tcPr>
            <w:tcW w:w="1741" w:type="pct"/>
            <w:shd w:val="clear" w:color="auto" w:fill="auto"/>
            <w:vAlign w:val="center"/>
            <w:hideMark/>
          </w:tcPr>
          <w:p w:rsidR="008B0C65" w:rsidRPr="00E0115C" w:rsidRDefault="00E34329" w:rsidP="008B0C65">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Energy available at Discom End</w:t>
            </w:r>
          </w:p>
        </w:tc>
        <w:tc>
          <w:tcPr>
            <w:tcW w:w="596" w:type="pct"/>
            <w:shd w:val="clear" w:color="auto" w:fill="auto"/>
            <w:noWrap/>
            <w:vAlign w:val="center"/>
            <w:hideMark/>
          </w:tcPr>
          <w:p w:rsidR="008B0C65" w:rsidRPr="00E0115C" w:rsidRDefault="00E34329" w:rsidP="008B0C65">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MU</w:t>
            </w:r>
          </w:p>
        </w:tc>
        <w:tc>
          <w:tcPr>
            <w:tcW w:w="697"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80,181.00 </w:t>
            </w:r>
          </w:p>
        </w:tc>
        <w:tc>
          <w:tcPr>
            <w:tcW w:w="696"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79,820.83 </w:t>
            </w:r>
          </w:p>
        </w:tc>
        <w:tc>
          <w:tcPr>
            <w:tcW w:w="615" w:type="pct"/>
            <w:vAlign w:val="center"/>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77,586.12 </w:t>
            </w:r>
          </w:p>
        </w:tc>
        <w:tc>
          <w:tcPr>
            <w:tcW w:w="655"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77,586.12 </w:t>
            </w:r>
          </w:p>
        </w:tc>
      </w:tr>
      <w:tr w:rsidR="00FA1751" w:rsidRPr="00E0115C" w:rsidTr="00680AFE">
        <w:trPr>
          <w:trHeight w:val="300"/>
        </w:trPr>
        <w:tc>
          <w:tcPr>
            <w:tcW w:w="1741" w:type="pct"/>
            <w:shd w:val="clear" w:color="auto" w:fill="auto"/>
            <w:vAlign w:val="center"/>
            <w:hideMark/>
          </w:tcPr>
          <w:p w:rsidR="00337C98" w:rsidRDefault="00E34329" w:rsidP="00337C98">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Power Purchase Cost (including PGCIL charges)</w:t>
            </w:r>
          </w:p>
        </w:tc>
        <w:tc>
          <w:tcPr>
            <w:tcW w:w="596" w:type="pct"/>
            <w:shd w:val="clear" w:color="auto" w:fill="auto"/>
            <w:noWrap/>
            <w:vAlign w:val="center"/>
            <w:hideMark/>
          </w:tcPr>
          <w:p w:rsidR="00337C98" w:rsidRPr="00337C98" w:rsidRDefault="00337C98" w:rsidP="00337C98">
            <w:pPr>
              <w:spacing w:before="0" w:line="240" w:lineRule="auto"/>
              <w:rPr>
                <w:rFonts w:asciiTheme="minorHAnsi" w:hAnsiTheme="minorHAnsi"/>
                <w:sz w:val="22"/>
                <w:lang w:val="en-IN" w:eastAsia="en-IN"/>
              </w:rPr>
            </w:pPr>
            <w:r w:rsidRPr="00337C98">
              <w:rPr>
                <w:rFonts w:asciiTheme="minorHAnsi" w:hAnsiTheme="minorHAnsi"/>
                <w:sz w:val="22"/>
                <w:lang w:val="en-IN" w:eastAsia="en-IN"/>
              </w:rPr>
              <w:t>Rs. Crore</w:t>
            </w:r>
          </w:p>
        </w:tc>
        <w:tc>
          <w:tcPr>
            <w:tcW w:w="697" w:type="pct"/>
            <w:shd w:val="clear" w:color="auto" w:fill="auto"/>
            <w:noWrap/>
            <w:vAlign w:val="center"/>
            <w:hideMark/>
          </w:tcPr>
          <w:p w:rsidR="00337C98" w:rsidRPr="00337C98" w:rsidRDefault="00337C98" w:rsidP="00337C98">
            <w:pPr>
              <w:spacing w:before="0" w:line="240" w:lineRule="auto"/>
              <w:jc w:val="right"/>
              <w:rPr>
                <w:rFonts w:asciiTheme="minorHAnsi" w:hAnsiTheme="minorHAnsi"/>
                <w:color w:val="000000"/>
                <w:sz w:val="22"/>
              </w:rPr>
            </w:pPr>
            <w:r w:rsidRPr="00337C98">
              <w:rPr>
                <w:rFonts w:asciiTheme="minorHAnsi" w:hAnsiTheme="minorHAnsi"/>
                <w:color w:val="000000"/>
                <w:sz w:val="22"/>
              </w:rPr>
              <w:t xml:space="preserve">31,456.00 </w:t>
            </w:r>
          </w:p>
        </w:tc>
        <w:tc>
          <w:tcPr>
            <w:tcW w:w="696" w:type="pct"/>
            <w:shd w:val="clear" w:color="auto" w:fill="auto"/>
            <w:noWrap/>
            <w:vAlign w:val="center"/>
            <w:hideMark/>
          </w:tcPr>
          <w:p w:rsidR="00337C98" w:rsidRPr="00337C98" w:rsidRDefault="00337C98" w:rsidP="00337C98">
            <w:pPr>
              <w:spacing w:before="0" w:line="240" w:lineRule="auto"/>
              <w:jc w:val="right"/>
              <w:rPr>
                <w:rFonts w:asciiTheme="minorHAnsi" w:hAnsiTheme="minorHAnsi"/>
                <w:color w:val="000000"/>
                <w:sz w:val="22"/>
              </w:rPr>
            </w:pPr>
            <w:r w:rsidRPr="00337C98">
              <w:rPr>
                <w:rFonts w:asciiTheme="minorHAnsi" w:hAnsiTheme="minorHAnsi"/>
                <w:color w:val="000000"/>
                <w:sz w:val="22"/>
              </w:rPr>
              <w:t xml:space="preserve">33,233.64 </w:t>
            </w:r>
          </w:p>
        </w:tc>
        <w:tc>
          <w:tcPr>
            <w:tcW w:w="615" w:type="pct"/>
            <w:vAlign w:val="center"/>
          </w:tcPr>
          <w:p w:rsidR="00337C98" w:rsidRPr="00337C98" w:rsidRDefault="00337C98" w:rsidP="00337C98">
            <w:pPr>
              <w:spacing w:before="0" w:line="240" w:lineRule="auto"/>
              <w:jc w:val="right"/>
              <w:rPr>
                <w:rFonts w:asciiTheme="minorHAnsi" w:hAnsiTheme="minorHAnsi"/>
                <w:color w:val="000000"/>
                <w:sz w:val="22"/>
              </w:rPr>
            </w:pPr>
            <w:r w:rsidRPr="00337C98">
              <w:rPr>
                <w:rFonts w:asciiTheme="minorHAnsi" w:hAnsiTheme="minorHAnsi"/>
                <w:color w:val="000000"/>
                <w:sz w:val="22"/>
              </w:rPr>
              <w:t xml:space="preserve">33,233.64 </w:t>
            </w:r>
          </w:p>
        </w:tc>
        <w:tc>
          <w:tcPr>
            <w:tcW w:w="655" w:type="pct"/>
            <w:shd w:val="clear" w:color="auto" w:fill="auto"/>
            <w:noWrap/>
            <w:vAlign w:val="center"/>
            <w:hideMark/>
          </w:tcPr>
          <w:p w:rsidR="00603835" w:rsidRPr="00603835" w:rsidRDefault="00337C98">
            <w:pPr>
              <w:spacing w:before="0" w:line="240" w:lineRule="auto"/>
              <w:ind w:left="-720" w:right="29" w:firstLine="720"/>
              <w:jc w:val="right"/>
              <w:rPr>
                <w:rFonts w:asciiTheme="minorHAnsi" w:hAnsiTheme="minorHAnsi"/>
                <w:color w:val="000000"/>
                <w:sz w:val="22"/>
              </w:rPr>
            </w:pPr>
            <w:r w:rsidRPr="00337C98">
              <w:rPr>
                <w:rFonts w:asciiTheme="minorHAnsi" w:hAnsiTheme="minorHAnsi"/>
                <w:color w:val="000000"/>
                <w:sz w:val="22"/>
              </w:rPr>
              <w:t xml:space="preserve">33,233.64 </w:t>
            </w:r>
          </w:p>
        </w:tc>
      </w:tr>
      <w:tr w:rsidR="00C22ADB" w:rsidRPr="00E0115C" w:rsidTr="00C22ADB">
        <w:trPr>
          <w:trHeight w:val="300"/>
        </w:trPr>
        <w:tc>
          <w:tcPr>
            <w:tcW w:w="1741" w:type="pct"/>
            <w:shd w:val="clear" w:color="auto" w:fill="auto"/>
            <w:vAlign w:val="center"/>
            <w:hideMark/>
          </w:tcPr>
          <w:p w:rsidR="00337C98" w:rsidRDefault="00E34329" w:rsidP="00337C98">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Power Purchase Cost per unit</w:t>
            </w:r>
          </w:p>
        </w:tc>
        <w:tc>
          <w:tcPr>
            <w:tcW w:w="596" w:type="pct"/>
            <w:shd w:val="clear" w:color="auto" w:fill="auto"/>
            <w:noWrap/>
            <w:vAlign w:val="center"/>
            <w:hideMark/>
          </w:tcPr>
          <w:p w:rsidR="008B0C65" w:rsidRPr="00E0115C" w:rsidRDefault="00E34329" w:rsidP="008B0C65">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Rs./kWh</w:t>
            </w:r>
          </w:p>
        </w:tc>
        <w:tc>
          <w:tcPr>
            <w:tcW w:w="697" w:type="pct"/>
            <w:shd w:val="clear" w:color="auto" w:fill="auto"/>
            <w:noWrap/>
            <w:vAlign w:val="center"/>
            <w:hideMark/>
          </w:tcPr>
          <w:p w:rsidR="008B0C65" w:rsidRPr="00E0115C" w:rsidRDefault="00E34329" w:rsidP="008B0C65">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3.72 </w:t>
            </w:r>
          </w:p>
        </w:tc>
        <w:tc>
          <w:tcPr>
            <w:tcW w:w="696" w:type="pct"/>
            <w:shd w:val="clear" w:color="auto" w:fill="auto"/>
            <w:noWrap/>
            <w:vAlign w:val="center"/>
            <w:hideMark/>
          </w:tcPr>
          <w:p w:rsidR="008B0C65" w:rsidRPr="00E0115C" w:rsidRDefault="00E34329" w:rsidP="008B0C65">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3.94 </w:t>
            </w:r>
          </w:p>
        </w:tc>
        <w:tc>
          <w:tcPr>
            <w:tcW w:w="615" w:type="pct"/>
            <w:vAlign w:val="center"/>
          </w:tcPr>
          <w:p w:rsidR="008B0C65" w:rsidRPr="00E0115C" w:rsidRDefault="00E34329" w:rsidP="008B0C65">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3.94 </w:t>
            </w:r>
          </w:p>
        </w:tc>
        <w:tc>
          <w:tcPr>
            <w:tcW w:w="655" w:type="pct"/>
            <w:shd w:val="clear" w:color="auto" w:fill="auto"/>
            <w:noWrap/>
            <w:vAlign w:val="center"/>
            <w:hideMark/>
          </w:tcPr>
          <w:p w:rsidR="008B0C65" w:rsidRPr="00E0115C" w:rsidRDefault="00E34329" w:rsidP="008B0C65">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3.94 </w:t>
            </w:r>
          </w:p>
        </w:tc>
      </w:tr>
      <w:tr w:rsidR="00C22ADB" w:rsidRPr="00E0115C" w:rsidTr="00C22ADB">
        <w:trPr>
          <w:trHeight w:val="300"/>
        </w:trPr>
        <w:tc>
          <w:tcPr>
            <w:tcW w:w="1741" w:type="pct"/>
            <w:shd w:val="clear" w:color="auto" w:fill="auto"/>
            <w:vAlign w:val="center"/>
            <w:hideMark/>
          </w:tcPr>
          <w:p w:rsidR="008B0C65" w:rsidRPr="00E0115C" w:rsidRDefault="00E34329" w:rsidP="008B0C65">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O&amp;M Expenses of UPPCL</w:t>
            </w:r>
          </w:p>
        </w:tc>
        <w:tc>
          <w:tcPr>
            <w:tcW w:w="596" w:type="pct"/>
            <w:shd w:val="clear" w:color="auto" w:fill="auto"/>
            <w:noWrap/>
            <w:vAlign w:val="center"/>
            <w:hideMark/>
          </w:tcPr>
          <w:p w:rsidR="008B0C65" w:rsidRPr="00E0115C" w:rsidRDefault="00E34329" w:rsidP="008B0C65">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Rs. Crore</w:t>
            </w:r>
          </w:p>
        </w:tc>
        <w:tc>
          <w:tcPr>
            <w:tcW w:w="697" w:type="pct"/>
            <w:shd w:val="clear" w:color="auto" w:fill="auto"/>
            <w:noWrap/>
            <w:vAlign w:val="center"/>
            <w:hideMark/>
          </w:tcPr>
          <w:p w:rsidR="008B0C65" w:rsidRPr="00E0115C" w:rsidRDefault="00E34329" w:rsidP="008B0C65">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w:t>
            </w:r>
          </w:p>
        </w:tc>
        <w:tc>
          <w:tcPr>
            <w:tcW w:w="696" w:type="pct"/>
            <w:shd w:val="clear" w:color="auto" w:fill="auto"/>
            <w:noWrap/>
            <w:vAlign w:val="center"/>
            <w:hideMark/>
          </w:tcPr>
          <w:p w:rsidR="008B0C65" w:rsidRPr="00E0115C" w:rsidRDefault="00E34329" w:rsidP="008B0C65">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w:t>
            </w:r>
          </w:p>
        </w:tc>
        <w:tc>
          <w:tcPr>
            <w:tcW w:w="615" w:type="pct"/>
            <w:vAlign w:val="center"/>
          </w:tcPr>
          <w:p w:rsidR="008B0C65" w:rsidRPr="00E0115C" w:rsidRDefault="00E34329" w:rsidP="008B0C65">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157.71 </w:t>
            </w:r>
          </w:p>
        </w:tc>
        <w:tc>
          <w:tcPr>
            <w:tcW w:w="655" w:type="pct"/>
            <w:shd w:val="clear" w:color="auto" w:fill="auto"/>
            <w:noWrap/>
            <w:vAlign w:val="center"/>
            <w:hideMark/>
          </w:tcPr>
          <w:p w:rsidR="008B0C65" w:rsidRPr="00E0115C" w:rsidRDefault="00E34329" w:rsidP="008B0C65">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157.71</w:t>
            </w:r>
          </w:p>
        </w:tc>
      </w:tr>
      <w:tr w:rsidR="00C22ADB" w:rsidRPr="00E0115C" w:rsidTr="00C22ADB">
        <w:trPr>
          <w:trHeight w:val="300"/>
        </w:trPr>
        <w:tc>
          <w:tcPr>
            <w:tcW w:w="1741" w:type="pct"/>
            <w:shd w:val="clear" w:color="auto" w:fill="auto"/>
            <w:vAlign w:val="center"/>
            <w:hideMark/>
          </w:tcPr>
          <w:p w:rsidR="008B0C65" w:rsidRPr="00E0115C" w:rsidRDefault="00E34329" w:rsidP="008B0C65">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Allowable Power Purchase Cost at Discom end</w:t>
            </w:r>
          </w:p>
        </w:tc>
        <w:tc>
          <w:tcPr>
            <w:tcW w:w="596" w:type="pct"/>
            <w:shd w:val="clear" w:color="auto" w:fill="auto"/>
            <w:noWrap/>
            <w:vAlign w:val="center"/>
            <w:hideMark/>
          </w:tcPr>
          <w:p w:rsidR="008B0C65" w:rsidRPr="00E0115C" w:rsidRDefault="00E34329" w:rsidP="008B0C65">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Rs. Crore</w:t>
            </w:r>
          </w:p>
        </w:tc>
        <w:tc>
          <w:tcPr>
            <w:tcW w:w="697"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696"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615" w:type="pct"/>
            <w:vAlign w:val="center"/>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655"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33,241.11</w:t>
            </w:r>
          </w:p>
        </w:tc>
      </w:tr>
      <w:tr w:rsidR="00C22ADB" w:rsidRPr="00E0115C" w:rsidTr="00C22ADB">
        <w:trPr>
          <w:trHeight w:val="315"/>
        </w:trPr>
        <w:tc>
          <w:tcPr>
            <w:tcW w:w="1741" w:type="pct"/>
            <w:shd w:val="clear" w:color="auto" w:fill="auto"/>
            <w:noWrap/>
            <w:vAlign w:val="center"/>
            <w:hideMark/>
          </w:tcPr>
          <w:p w:rsidR="008B0C65" w:rsidRPr="00E0115C" w:rsidRDefault="00E34329" w:rsidP="008B0C65">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Power Purchase Cost per unit at Discom end (BST)</w:t>
            </w:r>
          </w:p>
        </w:tc>
        <w:tc>
          <w:tcPr>
            <w:tcW w:w="596" w:type="pct"/>
            <w:shd w:val="clear" w:color="auto" w:fill="auto"/>
            <w:noWrap/>
            <w:vAlign w:val="center"/>
            <w:hideMark/>
          </w:tcPr>
          <w:p w:rsidR="008B0C65" w:rsidRPr="00E0115C" w:rsidRDefault="00E34329" w:rsidP="008B0C65">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Rs./kWh</w:t>
            </w:r>
          </w:p>
        </w:tc>
        <w:tc>
          <w:tcPr>
            <w:tcW w:w="697"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3.92 </w:t>
            </w:r>
          </w:p>
        </w:tc>
        <w:tc>
          <w:tcPr>
            <w:tcW w:w="696"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4.16 </w:t>
            </w:r>
          </w:p>
        </w:tc>
        <w:tc>
          <w:tcPr>
            <w:tcW w:w="615" w:type="pct"/>
            <w:vAlign w:val="center"/>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4.30 </w:t>
            </w:r>
          </w:p>
        </w:tc>
        <w:tc>
          <w:tcPr>
            <w:tcW w:w="655" w:type="pct"/>
            <w:shd w:val="clear" w:color="auto" w:fill="auto"/>
            <w:noWrap/>
            <w:vAlign w:val="center"/>
            <w:hideMark/>
          </w:tcPr>
          <w:p w:rsidR="008B0C65" w:rsidRPr="00E0115C" w:rsidRDefault="00E34329" w:rsidP="008B0C65">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xml:space="preserve">4.28 </w:t>
            </w:r>
          </w:p>
        </w:tc>
      </w:tr>
    </w:tbl>
    <w:p w:rsidR="00F70DA9" w:rsidRPr="00E0115C" w:rsidRDefault="00F70DA9" w:rsidP="00C60AD1">
      <w:pPr>
        <w:pStyle w:val="Heading3"/>
        <w:numPr>
          <w:ilvl w:val="0"/>
          <w:numId w:val="0"/>
        </w:numPr>
        <w:tabs>
          <w:tab w:val="clear" w:pos="720"/>
        </w:tabs>
        <w:spacing w:before="0" w:after="240"/>
        <w:ind w:left="993"/>
        <w:rPr>
          <w:rFonts w:asciiTheme="minorHAnsi" w:hAnsiTheme="minorHAnsi"/>
        </w:rPr>
      </w:pPr>
    </w:p>
    <w:p w:rsidR="00435E25" w:rsidRPr="00D76C64" w:rsidRDefault="00E34329" w:rsidP="00C60AD1">
      <w:pPr>
        <w:pStyle w:val="Heading3"/>
        <w:tabs>
          <w:tab w:val="clear" w:pos="720"/>
          <w:tab w:val="left" w:pos="993"/>
        </w:tabs>
        <w:spacing w:after="240"/>
        <w:ind w:left="993" w:hanging="993"/>
      </w:pPr>
      <w:r w:rsidRPr="00E34329">
        <w:t xml:space="preserve">It can be seen from the above that, the Petitioner has claimed the BST as Rs. 4.16 / kWh which does not include the impact of O&amp;M expenses of UPPCL as it has claimed these expenses separately. Thus, considering the impact of O&amp;M expenses of UPPCL and actual expense incurred, the BST works out to be Rs. 4.30 / kWh, against which while undertaking the Truing up of FY 2013-14, the Commission has allowed the BST as Rs. 4.28 / kWh. </w:t>
      </w:r>
    </w:p>
    <w:p w:rsidR="002A759A" w:rsidRPr="00D76C64" w:rsidRDefault="00E34329" w:rsidP="00C60AD1">
      <w:pPr>
        <w:pStyle w:val="Heading3"/>
        <w:tabs>
          <w:tab w:val="clear" w:pos="720"/>
          <w:tab w:val="left" w:pos="993"/>
        </w:tabs>
        <w:spacing w:after="240"/>
        <w:ind w:left="993" w:hanging="993"/>
      </w:pPr>
      <w:r w:rsidRPr="00E34329">
        <w:t xml:space="preserve">It can be further observed that the BST approved by the Commission in Tariff Order for FY 2013-14 was Rs. 3.92 / kWh. However, the BST claimed by the Distribution Licensees is Rs. 4.16 / kWh based on the power purchase cost incurred at UPPCL level in FY 2013-14. It is noted that the Distribution Licensees book the cost of power purchase in their Audited Accounts as per the BST approved by the Commission, while UPPCL procure power at the actual rates from the Generating Companies. Further, the Licensees during Truing up of FY 2013-14 have claimed the power purchase cost higher than the cost incurred as per their audited accounts, which is due to the fact that the actual power purchase cost incurred by UPPCL while procuring power from the generating companies is more than the power purchase cost paid by the Licensees to UPPCL, which is as per the BST approved by the Commission. </w:t>
      </w:r>
      <w:r w:rsidRPr="00E34329">
        <w:rPr>
          <w:b/>
        </w:rPr>
        <w:t xml:space="preserve">Thus, in order to have greater clarity the Commission directs the </w:t>
      </w:r>
      <w:r w:rsidRPr="00E34329">
        <w:rPr>
          <w:b/>
        </w:rPr>
        <w:lastRenderedPageBreak/>
        <w:t>Licensees that, from truing up of FY 2014-15 and onwards it should clearly depict the total power purchase cost incurred at UPPCL level based on actual power purchase cost, total power purchase cost billed by the UPPCL to the Distribution Licensees and power cost payable to UPPCL in its true-up petitions for future years.</w:t>
      </w:r>
    </w:p>
    <w:p w:rsidR="00F70DA9" w:rsidRPr="00E0115C" w:rsidRDefault="00E34329" w:rsidP="00C60AD1">
      <w:pPr>
        <w:pStyle w:val="Heading3"/>
        <w:tabs>
          <w:tab w:val="clear" w:pos="720"/>
          <w:tab w:val="left" w:pos="993"/>
        </w:tabs>
        <w:spacing w:after="240"/>
        <w:ind w:left="993" w:hanging="993"/>
        <w:rPr>
          <w:rFonts w:asciiTheme="minorHAnsi" w:hAnsiTheme="minorHAnsi"/>
        </w:rPr>
      </w:pPr>
      <w:r w:rsidRPr="00E34329">
        <w:rPr>
          <w:lang w:val="en-US"/>
        </w:rPr>
        <w:t>Further, allowable power purchase quantum has been computed by grossing up the actual energy sales by the approved Distribution loss target / Actual Loss Level (whichever is lower) for FY 2013-14</w:t>
      </w:r>
      <w:r w:rsidRPr="00E34329">
        <w:rPr>
          <w:lang w:val="en-IN"/>
        </w:rPr>
        <w:t>.</w:t>
      </w:r>
      <w:r w:rsidRPr="00E34329">
        <w:rPr>
          <w:lang w:val="en-US"/>
        </w:rPr>
        <w:t>The power purchase cost is then computed by considering the allowable power purchase thus obtained and the bulk supply tariff computed at Discoms periphery in line with the approach followed by the Commission in its earlier Orders.</w:t>
      </w:r>
      <w:r w:rsidRPr="00E34329">
        <w:t xml:space="preserve"> Accordingly, the Table below provides the allowable power purchase cost for the Licensee for FY 2013-14:</w:t>
      </w:r>
    </w:p>
    <w:p w:rsidR="003147B8" w:rsidRPr="00E0115C" w:rsidRDefault="00E34329" w:rsidP="00C60AD1">
      <w:pPr>
        <w:spacing w:before="0"/>
        <w:jc w:val="center"/>
        <w:rPr>
          <w:rFonts w:asciiTheme="minorHAnsi" w:hAnsiTheme="minorHAnsi"/>
          <w:b/>
          <w:sz w:val="22"/>
          <w:szCs w:val="22"/>
          <w:lang w:val="en-US"/>
        </w:rPr>
      </w:pPr>
      <w:bookmarkStart w:id="197" w:name="_Toc457603999"/>
      <w:r w:rsidRPr="00E34329">
        <w:rPr>
          <w:rFonts w:asciiTheme="minorHAnsi" w:hAnsiTheme="minorHAnsi"/>
          <w:b/>
          <w:sz w:val="22"/>
          <w:szCs w:val="22"/>
          <w:lang w:val="en-US"/>
        </w:rPr>
        <w:t xml:space="preserve">Table </w:t>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STYLEREF 1 \s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4</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noBreakHyphen/>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SEQ Table \* ARABIC \s 1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7</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t>: ALLOWABLE POWER PURCHASE COST FOR FY 2013-14</w:t>
      </w:r>
      <w:bookmarkEnd w:id="197"/>
    </w:p>
    <w:tbl>
      <w:tblPr>
        <w:tblW w:w="941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235"/>
        <w:gridCol w:w="1539"/>
        <w:gridCol w:w="1819"/>
        <w:gridCol w:w="1819"/>
      </w:tblGrid>
      <w:tr w:rsidR="003147B8" w:rsidRPr="00680AFE" w:rsidTr="00C9770C">
        <w:trPr>
          <w:trHeight w:val="300"/>
          <w:tblHeader/>
        </w:trPr>
        <w:tc>
          <w:tcPr>
            <w:tcW w:w="4235" w:type="dxa"/>
            <w:shd w:val="clear" w:color="auto" w:fill="DBE5F1" w:themeFill="accent1" w:themeFillTint="33"/>
            <w:hideMark/>
          </w:tcPr>
          <w:p w:rsidR="00337C98" w:rsidRPr="00337C98" w:rsidRDefault="00337C98" w:rsidP="00337C98">
            <w:pPr>
              <w:spacing w:before="0" w:line="240" w:lineRule="auto"/>
              <w:jc w:val="center"/>
              <w:rPr>
                <w:rFonts w:asciiTheme="minorHAnsi" w:hAnsiTheme="minorHAnsi"/>
                <w:b/>
                <w:sz w:val="22"/>
                <w:lang w:val="en-US"/>
              </w:rPr>
            </w:pPr>
            <w:r w:rsidRPr="00337C98">
              <w:rPr>
                <w:rFonts w:asciiTheme="minorHAnsi" w:hAnsiTheme="minorHAnsi"/>
                <w:b/>
                <w:sz w:val="22"/>
                <w:lang w:val="en-US"/>
              </w:rPr>
              <w:t>Particulars</w:t>
            </w:r>
          </w:p>
        </w:tc>
        <w:tc>
          <w:tcPr>
            <w:tcW w:w="1539" w:type="dxa"/>
            <w:shd w:val="clear" w:color="000000" w:fill="DBE5F1"/>
            <w:hideMark/>
          </w:tcPr>
          <w:p w:rsidR="00337C98" w:rsidRPr="00337C98" w:rsidRDefault="00337C98" w:rsidP="00337C98">
            <w:pPr>
              <w:spacing w:before="0" w:line="240" w:lineRule="auto"/>
              <w:jc w:val="center"/>
              <w:rPr>
                <w:rFonts w:asciiTheme="minorHAnsi" w:hAnsiTheme="minorHAnsi"/>
                <w:b/>
                <w:sz w:val="22"/>
                <w:lang w:val="en-US"/>
              </w:rPr>
            </w:pPr>
            <w:r w:rsidRPr="00337C98">
              <w:rPr>
                <w:rFonts w:asciiTheme="minorHAnsi" w:hAnsiTheme="minorHAnsi"/>
                <w:b/>
                <w:sz w:val="22"/>
                <w:lang w:val="en-US"/>
              </w:rPr>
              <w:t xml:space="preserve">Approved in </w:t>
            </w:r>
            <w:r w:rsidRPr="00337C98">
              <w:rPr>
                <w:rFonts w:asciiTheme="minorHAnsi" w:hAnsiTheme="minorHAnsi"/>
                <w:b/>
                <w:sz w:val="22"/>
                <w:lang w:val="en-IN" w:eastAsia="en-IN"/>
              </w:rPr>
              <w:t>Tariff Order</w:t>
            </w:r>
          </w:p>
        </w:tc>
        <w:tc>
          <w:tcPr>
            <w:tcW w:w="1819" w:type="dxa"/>
            <w:shd w:val="clear" w:color="000000" w:fill="DBE5F1"/>
            <w:hideMark/>
          </w:tcPr>
          <w:p w:rsidR="00337C98" w:rsidRPr="00337C98" w:rsidRDefault="00337C98" w:rsidP="00337C98">
            <w:pPr>
              <w:spacing w:before="0" w:line="240" w:lineRule="auto"/>
              <w:jc w:val="center"/>
              <w:rPr>
                <w:rFonts w:asciiTheme="minorHAnsi" w:hAnsiTheme="minorHAnsi"/>
                <w:b/>
                <w:sz w:val="22"/>
                <w:lang w:val="en-US"/>
              </w:rPr>
            </w:pPr>
            <w:r w:rsidRPr="00337C98">
              <w:rPr>
                <w:rFonts w:asciiTheme="minorHAnsi" w:hAnsiTheme="minorHAnsi"/>
                <w:b/>
                <w:sz w:val="22"/>
                <w:lang w:val="en-US"/>
              </w:rPr>
              <w:t>True up Petition</w:t>
            </w:r>
          </w:p>
        </w:tc>
        <w:tc>
          <w:tcPr>
            <w:tcW w:w="1819" w:type="dxa"/>
            <w:shd w:val="clear" w:color="000000" w:fill="DBE5F1"/>
            <w:hideMark/>
          </w:tcPr>
          <w:p w:rsidR="00337C98" w:rsidRPr="00337C98" w:rsidRDefault="00337C98" w:rsidP="00337C98">
            <w:pPr>
              <w:spacing w:before="0" w:line="240" w:lineRule="auto"/>
              <w:jc w:val="center"/>
              <w:rPr>
                <w:rFonts w:asciiTheme="minorHAnsi" w:hAnsiTheme="minorHAnsi"/>
                <w:b/>
                <w:sz w:val="22"/>
                <w:lang w:val="en-US"/>
              </w:rPr>
            </w:pPr>
            <w:r w:rsidRPr="00337C98">
              <w:rPr>
                <w:rFonts w:asciiTheme="minorHAnsi" w:hAnsiTheme="minorHAnsi"/>
                <w:b/>
                <w:sz w:val="22"/>
                <w:lang w:val="en-IN" w:eastAsia="en-IN"/>
              </w:rPr>
              <w:t>Approved upon Truing up</w:t>
            </w:r>
          </w:p>
        </w:tc>
      </w:tr>
      <w:tr w:rsidR="00C17934" w:rsidRPr="00680AFE" w:rsidTr="0047058D">
        <w:trPr>
          <w:trHeight w:val="300"/>
        </w:trPr>
        <w:tc>
          <w:tcPr>
            <w:tcW w:w="4235" w:type="dxa"/>
            <w:shd w:val="clear" w:color="auto" w:fill="auto"/>
            <w:noWrap/>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Power Purchase (MU)</w:t>
            </w:r>
          </w:p>
        </w:tc>
        <w:tc>
          <w:tcPr>
            <w:tcW w:w="1539" w:type="dxa"/>
            <w:shd w:val="clear" w:color="auto" w:fill="auto"/>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18,136.89</w:t>
            </w:r>
          </w:p>
        </w:tc>
        <w:tc>
          <w:tcPr>
            <w:tcW w:w="1819" w:type="dxa"/>
            <w:shd w:val="clear" w:color="auto" w:fill="auto"/>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18,436.63</w:t>
            </w:r>
          </w:p>
        </w:tc>
        <w:tc>
          <w:tcPr>
            <w:tcW w:w="181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18,436.63</w:t>
            </w:r>
          </w:p>
        </w:tc>
      </w:tr>
      <w:tr w:rsidR="00C17934" w:rsidRPr="00680AFE" w:rsidTr="0047058D">
        <w:trPr>
          <w:trHeight w:val="300"/>
        </w:trPr>
        <w:tc>
          <w:tcPr>
            <w:tcW w:w="4235" w:type="dxa"/>
            <w:shd w:val="clear" w:color="auto" w:fill="auto"/>
            <w:noWrap/>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Sales (MU)</w:t>
            </w:r>
          </w:p>
        </w:tc>
        <w:tc>
          <w:tcPr>
            <w:tcW w:w="1539" w:type="dxa"/>
            <w:shd w:val="clear" w:color="auto" w:fill="auto"/>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13,059.00</w:t>
            </w:r>
          </w:p>
        </w:tc>
        <w:tc>
          <w:tcPr>
            <w:tcW w:w="1819" w:type="dxa"/>
            <w:shd w:val="clear" w:color="auto" w:fill="auto"/>
            <w:vAlign w:val="bottom"/>
            <w:hideMark/>
          </w:tcPr>
          <w:p w:rsidR="00337C98" w:rsidRPr="00337C98" w:rsidRDefault="00337C98" w:rsidP="00337C98">
            <w:pPr>
              <w:spacing w:before="0" w:line="240" w:lineRule="auto"/>
              <w:jc w:val="right"/>
              <w:rPr>
                <w:rFonts w:asciiTheme="minorHAnsi" w:hAnsiTheme="minorHAnsi"/>
                <w:kern w:val="32"/>
                <w:sz w:val="22"/>
              </w:rPr>
            </w:pPr>
            <w:r w:rsidRPr="00337C98">
              <w:rPr>
                <w:rFonts w:asciiTheme="minorHAnsi" w:hAnsiTheme="minorHAnsi"/>
                <w:color w:val="000000"/>
                <w:sz w:val="22"/>
              </w:rPr>
              <w:t>13,148.05</w:t>
            </w:r>
          </w:p>
        </w:tc>
        <w:tc>
          <w:tcPr>
            <w:tcW w:w="181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13,148.05</w:t>
            </w:r>
          </w:p>
        </w:tc>
      </w:tr>
      <w:tr w:rsidR="00C17934" w:rsidRPr="00680AFE" w:rsidTr="0047058D">
        <w:trPr>
          <w:trHeight w:val="300"/>
        </w:trPr>
        <w:tc>
          <w:tcPr>
            <w:tcW w:w="4235" w:type="dxa"/>
            <w:shd w:val="clear" w:color="auto" w:fill="auto"/>
            <w:noWrap/>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Distribution Loss Target (%)</w:t>
            </w:r>
          </w:p>
        </w:tc>
        <w:tc>
          <w:tcPr>
            <w:tcW w:w="1539" w:type="dxa"/>
            <w:shd w:val="clear" w:color="auto" w:fill="auto"/>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28.00%</w:t>
            </w:r>
          </w:p>
        </w:tc>
        <w:tc>
          <w:tcPr>
            <w:tcW w:w="1819" w:type="dxa"/>
            <w:shd w:val="clear" w:color="auto" w:fill="auto"/>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28.00%</w:t>
            </w:r>
          </w:p>
        </w:tc>
        <w:tc>
          <w:tcPr>
            <w:tcW w:w="181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28.00%</w:t>
            </w:r>
          </w:p>
        </w:tc>
      </w:tr>
      <w:tr w:rsidR="00C17934" w:rsidRPr="00680AFE" w:rsidTr="0047058D">
        <w:trPr>
          <w:trHeight w:val="300"/>
        </w:trPr>
        <w:tc>
          <w:tcPr>
            <w:tcW w:w="4235" w:type="dxa"/>
            <w:shd w:val="clear" w:color="auto" w:fill="auto"/>
            <w:noWrap/>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Allowable Power Purchase (MU)</w:t>
            </w:r>
          </w:p>
        </w:tc>
        <w:tc>
          <w:tcPr>
            <w:tcW w:w="153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 </w:t>
            </w:r>
          </w:p>
        </w:tc>
        <w:tc>
          <w:tcPr>
            <w:tcW w:w="181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18,260.56</w:t>
            </w:r>
          </w:p>
        </w:tc>
        <w:tc>
          <w:tcPr>
            <w:tcW w:w="181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18,260.56</w:t>
            </w:r>
          </w:p>
        </w:tc>
      </w:tr>
      <w:tr w:rsidR="00C17934" w:rsidRPr="00680AFE" w:rsidTr="0047058D">
        <w:trPr>
          <w:trHeight w:val="300"/>
        </w:trPr>
        <w:tc>
          <w:tcPr>
            <w:tcW w:w="4235" w:type="dxa"/>
            <w:shd w:val="clear" w:color="auto" w:fill="auto"/>
            <w:noWrap/>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Trued up Bulk Supply Tariff (Rs. / kWh)</w:t>
            </w:r>
          </w:p>
        </w:tc>
        <w:tc>
          <w:tcPr>
            <w:tcW w:w="153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3.92 </w:t>
            </w:r>
          </w:p>
        </w:tc>
        <w:tc>
          <w:tcPr>
            <w:tcW w:w="1819" w:type="dxa"/>
            <w:shd w:val="clear" w:color="auto" w:fill="auto"/>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4.16</w:t>
            </w:r>
          </w:p>
        </w:tc>
        <w:tc>
          <w:tcPr>
            <w:tcW w:w="181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color w:val="000000"/>
                <w:sz w:val="22"/>
              </w:rPr>
              <w:t>4.28</w:t>
            </w:r>
          </w:p>
        </w:tc>
      </w:tr>
      <w:tr w:rsidR="00C17934" w:rsidRPr="00680AFE" w:rsidTr="0047058D">
        <w:trPr>
          <w:trHeight w:val="300"/>
        </w:trPr>
        <w:tc>
          <w:tcPr>
            <w:tcW w:w="4235" w:type="dxa"/>
            <w:shd w:val="clear" w:color="auto" w:fill="auto"/>
            <w:noWrap/>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Allowable Power Purchase Cost (Rs. Crore)</w:t>
            </w:r>
            <w:r w:rsidRPr="00337C98">
              <w:rPr>
                <w:rFonts w:asciiTheme="minorHAnsi" w:hAnsiTheme="minorHAnsi"/>
                <w:sz w:val="22"/>
                <w:vertAlign w:val="superscript"/>
                <w:lang w:val="en-US"/>
              </w:rPr>
              <w:t>#</w:t>
            </w:r>
          </w:p>
        </w:tc>
        <w:tc>
          <w:tcPr>
            <w:tcW w:w="153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bCs/>
                <w:color w:val="000000"/>
                <w:sz w:val="22"/>
              </w:rPr>
              <w:t>7,115.46</w:t>
            </w:r>
          </w:p>
        </w:tc>
        <w:tc>
          <w:tcPr>
            <w:tcW w:w="181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bCs/>
                <w:color w:val="000000"/>
                <w:sz w:val="22"/>
              </w:rPr>
              <w:t>7,602.84</w:t>
            </w:r>
          </w:p>
        </w:tc>
        <w:tc>
          <w:tcPr>
            <w:tcW w:w="1819" w:type="dxa"/>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bCs/>
                <w:color w:val="000000"/>
                <w:sz w:val="22"/>
              </w:rPr>
              <w:t>7,823.58</w:t>
            </w:r>
          </w:p>
        </w:tc>
      </w:tr>
    </w:tbl>
    <w:p w:rsidR="00603835" w:rsidRDefault="00E34329">
      <w:pPr>
        <w:spacing w:before="0"/>
        <w:jc w:val="left"/>
        <w:rPr>
          <w:rFonts w:asciiTheme="minorHAnsi" w:hAnsiTheme="minorHAnsi" w:cs="Calibri"/>
          <w:i/>
          <w:sz w:val="20"/>
          <w:szCs w:val="22"/>
          <w:lang w:val="en-US"/>
        </w:rPr>
      </w:pPr>
      <w:r w:rsidRPr="00E34329">
        <w:rPr>
          <w:rFonts w:asciiTheme="minorHAnsi" w:hAnsiTheme="minorHAnsi" w:cs="Calibri"/>
          <w:i/>
          <w:sz w:val="20"/>
          <w:szCs w:val="22"/>
          <w:lang w:val="en-US"/>
        </w:rPr>
        <w:t>* The BST as claimed by the Petitioner does not include the impact of O&amp;M Expenses of UPPCL which it has claimed separately.</w:t>
      </w:r>
    </w:p>
    <w:p w:rsidR="00435E25" w:rsidRPr="00E0115C" w:rsidRDefault="00435E25" w:rsidP="00C60AD1">
      <w:pPr>
        <w:spacing w:before="0" w:after="200"/>
        <w:jc w:val="left"/>
        <w:rPr>
          <w:rFonts w:asciiTheme="minorHAnsi" w:hAnsiTheme="minorHAnsi" w:cs="Calibri"/>
          <w:i/>
          <w:sz w:val="22"/>
          <w:szCs w:val="22"/>
          <w:lang w:val="en-US"/>
        </w:rPr>
      </w:pPr>
    </w:p>
    <w:p w:rsidR="003147B8" w:rsidRPr="00D76C64" w:rsidRDefault="00E34329" w:rsidP="00C60AD1">
      <w:pPr>
        <w:pStyle w:val="Heading2"/>
        <w:rPr>
          <w:rFonts w:ascii="Calibri" w:hAnsi="Calibri" w:cs="Calibri"/>
          <w:b w:val="0"/>
          <w:bCs w:val="0"/>
          <w:szCs w:val="26"/>
          <w:lang w:val="en-US"/>
        </w:rPr>
      </w:pPr>
      <w:bookmarkStart w:id="198" w:name="_Toc419641573"/>
      <w:bookmarkStart w:id="199" w:name="_Toc420005498"/>
      <w:bookmarkStart w:id="200" w:name="_Toc420016189"/>
      <w:bookmarkStart w:id="201" w:name="_Toc420020964"/>
      <w:bookmarkStart w:id="202" w:name="_Toc420193364"/>
      <w:bookmarkStart w:id="203" w:name="_Toc420193506"/>
      <w:bookmarkStart w:id="204" w:name="_Toc420196253"/>
      <w:bookmarkStart w:id="205" w:name="_Toc420197507"/>
      <w:bookmarkStart w:id="206" w:name="_Toc356912998"/>
      <w:bookmarkStart w:id="207" w:name="_Toc457603924"/>
      <w:bookmarkEnd w:id="198"/>
      <w:bookmarkEnd w:id="199"/>
      <w:bookmarkEnd w:id="200"/>
      <w:bookmarkEnd w:id="201"/>
      <w:bookmarkEnd w:id="202"/>
      <w:bookmarkEnd w:id="203"/>
      <w:bookmarkEnd w:id="204"/>
      <w:bookmarkEnd w:id="205"/>
      <w:r w:rsidRPr="00E34329">
        <w:rPr>
          <w:rFonts w:ascii="Calibri" w:hAnsi="Calibri" w:cs="Calibri"/>
          <w:szCs w:val="26"/>
          <w:lang w:val="en-US"/>
        </w:rPr>
        <w:t>TRANSMISSION CHARGES</w:t>
      </w:r>
      <w:bookmarkEnd w:id="206"/>
      <w:bookmarkEnd w:id="207"/>
    </w:p>
    <w:p w:rsidR="003147B8" w:rsidRPr="00D76C64" w:rsidRDefault="00E34329" w:rsidP="00C60AD1">
      <w:pPr>
        <w:pStyle w:val="Heading3"/>
        <w:tabs>
          <w:tab w:val="clear" w:pos="720"/>
        </w:tabs>
        <w:spacing w:after="240"/>
        <w:ind w:left="993" w:hanging="993"/>
      </w:pPr>
      <w:bookmarkStart w:id="208" w:name="_Toc352568750"/>
      <w:bookmarkStart w:id="209" w:name="_Toc356912999"/>
      <w:r w:rsidRPr="00E34329">
        <w:t xml:space="preserve">The Petitioner submitted that in the Tariff Order for FY 2013-14, the Commission had approved the Transmission Charges of Rs. 244.67 Crore towards projected power purchase of 18,136.89 MU. The Petitioner submitted that as per the audited accounts, it has incurred Rs. 248.89 Crore towards transmission charges. The Petitioner further submitted that the allowable power purchase input for FY 2013-14 works out to 18,260.56 MU and therefore, for the purpose of claiming the trued up transmission charges, the allowable power purchase input has been taken into consideration. The Petitioner submitted that the per unit rate of Transmission Charge of Rs. 0.193 per kWh has been considered which is the rate submitted by UPPTCL in its True-up Petition for FY 2013-14 filed before the Commission. The </w:t>
      </w:r>
      <w:r w:rsidRPr="00E34329">
        <w:lastRenderedPageBreak/>
        <w:t xml:space="preserve">Petitioner further submitted that the allowable Transmission Charges for FY 2013-14 works out Rs. 353.03 Crore. </w:t>
      </w:r>
    </w:p>
    <w:p w:rsidR="003147B8" w:rsidRPr="00D76C64" w:rsidRDefault="00E34329" w:rsidP="00C60AD1">
      <w:pPr>
        <w:pStyle w:val="Heading3"/>
        <w:tabs>
          <w:tab w:val="clear" w:pos="720"/>
        </w:tabs>
        <w:spacing w:after="240"/>
        <w:ind w:left="993" w:hanging="993"/>
      </w:pPr>
      <w:r w:rsidRPr="00E34329">
        <w:t>Accordingly, the Petitioner has claimed allowable transmission charges of Rs. 353.03 Crore against the actual transmission charges of Rs. 248.89 Crore.</w:t>
      </w:r>
    </w:p>
    <w:p w:rsidR="003147B8" w:rsidRPr="00D76C64" w:rsidRDefault="00E34329" w:rsidP="00C60AD1">
      <w:pPr>
        <w:pStyle w:val="Heading3"/>
        <w:tabs>
          <w:tab w:val="clear" w:pos="720"/>
        </w:tabs>
        <w:spacing w:after="240"/>
        <w:ind w:left="993" w:hanging="993"/>
      </w:pPr>
      <w:r w:rsidRPr="00E34329">
        <w:t>It is observed that the Petitioner has considered the Transmission Charge equivalent to the rate submitted by UPPTCL in its true-up Petition for FY 2013-14. Thus, to derive the allowable transmission charges, allowable power purchase input has been multiplied by the trued up transmission tariff as approved by the Commission in its True up Order for FY 2013-14.</w:t>
      </w:r>
    </w:p>
    <w:p w:rsidR="003147B8" w:rsidRPr="00E0115C" w:rsidRDefault="00E34329" w:rsidP="00C60AD1">
      <w:pPr>
        <w:pStyle w:val="Heading3"/>
        <w:tabs>
          <w:tab w:val="clear" w:pos="720"/>
        </w:tabs>
        <w:spacing w:after="240"/>
        <w:ind w:left="993" w:hanging="993"/>
        <w:rPr>
          <w:rFonts w:asciiTheme="minorHAnsi" w:hAnsiTheme="minorHAnsi"/>
        </w:rPr>
      </w:pPr>
      <w:r w:rsidRPr="00E34329">
        <w:t>Accordingly, the table below provides the allowable transmission charges for the Petitioner for FY 2013-14:</w:t>
      </w:r>
    </w:p>
    <w:p w:rsidR="003147B8" w:rsidRPr="00E0115C" w:rsidRDefault="00E34329" w:rsidP="00C60AD1">
      <w:pPr>
        <w:spacing w:before="0"/>
        <w:jc w:val="center"/>
        <w:rPr>
          <w:rFonts w:asciiTheme="minorHAnsi" w:hAnsiTheme="minorHAnsi"/>
          <w:b/>
          <w:sz w:val="22"/>
          <w:szCs w:val="22"/>
          <w:lang w:val="en-US"/>
        </w:rPr>
      </w:pPr>
      <w:bookmarkStart w:id="210" w:name="_Toc356913179"/>
      <w:bookmarkStart w:id="211" w:name="_Toc394490634"/>
      <w:bookmarkStart w:id="212" w:name="_Toc457604000"/>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8</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ALLOWABLE TRANSMISSION CHARGES FOR FY 2013-14</w:t>
      </w:r>
      <w:bookmarkEnd w:id="210"/>
      <w:bookmarkEnd w:id="211"/>
      <w:bookmarkEnd w:id="212"/>
    </w:p>
    <w:tbl>
      <w:tblPr>
        <w:tblW w:w="464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023"/>
        <w:gridCol w:w="1844"/>
        <w:gridCol w:w="1352"/>
        <w:gridCol w:w="1619"/>
      </w:tblGrid>
      <w:tr w:rsidR="00131386" w:rsidRPr="00680AFE" w:rsidTr="00D67872">
        <w:trPr>
          <w:trHeight w:val="300"/>
          <w:tblHeader/>
          <w:jc w:val="center"/>
        </w:trPr>
        <w:tc>
          <w:tcPr>
            <w:tcW w:w="2276" w:type="pct"/>
            <w:shd w:val="clear" w:color="000000" w:fill="DBE5F1"/>
            <w:hideMark/>
          </w:tcPr>
          <w:p w:rsidR="007B00DC" w:rsidRDefault="00337C98">
            <w:pPr>
              <w:spacing w:before="0" w:line="240" w:lineRule="auto"/>
              <w:jc w:val="center"/>
              <w:rPr>
                <w:rFonts w:asciiTheme="minorHAnsi" w:hAnsiTheme="minorHAnsi"/>
                <w:b/>
                <w:sz w:val="22"/>
                <w:szCs w:val="22"/>
                <w:lang w:val="en-US"/>
              </w:rPr>
            </w:pPr>
            <w:r w:rsidRPr="00337C98">
              <w:rPr>
                <w:rFonts w:asciiTheme="minorHAnsi" w:hAnsiTheme="minorHAnsi"/>
                <w:b/>
                <w:sz w:val="22"/>
                <w:szCs w:val="22"/>
                <w:lang w:val="en-US"/>
              </w:rPr>
              <w:t>Particulars</w:t>
            </w:r>
          </w:p>
        </w:tc>
        <w:tc>
          <w:tcPr>
            <w:tcW w:w="1043" w:type="pct"/>
            <w:shd w:val="clear" w:color="000000" w:fill="DBE5F1"/>
            <w:hideMark/>
          </w:tcPr>
          <w:p w:rsidR="007B00DC" w:rsidRDefault="00337C98">
            <w:pPr>
              <w:spacing w:before="0" w:line="240" w:lineRule="auto"/>
              <w:jc w:val="center"/>
              <w:rPr>
                <w:rFonts w:asciiTheme="minorHAnsi" w:hAnsiTheme="minorHAnsi"/>
                <w:b/>
                <w:sz w:val="22"/>
                <w:szCs w:val="22"/>
                <w:lang w:val="en-US"/>
              </w:rPr>
            </w:pPr>
            <w:r w:rsidRPr="00337C98">
              <w:rPr>
                <w:rFonts w:asciiTheme="minorHAnsi" w:hAnsiTheme="minorHAnsi"/>
                <w:b/>
                <w:sz w:val="22"/>
                <w:szCs w:val="22"/>
              </w:rPr>
              <w:t>Approved in Tariff Order</w:t>
            </w:r>
          </w:p>
        </w:tc>
        <w:tc>
          <w:tcPr>
            <w:tcW w:w="765" w:type="pct"/>
            <w:shd w:val="clear" w:color="000000" w:fill="DBE5F1"/>
            <w:hideMark/>
          </w:tcPr>
          <w:p w:rsidR="007B00DC" w:rsidRDefault="00337C98">
            <w:pPr>
              <w:spacing w:before="0" w:line="240" w:lineRule="auto"/>
              <w:jc w:val="center"/>
              <w:rPr>
                <w:rFonts w:asciiTheme="minorHAnsi" w:hAnsiTheme="minorHAnsi"/>
                <w:b/>
                <w:sz w:val="22"/>
                <w:szCs w:val="22"/>
                <w:lang w:val="en-US"/>
              </w:rPr>
            </w:pPr>
            <w:r w:rsidRPr="00337C98">
              <w:rPr>
                <w:rFonts w:asciiTheme="minorHAnsi" w:hAnsiTheme="minorHAnsi"/>
                <w:b/>
                <w:sz w:val="22"/>
                <w:szCs w:val="22"/>
              </w:rPr>
              <w:t>True up Petition</w:t>
            </w:r>
          </w:p>
        </w:tc>
        <w:tc>
          <w:tcPr>
            <w:tcW w:w="916" w:type="pct"/>
            <w:shd w:val="clear" w:color="000000" w:fill="DBE5F1"/>
            <w:hideMark/>
          </w:tcPr>
          <w:p w:rsidR="007B00DC" w:rsidRDefault="00337C98">
            <w:pPr>
              <w:spacing w:before="0" w:line="240" w:lineRule="auto"/>
              <w:jc w:val="center"/>
              <w:rPr>
                <w:rFonts w:asciiTheme="minorHAnsi" w:hAnsiTheme="minorHAnsi"/>
                <w:b/>
                <w:sz w:val="22"/>
                <w:szCs w:val="22"/>
                <w:lang w:val="en-US"/>
              </w:rPr>
            </w:pPr>
            <w:r w:rsidRPr="00337C98">
              <w:rPr>
                <w:rFonts w:asciiTheme="minorHAnsi" w:hAnsiTheme="minorHAnsi"/>
                <w:b/>
                <w:sz w:val="22"/>
                <w:szCs w:val="22"/>
                <w:lang w:val="en-IN" w:eastAsia="en-IN"/>
              </w:rPr>
              <w:t>Approved upon Truing up</w:t>
            </w:r>
          </w:p>
        </w:tc>
      </w:tr>
      <w:tr w:rsidR="00C76AD7" w:rsidRPr="00680AFE" w:rsidTr="003F20CC">
        <w:trPr>
          <w:trHeight w:val="300"/>
          <w:jc w:val="center"/>
        </w:trPr>
        <w:tc>
          <w:tcPr>
            <w:tcW w:w="2276" w:type="pct"/>
            <w:shd w:val="clear" w:color="auto" w:fill="auto"/>
            <w:noWrap/>
            <w:vAlign w:val="bottom"/>
            <w:hideMark/>
          </w:tcPr>
          <w:p w:rsidR="00337C98" w:rsidRPr="00337C98" w:rsidRDefault="00337C98" w:rsidP="00337C98">
            <w:pPr>
              <w:spacing w:before="0" w:line="240" w:lineRule="auto"/>
              <w:rPr>
                <w:rFonts w:asciiTheme="minorHAnsi" w:hAnsiTheme="minorHAnsi"/>
                <w:sz w:val="22"/>
                <w:szCs w:val="22"/>
                <w:lang w:val="en-US"/>
              </w:rPr>
            </w:pPr>
            <w:r w:rsidRPr="00337C98">
              <w:rPr>
                <w:rFonts w:asciiTheme="minorHAnsi" w:hAnsiTheme="minorHAnsi"/>
                <w:sz w:val="22"/>
                <w:szCs w:val="22"/>
                <w:lang w:val="en-US"/>
              </w:rPr>
              <w:t xml:space="preserve"> Units Wheeled (MU)</w:t>
            </w:r>
          </w:p>
        </w:tc>
        <w:tc>
          <w:tcPr>
            <w:tcW w:w="1043" w:type="pct"/>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szCs w:val="22"/>
                <w:lang w:val="en-US"/>
              </w:rPr>
            </w:pPr>
            <w:r w:rsidRPr="00337C98">
              <w:rPr>
                <w:rFonts w:asciiTheme="minorHAnsi" w:hAnsiTheme="minorHAnsi"/>
                <w:sz w:val="22"/>
                <w:szCs w:val="22"/>
              </w:rPr>
              <w:t>18,136.89</w:t>
            </w:r>
          </w:p>
        </w:tc>
        <w:tc>
          <w:tcPr>
            <w:tcW w:w="765" w:type="pct"/>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szCs w:val="22"/>
                <w:lang w:val="en-US"/>
              </w:rPr>
            </w:pPr>
            <w:r w:rsidRPr="00337C98">
              <w:rPr>
                <w:rFonts w:asciiTheme="minorHAnsi" w:hAnsiTheme="minorHAnsi"/>
                <w:sz w:val="22"/>
                <w:szCs w:val="22"/>
              </w:rPr>
              <w:t>18,260.56</w:t>
            </w:r>
          </w:p>
        </w:tc>
        <w:tc>
          <w:tcPr>
            <w:tcW w:w="916" w:type="pct"/>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szCs w:val="22"/>
                <w:lang w:val="en-US"/>
              </w:rPr>
            </w:pPr>
            <w:r w:rsidRPr="00337C98">
              <w:rPr>
                <w:rFonts w:asciiTheme="minorHAnsi" w:hAnsiTheme="minorHAnsi"/>
                <w:sz w:val="22"/>
                <w:szCs w:val="22"/>
              </w:rPr>
              <w:t>18,260.56</w:t>
            </w:r>
          </w:p>
        </w:tc>
      </w:tr>
      <w:tr w:rsidR="00C76AD7" w:rsidRPr="00680AFE" w:rsidTr="003F20CC">
        <w:trPr>
          <w:trHeight w:val="300"/>
          <w:jc w:val="center"/>
        </w:trPr>
        <w:tc>
          <w:tcPr>
            <w:tcW w:w="2276" w:type="pct"/>
            <w:shd w:val="clear" w:color="auto" w:fill="auto"/>
            <w:noWrap/>
            <w:vAlign w:val="bottom"/>
            <w:hideMark/>
          </w:tcPr>
          <w:p w:rsidR="00337C98" w:rsidRPr="00337C98" w:rsidRDefault="00337C98" w:rsidP="00337C98">
            <w:pPr>
              <w:spacing w:before="0" w:line="240" w:lineRule="auto"/>
              <w:rPr>
                <w:rFonts w:asciiTheme="minorHAnsi" w:hAnsiTheme="minorHAnsi"/>
                <w:sz w:val="22"/>
                <w:szCs w:val="22"/>
                <w:lang w:val="en-US"/>
              </w:rPr>
            </w:pPr>
            <w:r w:rsidRPr="00337C98">
              <w:rPr>
                <w:rFonts w:asciiTheme="minorHAnsi" w:hAnsiTheme="minorHAnsi"/>
                <w:sz w:val="22"/>
                <w:szCs w:val="22"/>
                <w:lang w:val="en-US"/>
              </w:rPr>
              <w:t>Trued up Transmission Charge (Rs./kWh)</w:t>
            </w:r>
          </w:p>
        </w:tc>
        <w:tc>
          <w:tcPr>
            <w:tcW w:w="1043" w:type="pct"/>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szCs w:val="22"/>
                <w:lang w:val="en-US"/>
              </w:rPr>
            </w:pPr>
            <w:r w:rsidRPr="00337C98">
              <w:rPr>
                <w:rFonts w:asciiTheme="minorHAnsi" w:hAnsiTheme="minorHAnsi"/>
                <w:sz w:val="22"/>
                <w:szCs w:val="22"/>
              </w:rPr>
              <w:t>0.135</w:t>
            </w:r>
          </w:p>
        </w:tc>
        <w:tc>
          <w:tcPr>
            <w:tcW w:w="765" w:type="pct"/>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szCs w:val="22"/>
                <w:lang w:val="en-US"/>
              </w:rPr>
            </w:pPr>
            <w:r w:rsidRPr="00337C98">
              <w:rPr>
                <w:rFonts w:asciiTheme="minorHAnsi" w:hAnsiTheme="minorHAnsi"/>
                <w:sz w:val="22"/>
                <w:szCs w:val="22"/>
              </w:rPr>
              <w:t>0.193</w:t>
            </w:r>
          </w:p>
        </w:tc>
        <w:tc>
          <w:tcPr>
            <w:tcW w:w="916" w:type="pct"/>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szCs w:val="22"/>
                <w:lang w:val="en-US"/>
              </w:rPr>
            </w:pPr>
            <w:r w:rsidRPr="00337C98">
              <w:rPr>
                <w:rFonts w:asciiTheme="minorHAnsi" w:hAnsiTheme="minorHAnsi"/>
                <w:sz w:val="22"/>
                <w:szCs w:val="22"/>
              </w:rPr>
              <w:t>0.125</w:t>
            </w:r>
          </w:p>
        </w:tc>
      </w:tr>
      <w:tr w:rsidR="00C76AD7" w:rsidRPr="00680AFE" w:rsidTr="003F20CC">
        <w:trPr>
          <w:trHeight w:val="300"/>
          <w:jc w:val="center"/>
        </w:trPr>
        <w:tc>
          <w:tcPr>
            <w:tcW w:w="2276" w:type="pct"/>
            <w:shd w:val="clear" w:color="auto" w:fill="auto"/>
            <w:noWrap/>
            <w:vAlign w:val="bottom"/>
            <w:hideMark/>
          </w:tcPr>
          <w:p w:rsidR="00337C98" w:rsidRPr="00337C98" w:rsidRDefault="00337C98" w:rsidP="00337C98">
            <w:pPr>
              <w:spacing w:before="0" w:line="240" w:lineRule="auto"/>
              <w:rPr>
                <w:rFonts w:asciiTheme="minorHAnsi" w:hAnsiTheme="minorHAnsi"/>
                <w:sz w:val="22"/>
                <w:szCs w:val="22"/>
                <w:lang w:val="en-US"/>
              </w:rPr>
            </w:pPr>
            <w:r w:rsidRPr="00337C98">
              <w:rPr>
                <w:rFonts w:asciiTheme="minorHAnsi" w:hAnsiTheme="minorHAnsi"/>
                <w:sz w:val="22"/>
                <w:szCs w:val="22"/>
                <w:lang w:val="en-US"/>
              </w:rPr>
              <w:t>Transmission Charges (Rs. Crore)</w:t>
            </w:r>
          </w:p>
        </w:tc>
        <w:tc>
          <w:tcPr>
            <w:tcW w:w="1043" w:type="pct"/>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szCs w:val="22"/>
                <w:lang w:val="en-US"/>
              </w:rPr>
            </w:pPr>
            <w:r w:rsidRPr="00337C98">
              <w:rPr>
                <w:rFonts w:asciiTheme="minorHAnsi" w:hAnsiTheme="minorHAnsi"/>
                <w:sz w:val="22"/>
                <w:szCs w:val="22"/>
              </w:rPr>
              <w:t>244.67</w:t>
            </w:r>
          </w:p>
        </w:tc>
        <w:tc>
          <w:tcPr>
            <w:tcW w:w="765" w:type="pct"/>
            <w:shd w:val="clear" w:color="000000" w:fill="FFFFFF"/>
            <w:noWrap/>
            <w:vAlign w:val="bottom"/>
            <w:hideMark/>
          </w:tcPr>
          <w:p w:rsidR="00337C98" w:rsidRPr="00337C98" w:rsidRDefault="00337C98" w:rsidP="00337C98">
            <w:pPr>
              <w:spacing w:before="0" w:line="240" w:lineRule="auto"/>
              <w:jc w:val="right"/>
              <w:rPr>
                <w:rFonts w:asciiTheme="minorHAnsi" w:hAnsiTheme="minorHAnsi"/>
                <w:sz w:val="22"/>
                <w:szCs w:val="22"/>
                <w:lang w:val="en-US"/>
              </w:rPr>
            </w:pPr>
            <w:r w:rsidRPr="00337C98">
              <w:rPr>
                <w:rFonts w:asciiTheme="minorHAnsi" w:hAnsiTheme="minorHAnsi"/>
                <w:sz w:val="22"/>
                <w:szCs w:val="22"/>
              </w:rPr>
              <w:t>353.03</w:t>
            </w:r>
          </w:p>
        </w:tc>
        <w:tc>
          <w:tcPr>
            <w:tcW w:w="916" w:type="pct"/>
            <w:shd w:val="clear" w:color="auto" w:fill="auto"/>
            <w:noWrap/>
            <w:vAlign w:val="bottom"/>
            <w:hideMark/>
          </w:tcPr>
          <w:p w:rsidR="00337C98" w:rsidRPr="00337C98" w:rsidRDefault="00337C98" w:rsidP="00337C98">
            <w:pPr>
              <w:spacing w:before="0" w:line="240" w:lineRule="auto"/>
              <w:jc w:val="right"/>
              <w:rPr>
                <w:rFonts w:asciiTheme="minorHAnsi" w:hAnsiTheme="minorHAnsi"/>
                <w:sz w:val="22"/>
                <w:szCs w:val="22"/>
                <w:lang w:val="en-US"/>
              </w:rPr>
            </w:pPr>
            <w:r w:rsidRPr="00337C98">
              <w:rPr>
                <w:rFonts w:asciiTheme="minorHAnsi" w:hAnsiTheme="minorHAnsi"/>
                <w:sz w:val="22"/>
                <w:szCs w:val="22"/>
              </w:rPr>
              <w:t>227.70</w:t>
            </w:r>
          </w:p>
        </w:tc>
      </w:tr>
    </w:tbl>
    <w:p w:rsidR="00603835" w:rsidRDefault="00603835">
      <w:pPr>
        <w:spacing w:before="0" w:after="200"/>
        <w:jc w:val="left"/>
        <w:rPr>
          <w:rFonts w:ascii="Cambria" w:hAnsi="Cambria"/>
          <w:b/>
          <w:bCs/>
          <w:sz w:val="22"/>
          <w:szCs w:val="26"/>
          <w:lang w:val="en-US"/>
        </w:rPr>
      </w:pPr>
    </w:p>
    <w:p w:rsidR="003147B8" w:rsidRPr="00D76C64" w:rsidRDefault="00E34329" w:rsidP="00C60AD1">
      <w:pPr>
        <w:pStyle w:val="Heading2"/>
        <w:rPr>
          <w:rFonts w:ascii="Calibri" w:hAnsi="Calibri" w:cs="Calibri"/>
          <w:b w:val="0"/>
          <w:bCs w:val="0"/>
          <w:szCs w:val="26"/>
          <w:lang w:val="en-US"/>
        </w:rPr>
      </w:pPr>
      <w:bookmarkStart w:id="213" w:name="_Toc457603925"/>
      <w:r w:rsidRPr="00E34329">
        <w:rPr>
          <w:rFonts w:ascii="Calibri" w:hAnsi="Calibri" w:cs="Calibri"/>
          <w:szCs w:val="26"/>
          <w:lang w:val="en-US"/>
        </w:rPr>
        <w:t>O&amp;M EXPENSES</w:t>
      </w:r>
      <w:bookmarkEnd w:id="208"/>
      <w:bookmarkEnd w:id="209"/>
      <w:bookmarkEnd w:id="213"/>
    </w:p>
    <w:p w:rsidR="003147B8" w:rsidRPr="00D76C64" w:rsidRDefault="00E34329" w:rsidP="00C60AD1">
      <w:pPr>
        <w:pStyle w:val="Heading3"/>
        <w:tabs>
          <w:tab w:val="clear" w:pos="720"/>
        </w:tabs>
        <w:spacing w:after="240"/>
        <w:ind w:left="993" w:hanging="993"/>
      </w:pPr>
      <w:r w:rsidRPr="00E34329">
        <w:t xml:space="preserve">Operation and Maintenance (O&amp;M) expenses comprise of employee related costs, A&amp;G expenses and R&amp;M expenditure. </w:t>
      </w:r>
    </w:p>
    <w:p w:rsidR="003147B8" w:rsidRPr="00D76C64" w:rsidRDefault="00E34329" w:rsidP="00C60AD1">
      <w:pPr>
        <w:pStyle w:val="Heading3"/>
        <w:tabs>
          <w:tab w:val="clear" w:pos="720"/>
        </w:tabs>
        <w:spacing w:after="240"/>
        <w:ind w:left="993" w:hanging="993"/>
        <w:rPr>
          <w:b/>
        </w:rPr>
      </w:pPr>
      <w:r w:rsidRPr="00E34329">
        <w:t>The Petitioner’s submissions on each of the heads of O&amp;M expenditure for FY 2013-14, and the Commission’s analysis on the truing up of the O&amp;M expenditure heads are detailed below:</w:t>
      </w:r>
    </w:p>
    <w:p w:rsidR="003147B8" w:rsidRPr="00D76C64" w:rsidRDefault="00E34329" w:rsidP="00C60AD1">
      <w:pPr>
        <w:pStyle w:val="Heading3"/>
        <w:tabs>
          <w:tab w:val="clear" w:pos="720"/>
        </w:tabs>
        <w:spacing w:after="240"/>
        <w:ind w:left="993" w:hanging="993"/>
      </w:pPr>
      <w:r w:rsidRPr="00E34329">
        <w:t xml:space="preserve">The Petitioner submitted that the actual net employee expenses for FY 2013-14 is Rs. 170.28 Crore, against the approved expenses of Rs. 301.07 Crore. The Petitioner submitted the actual net administrative and general expenses for FY 2013-14 is Rs. 50.15 Crore against the approved expenses of Rs. 48.04 Crore. </w:t>
      </w:r>
    </w:p>
    <w:p w:rsidR="003147B8" w:rsidRPr="00D76C64" w:rsidRDefault="00E34329" w:rsidP="00C60AD1">
      <w:pPr>
        <w:pStyle w:val="Heading3"/>
        <w:tabs>
          <w:tab w:val="clear" w:pos="720"/>
        </w:tabs>
        <w:spacing w:after="240"/>
        <w:ind w:left="993" w:hanging="993"/>
      </w:pPr>
      <w:r w:rsidRPr="00E34329">
        <w:t xml:space="preserve">The Petitioner has submitted the actual Repair and Maintenance (R&amp;M) Expenses for FY 2013-14 as Rs. 329.62 Crore as against the approved expenses of Rs. 199.47 Crore. The Petitioner has claimed the actual R&amp;M Expenses for FY 2013-14. </w:t>
      </w:r>
    </w:p>
    <w:p w:rsidR="003147B8" w:rsidRPr="00D76C64" w:rsidRDefault="00E34329" w:rsidP="00C60AD1">
      <w:pPr>
        <w:pStyle w:val="Heading3"/>
        <w:tabs>
          <w:tab w:val="clear" w:pos="720"/>
        </w:tabs>
        <w:spacing w:after="240"/>
        <w:ind w:left="993" w:hanging="993"/>
      </w:pPr>
      <w:r w:rsidRPr="00E34329">
        <w:lastRenderedPageBreak/>
        <w:t xml:space="preserve">Regulation 4.3 of Distribution Tariff Regulations, 2006 stipulates the methodology for consideration of the O&amp;M Expenses, wherein such expenses are linked to the inflation index determined under these Regulations. The relevant provisions of the Distribution Tariff Regulations, 2006 are reproduced below: </w:t>
      </w:r>
    </w:p>
    <w:p w:rsidR="003147B8" w:rsidRPr="00D76C64" w:rsidRDefault="00E34329" w:rsidP="00C60AD1">
      <w:pPr>
        <w:autoSpaceDE w:val="0"/>
        <w:autoSpaceDN w:val="0"/>
        <w:adjustRightInd w:val="0"/>
        <w:spacing w:before="0" w:after="200"/>
        <w:ind w:left="1440"/>
        <w:rPr>
          <w:rFonts w:cs="Calibri"/>
          <w:b/>
          <w:i/>
          <w:szCs w:val="22"/>
          <w:lang w:val="en-US"/>
        </w:rPr>
      </w:pPr>
      <w:r w:rsidRPr="00E34329">
        <w:rPr>
          <w:rFonts w:cs="Calibri"/>
          <w:i/>
          <w:szCs w:val="22"/>
          <w:lang w:val="en-US"/>
        </w:rPr>
        <w:t>“</w:t>
      </w:r>
      <w:r w:rsidRPr="00E34329">
        <w:rPr>
          <w:rFonts w:cs="Calibri"/>
          <w:b/>
          <w:i/>
          <w:szCs w:val="22"/>
          <w:lang w:val="en-US"/>
        </w:rPr>
        <w:t>4.3</w:t>
      </w:r>
      <w:r w:rsidR="00395EFC">
        <w:rPr>
          <w:rFonts w:cs="Calibri"/>
          <w:b/>
          <w:i/>
          <w:szCs w:val="22"/>
          <w:lang w:val="en-US"/>
        </w:rPr>
        <w:t xml:space="preserve"> </w:t>
      </w:r>
      <w:r w:rsidRPr="00E34329">
        <w:rPr>
          <w:rFonts w:cs="Calibri"/>
          <w:b/>
          <w:i/>
          <w:szCs w:val="22"/>
          <w:lang w:val="en-US"/>
        </w:rPr>
        <w:t>Operation &amp; Maintenance Expenses (O&amp;M):</w:t>
      </w:r>
    </w:p>
    <w:p w:rsidR="003147B8" w:rsidRPr="00D76C64" w:rsidRDefault="00E34329" w:rsidP="00C60AD1">
      <w:pPr>
        <w:autoSpaceDE w:val="0"/>
        <w:autoSpaceDN w:val="0"/>
        <w:adjustRightInd w:val="0"/>
        <w:spacing w:before="0" w:after="200"/>
        <w:ind w:left="1440"/>
        <w:rPr>
          <w:rFonts w:cs="Calibri"/>
          <w:i/>
          <w:szCs w:val="22"/>
          <w:lang w:val="en-US"/>
        </w:rPr>
      </w:pPr>
      <w:r w:rsidRPr="00E34329">
        <w:rPr>
          <w:rFonts w:cs="Calibri"/>
          <w:i/>
          <w:szCs w:val="22"/>
          <w:lang w:val="en-US"/>
        </w:rPr>
        <w:t xml:space="preserve">1. The O&amp;M expenses comprise of employee cost, repairs &amp; maintenance (R&amp;M) cost and administrative &amp; general (A&amp;G) cost. The O&amp;M expenses for the base year shall be calculated on the basis of historical/audited costs and past trend during the preceding five years. However, any abnormal variation during the preceding five years shall be excluded. For determination of the O&amp;M expenses of the year under consideration, the O&amp;M expenses of the </w:t>
      </w:r>
      <w:r w:rsidRPr="00E34329">
        <w:rPr>
          <w:rFonts w:cs="Calibri"/>
          <w:b/>
          <w:i/>
          <w:szCs w:val="22"/>
          <w:u w:val="single"/>
          <w:lang w:val="en-US"/>
        </w:rPr>
        <w:t>base year shall be escalated at inflation rates notified by the Central Government for different years. The inflation rate for above purpose shall be the weighted average of Wholesale Price Index and Consumer Price Index in the ratio of 60:40. Base year, for these regulations means, the first year of tariff determination under these regulations</w:t>
      </w:r>
      <w:r w:rsidRPr="00E34329">
        <w:rPr>
          <w:rFonts w:cs="Calibri"/>
          <w:i/>
          <w:szCs w:val="22"/>
          <w:lang w:val="en-US"/>
        </w:rPr>
        <w:t>……..”[Emphasis added]</w:t>
      </w:r>
    </w:p>
    <w:p w:rsidR="006042EA" w:rsidRPr="00E0115C" w:rsidRDefault="00E34329" w:rsidP="00C60AD1">
      <w:pPr>
        <w:pStyle w:val="Heading3"/>
        <w:tabs>
          <w:tab w:val="clear" w:pos="720"/>
        </w:tabs>
        <w:spacing w:after="240"/>
        <w:ind w:left="993" w:hanging="993"/>
        <w:rPr>
          <w:rFonts w:asciiTheme="minorHAnsi" w:hAnsiTheme="minorHAnsi"/>
        </w:rPr>
      </w:pPr>
      <w:bookmarkStart w:id="214" w:name="_Ref396209771"/>
      <w:r w:rsidRPr="00E34329">
        <w:t>The Commission, in accordance with the above Regulation, has calculated the inflation index for FY 2013-14 based on the weighted average index of WPI and CPI. The Commission has considered the WPI and CPI as available on the website of Economic Advisor, Ministry of Commerce and Industry, Ministry of Labour, respectively. Accordingly, the Commission has calculated the inflation index for approval of O&amp;M expenses as shown in Table below:</w:t>
      </w:r>
      <w:bookmarkEnd w:id="214"/>
    </w:p>
    <w:p w:rsidR="006042EA" w:rsidRPr="00E0115C" w:rsidRDefault="006042EA" w:rsidP="00C60AD1">
      <w:pPr>
        <w:spacing w:before="0" w:after="200"/>
        <w:jc w:val="left"/>
        <w:rPr>
          <w:rFonts w:asciiTheme="minorHAnsi" w:hAnsiTheme="minorHAnsi" w:cs="Calibri"/>
          <w:sz w:val="22"/>
          <w:szCs w:val="22"/>
          <w:lang w:val="en-US"/>
        </w:rPr>
        <w:sectPr w:rsidR="006042EA" w:rsidRPr="00E0115C" w:rsidSect="00804BA3">
          <w:headerReference w:type="default" r:id="rId9"/>
          <w:footerReference w:type="default" r:id="rId10"/>
          <w:pgSz w:w="11909" w:h="16834"/>
          <w:pgMar w:top="656" w:right="1440" w:bottom="1440" w:left="1170" w:header="720" w:footer="720" w:gutter="0"/>
          <w:pgNumType w:chapSep="colon"/>
          <w:cols w:space="720"/>
          <w:titlePg/>
          <w:docGrid w:linePitch="326"/>
        </w:sectPr>
      </w:pPr>
    </w:p>
    <w:p w:rsidR="003147B8" w:rsidRPr="00E0115C" w:rsidRDefault="00E34329" w:rsidP="00C60AD1">
      <w:pPr>
        <w:spacing w:before="0"/>
        <w:jc w:val="center"/>
        <w:rPr>
          <w:rFonts w:asciiTheme="minorHAnsi" w:hAnsiTheme="minorHAnsi" w:cs="Calibri"/>
          <w:b/>
          <w:sz w:val="22"/>
          <w:szCs w:val="22"/>
          <w:lang w:val="en-US"/>
        </w:rPr>
      </w:pPr>
      <w:bookmarkStart w:id="215" w:name="_Ref395788093"/>
      <w:bookmarkStart w:id="216" w:name="_Toc394490635"/>
      <w:bookmarkStart w:id="217" w:name="_Toc457604001"/>
      <w:r w:rsidRPr="00E34329">
        <w:rPr>
          <w:rFonts w:asciiTheme="minorHAnsi" w:hAnsiTheme="minorHAnsi" w:cs="Calibri"/>
          <w:b/>
          <w:sz w:val="22"/>
          <w:szCs w:val="22"/>
          <w:lang w:val="en-US"/>
        </w:rPr>
        <w:lastRenderedPageBreak/>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9</w:t>
      </w:r>
      <w:r w:rsidR="009741CA" w:rsidRPr="00E34329">
        <w:rPr>
          <w:rFonts w:asciiTheme="minorHAnsi" w:hAnsiTheme="minorHAnsi" w:cs="Calibri"/>
          <w:b/>
          <w:sz w:val="22"/>
          <w:szCs w:val="22"/>
          <w:lang w:val="en-US"/>
        </w:rPr>
        <w:fldChar w:fldCharType="end"/>
      </w:r>
      <w:bookmarkEnd w:id="215"/>
      <w:r w:rsidRPr="00E34329">
        <w:rPr>
          <w:rFonts w:asciiTheme="minorHAnsi" w:hAnsiTheme="minorHAnsi" w:cs="Calibri"/>
          <w:b/>
          <w:sz w:val="22"/>
          <w:szCs w:val="22"/>
          <w:lang w:val="en-US"/>
        </w:rPr>
        <w:t>: ESCALATION INDEX</w:t>
      </w:r>
      <w:bookmarkEnd w:id="216"/>
      <w:bookmarkEnd w:id="217"/>
    </w:p>
    <w:tbl>
      <w:tblPr>
        <w:tblW w:w="538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57"/>
        <w:gridCol w:w="685"/>
        <w:gridCol w:w="34"/>
        <w:gridCol w:w="631"/>
        <w:gridCol w:w="19"/>
        <w:gridCol w:w="536"/>
        <w:gridCol w:w="149"/>
        <w:gridCol w:w="427"/>
        <w:gridCol w:w="258"/>
        <w:gridCol w:w="496"/>
        <w:gridCol w:w="189"/>
        <w:gridCol w:w="444"/>
        <w:gridCol w:w="241"/>
        <w:gridCol w:w="476"/>
        <w:gridCol w:w="209"/>
        <w:gridCol w:w="517"/>
        <w:gridCol w:w="168"/>
        <w:gridCol w:w="553"/>
        <w:gridCol w:w="132"/>
        <w:gridCol w:w="587"/>
        <w:gridCol w:w="98"/>
        <w:gridCol w:w="624"/>
        <w:gridCol w:w="61"/>
        <w:gridCol w:w="675"/>
      </w:tblGrid>
      <w:tr w:rsidR="009B7179" w:rsidRPr="009B7179" w:rsidTr="009B7179">
        <w:trPr>
          <w:trHeight w:val="282"/>
          <w:tblHeader/>
          <w:jc w:val="center"/>
        </w:trPr>
        <w:tc>
          <w:tcPr>
            <w:tcW w:w="709" w:type="pct"/>
            <w:vMerge w:val="restart"/>
            <w:shd w:val="clear" w:color="auto" w:fill="C6D9F1" w:themeFill="text2" w:themeFillTint="33"/>
            <w:noWrap/>
            <w:vAlign w:val="center"/>
            <w:hideMark/>
          </w:tcPr>
          <w:p w:rsidR="00CF4F09" w:rsidRPr="009B7179" w:rsidRDefault="00E34329" w:rsidP="009B7179">
            <w:pPr>
              <w:spacing w:before="0" w:line="240" w:lineRule="auto"/>
              <w:jc w:val="center"/>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Month</w:t>
            </w:r>
          </w:p>
        </w:tc>
        <w:tc>
          <w:tcPr>
            <w:tcW w:w="1297" w:type="pct"/>
            <w:gridSpan w:val="7"/>
            <w:shd w:val="clear" w:color="auto" w:fill="C6D9F1" w:themeFill="text2" w:themeFillTint="33"/>
            <w:hideMark/>
          </w:tcPr>
          <w:p w:rsidR="00CF4F09" w:rsidRPr="009B7179" w:rsidRDefault="00E34329" w:rsidP="009B7179">
            <w:pPr>
              <w:spacing w:before="0" w:line="240" w:lineRule="auto"/>
              <w:jc w:val="center"/>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Wholesale Price Index</w:t>
            </w:r>
          </w:p>
        </w:tc>
        <w:tc>
          <w:tcPr>
            <w:tcW w:w="1479" w:type="pct"/>
            <w:gridSpan w:val="8"/>
            <w:shd w:val="clear" w:color="auto" w:fill="C6D9F1" w:themeFill="text2" w:themeFillTint="33"/>
            <w:hideMark/>
          </w:tcPr>
          <w:p w:rsidR="00CF4F09" w:rsidRPr="009B7179" w:rsidRDefault="00E34329" w:rsidP="009B7179">
            <w:pPr>
              <w:spacing w:before="0" w:line="240" w:lineRule="auto"/>
              <w:jc w:val="center"/>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Consumer Price Index</w:t>
            </w:r>
          </w:p>
        </w:tc>
        <w:tc>
          <w:tcPr>
            <w:tcW w:w="1515" w:type="pct"/>
            <w:gridSpan w:val="8"/>
            <w:shd w:val="clear" w:color="auto" w:fill="C6D9F1" w:themeFill="text2" w:themeFillTint="33"/>
            <w:hideMark/>
          </w:tcPr>
          <w:p w:rsidR="00CF4F09" w:rsidRPr="009B7179" w:rsidRDefault="00E34329" w:rsidP="009B7179">
            <w:pPr>
              <w:spacing w:before="0" w:line="240" w:lineRule="auto"/>
              <w:jc w:val="center"/>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Consolidated Index</w:t>
            </w:r>
          </w:p>
        </w:tc>
      </w:tr>
      <w:tr w:rsidR="009B7179" w:rsidRPr="009B7179" w:rsidTr="009B7179">
        <w:trPr>
          <w:trHeight w:val="542"/>
          <w:tblHeader/>
          <w:jc w:val="center"/>
        </w:trPr>
        <w:tc>
          <w:tcPr>
            <w:tcW w:w="709" w:type="pct"/>
            <w:vMerge/>
            <w:shd w:val="clear" w:color="auto" w:fill="C6D9F1" w:themeFill="text2" w:themeFillTint="33"/>
            <w:vAlign w:val="center"/>
            <w:hideMark/>
          </w:tcPr>
          <w:p w:rsidR="00CF4F09" w:rsidRPr="009B7179" w:rsidRDefault="00CF4F09" w:rsidP="009B7179">
            <w:pPr>
              <w:spacing w:before="0" w:line="240" w:lineRule="auto"/>
              <w:rPr>
                <w:rFonts w:asciiTheme="minorHAnsi" w:hAnsiTheme="minorHAnsi" w:cs="Calibri"/>
                <w:b/>
                <w:bCs/>
                <w:color w:val="000000"/>
                <w:sz w:val="22"/>
                <w:szCs w:val="22"/>
                <w:lang w:val="en-IN" w:eastAsia="en-IN" w:bidi="te-IN"/>
              </w:rPr>
            </w:pPr>
            <w:bookmarkStart w:id="218" w:name="_Toc457055569"/>
            <w:bookmarkEnd w:id="218"/>
          </w:p>
        </w:tc>
        <w:tc>
          <w:tcPr>
            <w:tcW w:w="358" w:type="pct"/>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rPr>
            </w:pPr>
            <w:r w:rsidRPr="009B7179">
              <w:rPr>
                <w:rFonts w:asciiTheme="minorHAnsi" w:hAnsiTheme="minorHAnsi" w:cstheme="minorHAnsi"/>
                <w:b/>
                <w:bCs/>
                <w:color w:val="000000"/>
                <w:sz w:val="22"/>
                <w:szCs w:val="22"/>
              </w:rPr>
              <w:t xml:space="preserve">FY </w:t>
            </w:r>
            <w:r w:rsidRPr="009B7179">
              <w:rPr>
                <w:rFonts w:asciiTheme="minorHAnsi" w:hAnsiTheme="minorHAnsi" w:cstheme="minorHAnsi"/>
                <w:b/>
                <w:bCs/>
                <w:color w:val="000000"/>
                <w:sz w:val="22"/>
                <w:szCs w:val="22"/>
              </w:rPr>
              <w:br/>
              <w:t>13</w:t>
            </w:r>
          </w:p>
        </w:tc>
        <w:tc>
          <w:tcPr>
            <w:tcW w:w="358" w:type="pct"/>
            <w:gridSpan w:val="3"/>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rPr>
            </w:pPr>
            <w:r w:rsidRPr="009B7179">
              <w:rPr>
                <w:rFonts w:asciiTheme="minorHAnsi" w:hAnsiTheme="minorHAnsi" w:cstheme="minorHAnsi"/>
                <w:b/>
                <w:bCs/>
                <w:color w:val="000000"/>
                <w:sz w:val="22"/>
                <w:szCs w:val="22"/>
              </w:rPr>
              <w:t>FY</w:t>
            </w:r>
            <w:r w:rsidRPr="009B7179">
              <w:rPr>
                <w:rFonts w:asciiTheme="minorHAnsi" w:hAnsiTheme="minorHAnsi" w:cstheme="minorHAnsi"/>
                <w:b/>
                <w:bCs/>
                <w:color w:val="000000"/>
                <w:sz w:val="22"/>
                <w:szCs w:val="22"/>
              </w:rPr>
              <w:br/>
              <w:t>14</w:t>
            </w:r>
          </w:p>
        </w:tc>
        <w:tc>
          <w:tcPr>
            <w:tcW w:w="358" w:type="pct"/>
            <w:gridSpan w:val="2"/>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rPr>
            </w:pPr>
            <w:r w:rsidRPr="009B7179">
              <w:rPr>
                <w:rFonts w:asciiTheme="minorHAnsi" w:hAnsiTheme="minorHAnsi" w:cstheme="minorHAnsi"/>
                <w:b/>
                <w:bCs/>
                <w:color w:val="000000"/>
                <w:sz w:val="22"/>
                <w:szCs w:val="22"/>
              </w:rPr>
              <w:t>FY</w:t>
            </w:r>
            <w:r w:rsidRPr="009B7179">
              <w:rPr>
                <w:rFonts w:asciiTheme="minorHAnsi" w:hAnsiTheme="minorHAnsi" w:cstheme="minorHAnsi"/>
                <w:b/>
                <w:bCs/>
                <w:color w:val="000000"/>
                <w:sz w:val="22"/>
                <w:szCs w:val="22"/>
              </w:rPr>
              <w:br/>
              <w:t>15</w:t>
            </w:r>
          </w:p>
        </w:tc>
        <w:tc>
          <w:tcPr>
            <w:tcW w:w="358" w:type="pct"/>
            <w:gridSpan w:val="2"/>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rPr>
            </w:pPr>
            <w:r w:rsidRPr="009B7179">
              <w:rPr>
                <w:rFonts w:asciiTheme="minorHAnsi" w:hAnsiTheme="minorHAnsi" w:cstheme="minorHAnsi"/>
                <w:b/>
                <w:bCs/>
                <w:color w:val="000000"/>
                <w:sz w:val="22"/>
                <w:szCs w:val="22"/>
              </w:rPr>
              <w:t>FY</w:t>
            </w:r>
            <w:r w:rsidRPr="009B7179">
              <w:rPr>
                <w:rFonts w:asciiTheme="minorHAnsi" w:hAnsiTheme="minorHAnsi" w:cstheme="minorHAnsi"/>
                <w:b/>
                <w:bCs/>
                <w:color w:val="000000"/>
                <w:sz w:val="22"/>
                <w:szCs w:val="22"/>
              </w:rPr>
              <w:br/>
              <w:t>16</w:t>
            </w:r>
          </w:p>
        </w:tc>
        <w:tc>
          <w:tcPr>
            <w:tcW w:w="358" w:type="pct"/>
            <w:gridSpan w:val="2"/>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lang w:val="en-IN" w:eastAsia="en-IN" w:bidi="te-IN"/>
              </w:rPr>
            </w:pPr>
            <w:r w:rsidRPr="009B7179">
              <w:rPr>
                <w:rFonts w:asciiTheme="minorHAnsi" w:hAnsiTheme="minorHAnsi" w:cstheme="minorHAnsi"/>
                <w:b/>
                <w:bCs/>
                <w:color w:val="000000"/>
                <w:sz w:val="22"/>
                <w:szCs w:val="22"/>
              </w:rPr>
              <w:t xml:space="preserve">FY </w:t>
            </w:r>
            <w:r w:rsidRPr="009B7179">
              <w:rPr>
                <w:rFonts w:asciiTheme="minorHAnsi" w:hAnsiTheme="minorHAnsi" w:cstheme="minorHAnsi"/>
                <w:b/>
                <w:bCs/>
                <w:color w:val="000000"/>
                <w:sz w:val="22"/>
                <w:szCs w:val="22"/>
              </w:rPr>
              <w:br/>
              <w:t>13</w:t>
            </w:r>
          </w:p>
        </w:tc>
        <w:tc>
          <w:tcPr>
            <w:tcW w:w="358" w:type="pct"/>
            <w:gridSpan w:val="2"/>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lang w:val="en-IN" w:eastAsia="en-IN" w:bidi="te-IN"/>
              </w:rPr>
            </w:pPr>
            <w:r w:rsidRPr="009B7179">
              <w:rPr>
                <w:rFonts w:asciiTheme="minorHAnsi" w:hAnsiTheme="minorHAnsi" w:cstheme="minorHAnsi"/>
                <w:b/>
                <w:bCs/>
                <w:color w:val="000000"/>
                <w:sz w:val="22"/>
                <w:szCs w:val="22"/>
              </w:rPr>
              <w:t>FY</w:t>
            </w:r>
            <w:r w:rsidRPr="009B7179">
              <w:rPr>
                <w:rFonts w:asciiTheme="minorHAnsi" w:hAnsiTheme="minorHAnsi" w:cstheme="minorHAnsi"/>
                <w:b/>
                <w:bCs/>
                <w:color w:val="000000"/>
                <w:sz w:val="22"/>
                <w:szCs w:val="22"/>
              </w:rPr>
              <w:br/>
              <w:t>14</w:t>
            </w:r>
          </w:p>
        </w:tc>
        <w:tc>
          <w:tcPr>
            <w:tcW w:w="358" w:type="pct"/>
            <w:gridSpan w:val="2"/>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lang w:val="en-IN" w:eastAsia="en-IN" w:bidi="te-IN"/>
              </w:rPr>
            </w:pPr>
            <w:r w:rsidRPr="009B7179">
              <w:rPr>
                <w:rFonts w:asciiTheme="minorHAnsi" w:hAnsiTheme="minorHAnsi" w:cstheme="minorHAnsi"/>
                <w:b/>
                <w:bCs/>
                <w:color w:val="000000"/>
                <w:sz w:val="22"/>
                <w:szCs w:val="22"/>
              </w:rPr>
              <w:t>FY</w:t>
            </w:r>
            <w:r w:rsidRPr="009B7179">
              <w:rPr>
                <w:rFonts w:asciiTheme="minorHAnsi" w:hAnsiTheme="minorHAnsi" w:cstheme="minorHAnsi"/>
                <w:b/>
                <w:bCs/>
                <w:color w:val="000000"/>
                <w:sz w:val="22"/>
                <w:szCs w:val="22"/>
              </w:rPr>
              <w:br/>
              <w:t>15</w:t>
            </w:r>
          </w:p>
        </w:tc>
        <w:tc>
          <w:tcPr>
            <w:tcW w:w="358" w:type="pct"/>
            <w:gridSpan w:val="2"/>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lang w:val="en-IN" w:eastAsia="en-IN" w:bidi="te-IN"/>
              </w:rPr>
            </w:pPr>
            <w:r w:rsidRPr="009B7179">
              <w:rPr>
                <w:rFonts w:asciiTheme="minorHAnsi" w:hAnsiTheme="minorHAnsi" w:cstheme="minorHAnsi"/>
                <w:b/>
                <w:bCs/>
                <w:color w:val="000000"/>
                <w:sz w:val="22"/>
                <w:szCs w:val="22"/>
              </w:rPr>
              <w:t>FY</w:t>
            </w:r>
            <w:r w:rsidRPr="009B7179">
              <w:rPr>
                <w:rFonts w:asciiTheme="minorHAnsi" w:hAnsiTheme="minorHAnsi" w:cstheme="minorHAnsi"/>
                <w:b/>
                <w:bCs/>
                <w:color w:val="000000"/>
                <w:sz w:val="22"/>
                <w:szCs w:val="22"/>
              </w:rPr>
              <w:br/>
              <w:t>16</w:t>
            </w:r>
          </w:p>
        </w:tc>
        <w:tc>
          <w:tcPr>
            <w:tcW w:w="358" w:type="pct"/>
            <w:gridSpan w:val="2"/>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lang w:val="en-IN" w:eastAsia="en-IN" w:bidi="te-IN"/>
              </w:rPr>
            </w:pPr>
            <w:r w:rsidRPr="009B7179">
              <w:rPr>
                <w:rFonts w:asciiTheme="minorHAnsi" w:hAnsiTheme="minorHAnsi" w:cstheme="minorHAnsi"/>
                <w:b/>
                <w:bCs/>
                <w:color w:val="000000"/>
                <w:sz w:val="22"/>
                <w:szCs w:val="22"/>
              </w:rPr>
              <w:t xml:space="preserve">FY </w:t>
            </w:r>
            <w:r w:rsidRPr="009B7179">
              <w:rPr>
                <w:rFonts w:asciiTheme="minorHAnsi" w:hAnsiTheme="minorHAnsi" w:cstheme="minorHAnsi"/>
                <w:b/>
                <w:bCs/>
                <w:color w:val="000000"/>
                <w:sz w:val="22"/>
                <w:szCs w:val="22"/>
              </w:rPr>
              <w:br/>
              <w:t>13</w:t>
            </w:r>
          </w:p>
        </w:tc>
        <w:tc>
          <w:tcPr>
            <w:tcW w:w="358" w:type="pct"/>
            <w:gridSpan w:val="2"/>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lang w:val="en-IN" w:eastAsia="en-IN" w:bidi="te-IN"/>
              </w:rPr>
            </w:pPr>
            <w:r w:rsidRPr="009B7179">
              <w:rPr>
                <w:rFonts w:asciiTheme="minorHAnsi" w:hAnsiTheme="minorHAnsi" w:cstheme="minorHAnsi"/>
                <w:b/>
                <w:bCs/>
                <w:color w:val="000000"/>
                <w:sz w:val="22"/>
                <w:szCs w:val="22"/>
              </w:rPr>
              <w:t>FY</w:t>
            </w:r>
            <w:r w:rsidRPr="009B7179">
              <w:rPr>
                <w:rFonts w:asciiTheme="minorHAnsi" w:hAnsiTheme="minorHAnsi" w:cstheme="minorHAnsi"/>
                <w:b/>
                <w:bCs/>
                <w:color w:val="000000"/>
                <w:sz w:val="22"/>
                <w:szCs w:val="22"/>
              </w:rPr>
              <w:br/>
              <w:t>14</w:t>
            </w:r>
          </w:p>
        </w:tc>
        <w:tc>
          <w:tcPr>
            <w:tcW w:w="358" w:type="pct"/>
            <w:gridSpan w:val="2"/>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lang w:val="en-IN" w:eastAsia="en-IN" w:bidi="te-IN"/>
              </w:rPr>
            </w:pPr>
            <w:r w:rsidRPr="009B7179">
              <w:rPr>
                <w:rFonts w:asciiTheme="minorHAnsi" w:hAnsiTheme="minorHAnsi" w:cstheme="minorHAnsi"/>
                <w:b/>
                <w:bCs/>
                <w:color w:val="000000"/>
                <w:sz w:val="22"/>
                <w:szCs w:val="22"/>
              </w:rPr>
              <w:t>FY</w:t>
            </w:r>
            <w:r w:rsidRPr="009B7179">
              <w:rPr>
                <w:rFonts w:asciiTheme="minorHAnsi" w:hAnsiTheme="minorHAnsi" w:cstheme="minorHAnsi"/>
                <w:b/>
                <w:bCs/>
                <w:color w:val="000000"/>
                <w:sz w:val="22"/>
                <w:szCs w:val="22"/>
              </w:rPr>
              <w:br/>
              <w:t>15</w:t>
            </w:r>
          </w:p>
        </w:tc>
        <w:tc>
          <w:tcPr>
            <w:tcW w:w="358" w:type="pct"/>
            <w:shd w:val="clear" w:color="auto" w:fill="C6D9F1" w:themeFill="text2" w:themeFillTint="33"/>
            <w:vAlign w:val="center"/>
            <w:hideMark/>
          </w:tcPr>
          <w:p w:rsidR="00CF4F09" w:rsidRPr="009B7179" w:rsidRDefault="00E34329" w:rsidP="009B7179">
            <w:pPr>
              <w:spacing w:before="0" w:line="240" w:lineRule="auto"/>
              <w:jc w:val="center"/>
              <w:rPr>
                <w:rFonts w:asciiTheme="minorHAnsi" w:hAnsiTheme="minorHAnsi" w:cstheme="minorHAnsi"/>
                <w:b/>
                <w:bCs/>
                <w:color w:val="000000"/>
                <w:sz w:val="22"/>
                <w:szCs w:val="22"/>
                <w:lang w:val="en-IN" w:eastAsia="en-IN" w:bidi="te-IN"/>
              </w:rPr>
            </w:pPr>
            <w:r w:rsidRPr="009B7179">
              <w:rPr>
                <w:rFonts w:asciiTheme="minorHAnsi" w:hAnsiTheme="minorHAnsi" w:cstheme="minorHAnsi"/>
                <w:b/>
                <w:bCs/>
                <w:color w:val="000000"/>
                <w:sz w:val="22"/>
                <w:szCs w:val="22"/>
              </w:rPr>
              <w:t>FY</w:t>
            </w:r>
            <w:r w:rsidRPr="009B7179">
              <w:rPr>
                <w:rFonts w:asciiTheme="minorHAnsi" w:hAnsiTheme="minorHAnsi" w:cstheme="minorHAnsi"/>
                <w:b/>
                <w:bCs/>
                <w:color w:val="000000"/>
                <w:sz w:val="22"/>
                <w:szCs w:val="22"/>
              </w:rPr>
              <w:br/>
              <w:t>16</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April</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164</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205</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226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242</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180</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193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205</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208</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May</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164</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182</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228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244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194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207</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210</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June</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165</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231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246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261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182</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196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208</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212</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July</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166</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185</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212</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235</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252</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263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199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212</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212</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August</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167</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237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264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202</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213</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212</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September</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169</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185</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215</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238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266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212</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212</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October</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169</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241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269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205</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211</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214</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November</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169</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182</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243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270</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210</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215</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December</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169</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180</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239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269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208</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214</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January</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170</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175</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221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237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269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191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202</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208</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213</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February</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171</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180</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223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238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267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192</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203</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207</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211</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March</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170</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180</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175</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224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239</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268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192</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204</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207</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212</w:t>
            </w:r>
          </w:p>
        </w:tc>
      </w:tr>
      <w:tr w:rsidR="009B7179" w:rsidRPr="009B7179" w:rsidTr="009B7179">
        <w:trPr>
          <w:trHeight w:val="272"/>
          <w:jc w:val="center"/>
        </w:trPr>
        <w:tc>
          <w:tcPr>
            <w:tcW w:w="709" w:type="pct"/>
            <w:shd w:val="clear" w:color="auto" w:fill="auto"/>
            <w:vAlign w:val="center"/>
            <w:hideMark/>
          </w:tcPr>
          <w:p w:rsidR="00CF4F09" w:rsidRPr="009B7179" w:rsidRDefault="00E34329" w:rsidP="009B7179">
            <w:pPr>
              <w:spacing w:before="0" w:line="240" w:lineRule="auto"/>
              <w:jc w:val="left"/>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Average</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168</w:t>
            </w:r>
          </w:p>
        </w:tc>
        <w:tc>
          <w:tcPr>
            <w:tcW w:w="358" w:type="pct"/>
            <w:gridSpan w:val="3"/>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178</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177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215</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236</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251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265</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187</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201</w:t>
            </w:r>
          </w:p>
        </w:tc>
        <w:tc>
          <w:tcPr>
            <w:tcW w:w="358" w:type="pct"/>
            <w:gridSpan w:val="2"/>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209</w:t>
            </w:r>
          </w:p>
        </w:tc>
        <w:tc>
          <w:tcPr>
            <w:tcW w:w="358" w:type="pct"/>
            <w:shd w:val="clear" w:color="auto" w:fill="auto"/>
            <w:vAlign w:val="center"/>
            <w:hideMark/>
          </w:tcPr>
          <w:p w:rsidR="00CF4F09" w:rsidRPr="009B7179" w:rsidRDefault="00E34329" w:rsidP="009B7179">
            <w:pPr>
              <w:spacing w:before="0" w:line="240" w:lineRule="auto"/>
              <w:jc w:val="right"/>
              <w:rPr>
                <w:rFonts w:asciiTheme="minorHAnsi" w:hAnsiTheme="minorHAnsi" w:cstheme="minorHAnsi"/>
                <w:color w:val="000000"/>
                <w:sz w:val="22"/>
                <w:szCs w:val="22"/>
              </w:rPr>
            </w:pPr>
            <w:r w:rsidRPr="009B7179">
              <w:rPr>
                <w:rFonts w:asciiTheme="minorHAnsi" w:hAnsiTheme="minorHAnsi" w:cstheme="minorHAnsi"/>
                <w:color w:val="000000"/>
                <w:sz w:val="22"/>
                <w:szCs w:val="22"/>
              </w:rPr>
              <w:t>212</w:t>
            </w:r>
          </w:p>
        </w:tc>
      </w:tr>
      <w:tr w:rsidR="009B7179" w:rsidRPr="009B7179" w:rsidTr="009B7179">
        <w:trPr>
          <w:trHeight w:val="622"/>
          <w:jc w:val="center"/>
        </w:trPr>
        <w:tc>
          <w:tcPr>
            <w:tcW w:w="709" w:type="pct"/>
            <w:shd w:val="clear" w:color="auto" w:fill="auto"/>
            <w:vAlign w:val="center"/>
            <w:hideMark/>
          </w:tcPr>
          <w:p w:rsidR="00CF4F09" w:rsidRPr="009B7179" w:rsidRDefault="00E34329" w:rsidP="009B7179">
            <w:pPr>
              <w:spacing w:before="0" w:line="240" w:lineRule="auto"/>
              <w:jc w:val="left"/>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 </w:t>
            </w:r>
          </w:p>
        </w:tc>
        <w:tc>
          <w:tcPr>
            <w:tcW w:w="376"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 </w:t>
            </w:r>
          </w:p>
        </w:tc>
        <w:tc>
          <w:tcPr>
            <w:tcW w:w="330" w:type="pct"/>
            <w:shd w:val="clear" w:color="auto" w:fill="auto"/>
            <w:vAlign w:val="center"/>
            <w:hideMark/>
          </w:tcPr>
          <w:p w:rsidR="00CF4F09" w:rsidRPr="009B7179" w:rsidRDefault="00E34329" w:rsidP="009B7179">
            <w:pPr>
              <w:spacing w:before="0" w:line="240" w:lineRule="auto"/>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 </w:t>
            </w:r>
          </w:p>
        </w:tc>
        <w:tc>
          <w:tcPr>
            <w:tcW w:w="290"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 </w:t>
            </w:r>
          </w:p>
        </w:tc>
        <w:tc>
          <w:tcPr>
            <w:tcW w:w="300"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 </w:t>
            </w:r>
          </w:p>
        </w:tc>
        <w:tc>
          <w:tcPr>
            <w:tcW w:w="394"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 </w:t>
            </w:r>
          </w:p>
        </w:tc>
        <w:tc>
          <w:tcPr>
            <w:tcW w:w="331"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 </w:t>
            </w:r>
          </w:p>
        </w:tc>
        <w:tc>
          <w:tcPr>
            <w:tcW w:w="375"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 </w:t>
            </w:r>
          </w:p>
        </w:tc>
        <w:tc>
          <w:tcPr>
            <w:tcW w:w="379"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color w:val="000000"/>
                <w:sz w:val="22"/>
                <w:szCs w:val="22"/>
                <w:lang w:val="en-IN" w:eastAsia="en-IN" w:bidi="te-IN"/>
              </w:rPr>
            </w:pPr>
            <w:r w:rsidRPr="009B7179">
              <w:rPr>
                <w:rFonts w:asciiTheme="minorHAnsi" w:hAnsiTheme="minorHAnsi" w:cs="Calibri"/>
                <w:color w:val="000000"/>
                <w:sz w:val="22"/>
                <w:szCs w:val="22"/>
                <w:lang w:val="en-IN" w:eastAsia="en-IN" w:bidi="te-IN"/>
              </w:rPr>
              <w:t> </w:t>
            </w:r>
          </w:p>
        </w:tc>
        <w:tc>
          <w:tcPr>
            <w:tcW w:w="1515" w:type="pct"/>
            <w:gridSpan w:val="8"/>
            <w:shd w:val="clear" w:color="auto" w:fill="auto"/>
            <w:vAlign w:val="center"/>
            <w:hideMark/>
          </w:tcPr>
          <w:p w:rsidR="00CF4F09" w:rsidRPr="009B7179" w:rsidRDefault="00E34329" w:rsidP="009B7179">
            <w:pPr>
              <w:spacing w:before="0" w:line="240" w:lineRule="auto"/>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Calculation of Inflation Index (CPI-40%, WPI-60%)</w:t>
            </w:r>
          </w:p>
        </w:tc>
      </w:tr>
      <w:tr w:rsidR="009B7179" w:rsidRPr="009B7179" w:rsidTr="009B7179">
        <w:trPr>
          <w:trHeight w:val="272"/>
          <w:jc w:val="center"/>
        </w:trPr>
        <w:tc>
          <w:tcPr>
            <w:tcW w:w="709" w:type="pct"/>
            <w:shd w:val="clear" w:color="auto" w:fill="auto"/>
            <w:noWrap/>
            <w:vAlign w:val="center"/>
            <w:hideMark/>
          </w:tcPr>
          <w:p w:rsidR="00CF4F09" w:rsidRPr="009B7179" w:rsidRDefault="00E34329" w:rsidP="009B7179">
            <w:pPr>
              <w:spacing w:before="0" w:line="240" w:lineRule="auto"/>
              <w:jc w:val="left"/>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Weighted Average of Inflation</w:t>
            </w:r>
          </w:p>
        </w:tc>
        <w:tc>
          <w:tcPr>
            <w:tcW w:w="376" w:type="pct"/>
            <w:gridSpan w:val="2"/>
            <w:shd w:val="clear" w:color="auto" w:fill="auto"/>
            <w:noWrap/>
            <w:vAlign w:val="center"/>
            <w:hideMark/>
          </w:tcPr>
          <w:p w:rsidR="00CF4F09" w:rsidRPr="009B7179" w:rsidRDefault="00E34329" w:rsidP="009B7179">
            <w:pPr>
              <w:spacing w:before="0" w:line="240" w:lineRule="auto"/>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 </w:t>
            </w:r>
          </w:p>
        </w:tc>
        <w:tc>
          <w:tcPr>
            <w:tcW w:w="330" w:type="pct"/>
            <w:shd w:val="clear" w:color="auto" w:fill="auto"/>
            <w:vAlign w:val="center"/>
            <w:hideMark/>
          </w:tcPr>
          <w:p w:rsidR="00CF4F09" w:rsidRPr="009B7179" w:rsidRDefault="00E34329" w:rsidP="009B7179">
            <w:pPr>
              <w:spacing w:before="0" w:line="240" w:lineRule="auto"/>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 </w:t>
            </w:r>
          </w:p>
        </w:tc>
        <w:tc>
          <w:tcPr>
            <w:tcW w:w="290"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 </w:t>
            </w:r>
          </w:p>
        </w:tc>
        <w:tc>
          <w:tcPr>
            <w:tcW w:w="300"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 </w:t>
            </w:r>
          </w:p>
        </w:tc>
        <w:tc>
          <w:tcPr>
            <w:tcW w:w="394"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 </w:t>
            </w:r>
          </w:p>
        </w:tc>
        <w:tc>
          <w:tcPr>
            <w:tcW w:w="331"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 </w:t>
            </w:r>
          </w:p>
        </w:tc>
        <w:tc>
          <w:tcPr>
            <w:tcW w:w="375"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 </w:t>
            </w:r>
          </w:p>
        </w:tc>
        <w:tc>
          <w:tcPr>
            <w:tcW w:w="379" w:type="pct"/>
            <w:gridSpan w:val="2"/>
            <w:shd w:val="clear" w:color="auto" w:fill="auto"/>
            <w:vAlign w:val="center"/>
            <w:hideMark/>
          </w:tcPr>
          <w:p w:rsidR="00CF4F09" w:rsidRPr="009B7179" w:rsidRDefault="00E34329" w:rsidP="009B7179">
            <w:pPr>
              <w:spacing w:before="0" w:line="240" w:lineRule="auto"/>
              <w:rPr>
                <w:rFonts w:asciiTheme="minorHAnsi" w:hAnsiTheme="minorHAnsi" w:cs="Calibri"/>
                <w:b/>
                <w:bCs/>
                <w:color w:val="000000"/>
                <w:sz w:val="22"/>
                <w:szCs w:val="22"/>
                <w:lang w:val="en-IN" w:eastAsia="en-IN" w:bidi="te-IN"/>
              </w:rPr>
            </w:pPr>
            <w:r w:rsidRPr="009B7179">
              <w:rPr>
                <w:rFonts w:asciiTheme="minorHAnsi" w:hAnsiTheme="minorHAnsi" w:cs="Calibri"/>
                <w:b/>
                <w:bCs/>
                <w:color w:val="000000"/>
                <w:sz w:val="22"/>
                <w:szCs w:val="22"/>
                <w:lang w:val="en-IN" w:eastAsia="en-IN" w:bidi="te-IN"/>
              </w:rPr>
              <w:t> </w:t>
            </w:r>
          </w:p>
        </w:tc>
        <w:tc>
          <w:tcPr>
            <w:tcW w:w="377" w:type="pct"/>
            <w:gridSpan w:val="2"/>
            <w:shd w:val="clear" w:color="auto" w:fill="auto"/>
            <w:vAlign w:val="center"/>
          </w:tcPr>
          <w:p w:rsidR="00CF4F09" w:rsidRPr="009B7179" w:rsidRDefault="00CF4F09" w:rsidP="009B7179">
            <w:pPr>
              <w:spacing w:before="0" w:line="240" w:lineRule="auto"/>
              <w:rPr>
                <w:rFonts w:asciiTheme="minorHAnsi" w:hAnsiTheme="minorHAnsi" w:cstheme="minorHAnsi"/>
                <w:b/>
                <w:color w:val="000000"/>
                <w:sz w:val="22"/>
                <w:szCs w:val="22"/>
              </w:rPr>
            </w:pPr>
          </w:p>
        </w:tc>
        <w:tc>
          <w:tcPr>
            <w:tcW w:w="376" w:type="pct"/>
            <w:gridSpan w:val="2"/>
            <w:shd w:val="clear" w:color="auto" w:fill="auto"/>
            <w:vAlign w:val="center"/>
            <w:hideMark/>
          </w:tcPr>
          <w:p w:rsidR="00CF4F09" w:rsidRPr="009B7179" w:rsidRDefault="00E34329" w:rsidP="009B7179">
            <w:pPr>
              <w:spacing w:before="0" w:line="240" w:lineRule="auto"/>
              <w:rPr>
                <w:rFonts w:asciiTheme="minorHAnsi" w:hAnsiTheme="minorHAnsi" w:cstheme="minorHAnsi"/>
                <w:b/>
                <w:color w:val="000000"/>
                <w:sz w:val="22"/>
                <w:szCs w:val="22"/>
              </w:rPr>
            </w:pPr>
            <w:r w:rsidRPr="009B7179">
              <w:rPr>
                <w:rFonts w:asciiTheme="minorHAnsi" w:hAnsiTheme="minorHAnsi" w:cstheme="minorHAnsi"/>
                <w:b/>
                <w:color w:val="000000"/>
                <w:sz w:val="22"/>
                <w:szCs w:val="22"/>
              </w:rPr>
              <w:t>7.69%</w:t>
            </w:r>
          </w:p>
        </w:tc>
        <w:tc>
          <w:tcPr>
            <w:tcW w:w="377" w:type="pct"/>
            <w:gridSpan w:val="2"/>
            <w:shd w:val="clear" w:color="auto" w:fill="auto"/>
            <w:vAlign w:val="center"/>
            <w:hideMark/>
          </w:tcPr>
          <w:p w:rsidR="00CF4F09" w:rsidRPr="009B7179" w:rsidRDefault="00E34329" w:rsidP="009B7179">
            <w:pPr>
              <w:spacing w:before="0" w:line="240" w:lineRule="auto"/>
              <w:rPr>
                <w:rFonts w:asciiTheme="minorHAnsi" w:hAnsiTheme="minorHAnsi" w:cstheme="minorHAnsi"/>
                <w:b/>
                <w:color w:val="000000"/>
                <w:sz w:val="22"/>
                <w:szCs w:val="22"/>
              </w:rPr>
            </w:pPr>
            <w:r w:rsidRPr="009B7179">
              <w:rPr>
                <w:rFonts w:asciiTheme="minorHAnsi" w:hAnsiTheme="minorHAnsi" w:cstheme="minorHAnsi"/>
                <w:b/>
                <w:color w:val="000000"/>
                <w:sz w:val="22"/>
                <w:szCs w:val="22"/>
              </w:rPr>
              <w:t>4.02%</w:t>
            </w:r>
          </w:p>
        </w:tc>
        <w:tc>
          <w:tcPr>
            <w:tcW w:w="386" w:type="pct"/>
            <w:gridSpan w:val="2"/>
            <w:shd w:val="clear" w:color="auto" w:fill="auto"/>
            <w:vAlign w:val="center"/>
            <w:hideMark/>
          </w:tcPr>
          <w:p w:rsidR="00CF4F09" w:rsidRPr="009B7179" w:rsidRDefault="00E34329" w:rsidP="009B7179">
            <w:pPr>
              <w:spacing w:before="0" w:line="240" w:lineRule="auto"/>
              <w:rPr>
                <w:rFonts w:asciiTheme="minorHAnsi" w:hAnsiTheme="minorHAnsi" w:cstheme="minorHAnsi"/>
                <w:b/>
                <w:color w:val="000000"/>
                <w:sz w:val="22"/>
                <w:szCs w:val="22"/>
              </w:rPr>
            </w:pPr>
            <w:r w:rsidRPr="009B7179">
              <w:rPr>
                <w:rFonts w:asciiTheme="minorHAnsi" w:hAnsiTheme="minorHAnsi" w:cstheme="minorHAnsi"/>
                <w:b/>
                <w:color w:val="000000"/>
                <w:sz w:val="22"/>
                <w:szCs w:val="22"/>
              </w:rPr>
              <w:t>1.39%</w:t>
            </w:r>
          </w:p>
        </w:tc>
      </w:tr>
    </w:tbl>
    <w:p w:rsidR="00CF4F09" w:rsidRPr="00E0115C" w:rsidRDefault="00CF4F09" w:rsidP="009B7179">
      <w:pPr>
        <w:spacing w:before="0" w:after="200"/>
        <w:jc w:val="left"/>
        <w:rPr>
          <w:rFonts w:asciiTheme="minorHAnsi" w:hAnsiTheme="minorHAnsi" w:cs="Arial"/>
          <w:b/>
          <w:bCs/>
          <w:sz w:val="22"/>
          <w:szCs w:val="26"/>
          <w:lang w:val="en-US"/>
        </w:rPr>
      </w:pPr>
    </w:p>
    <w:p w:rsidR="003147B8" w:rsidRPr="00D76C64" w:rsidRDefault="00E34329" w:rsidP="00C60AD1">
      <w:pPr>
        <w:pStyle w:val="Heading3"/>
        <w:tabs>
          <w:tab w:val="clear" w:pos="720"/>
        </w:tabs>
        <w:spacing w:after="240"/>
        <w:ind w:left="993" w:hanging="993"/>
      </w:pPr>
      <w:r w:rsidRPr="00E34329">
        <w:t xml:space="preserve">The Commission has determined the trued up O&amp;M expenses of FY 2012-13, in the Order dated June 18, 2015. The approved O&amp;M expenses for FY 2012-13 have been escalated using the inflation index of FY 2013-14 to derive the normative O&amp;M Expenses for FY 2013-14. The Commission while computing the normative O&amp;M Expenses in this Order has considered the escalation rates as shown in the above Table. </w:t>
      </w:r>
    </w:p>
    <w:p w:rsidR="003147B8" w:rsidRPr="00D76C64" w:rsidRDefault="00E34329" w:rsidP="00C60AD1">
      <w:pPr>
        <w:pStyle w:val="Heading3"/>
        <w:tabs>
          <w:tab w:val="clear" w:pos="720"/>
        </w:tabs>
        <w:spacing w:after="240"/>
        <w:ind w:left="993" w:hanging="993"/>
      </w:pPr>
      <w:r w:rsidRPr="00E34329">
        <w:t>Further, in addition to the normative O&amp;M expenses based on inflation, the Distribution Tariff Regulations, 2006 provide for incremental O&amp;M expenses at 2.5 % on addition to asset during the previous year. Regulation 4.3 (3) of the Distribution Tariff Regulations, 2006 specifies as follows:</w:t>
      </w:r>
    </w:p>
    <w:p w:rsidR="003147B8" w:rsidRPr="00D76C64" w:rsidRDefault="00E34329" w:rsidP="00C60AD1">
      <w:pPr>
        <w:spacing w:before="240" w:after="200"/>
        <w:ind w:left="993"/>
        <w:rPr>
          <w:rFonts w:cs="Calibri"/>
          <w:b/>
          <w:i/>
          <w:szCs w:val="22"/>
          <w:lang w:val="en-US"/>
        </w:rPr>
      </w:pPr>
      <w:r w:rsidRPr="00E34329">
        <w:rPr>
          <w:rFonts w:cs="Calibri"/>
          <w:i/>
          <w:szCs w:val="22"/>
          <w:lang w:val="en-US"/>
        </w:rPr>
        <w:t xml:space="preserve">“4.3 </w:t>
      </w:r>
      <w:r w:rsidRPr="00E34329">
        <w:rPr>
          <w:rFonts w:cs="Calibri"/>
          <w:b/>
          <w:i/>
          <w:szCs w:val="22"/>
          <w:lang w:val="en-US"/>
        </w:rPr>
        <w:t>Operation &amp; Maintenance Expenses (O&amp;M):</w:t>
      </w:r>
    </w:p>
    <w:p w:rsidR="003147B8" w:rsidRPr="00D76C64" w:rsidRDefault="00E34329" w:rsidP="00C60AD1">
      <w:pPr>
        <w:spacing w:before="240" w:after="200"/>
        <w:ind w:left="993"/>
        <w:rPr>
          <w:rFonts w:cs="Calibri"/>
          <w:i/>
          <w:szCs w:val="22"/>
          <w:lang w:val="en-US"/>
        </w:rPr>
      </w:pPr>
      <w:r w:rsidRPr="00E34329">
        <w:rPr>
          <w:rFonts w:cs="Calibri"/>
          <w:i/>
          <w:szCs w:val="22"/>
          <w:lang w:val="en-US"/>
        </w:rPr>
        <w:t>…</w:t>
      </w:r>
    </w:p>
    <w:p w:rsidR="003147B8" w:rsidRPr="00D76C64" w:rsidRDefault="00E34329" w:rsidP="00C60AD1">
      <w:pPr>
        <w:spacing w:before="240" w:after="200"/>
        <w:ind w:left="993"/>
        <w:rPr>
          <w:rFonts w:cs="Calibri"/>
          <w:i/>
          <w:szCs w:val="22"/>
          <w:lang w:val="en-US"/>
        </w:rPr>
      </w:pPr>
      <w:r w:rsidRPr="00E34329">
        <w:rPr>
          <w:rFonts w:cs="Calibri"/>
          <w:i/>
          <w:szCs w:val="22"/>
          <w:lang w:val="en-US"/>
        </w:rPr>
        <w:t xml:space="preserve">3) Incremental O&amp;M expenses for the ensuing financial year shall be 2.5% of capital addition during the current year. O&amp;M charges for the ensuing </w:t>
      </w:r>
      <w:r w:rsidRPr="00E34329">
        <w:rPr>
          <w:rFonts w:cs="Calibri"/>
          <w:i/>
          <w:szCs w:val="22"/>
          <w:lang w:val="en-US"/>
        </w:rPr>
        <w:lastRenderedPageBreak/>
        <w:t>financial year shall be sum of incremental O&amp;M expenses so worked out and O&amp;M charges of current year escalated on the basis of predetermined indices as indicated in regulation 4.3(1).”</w:t>
      </w:r>
    </w:p>
    <w:p w:rsidR="005F44DB" w:rsidRPr="00D76C64" w:rsidRDefault="00E34329">
      <w:pPr>
        <w:pStyle w:val="Heading3"/>
        <w:tabs>
          <w:tab w:val="clear" w:pos="720"/>
        </w:tabs>
        <w:spacing w:after="240"/>
        <w:ind w:left="993" w:hanging="993"/>
      </w:pPr>
      <w:r w:rsidRPr="00E34329">
        <w:t>It is observed from the below that the actual audited O&amp;M expenses as claimed by the Licensee for FY 2013-14 are higher than the normative O&amp;M expenses computed based on the above Regulations. Since, the Licensee has to restrict its O&amp;M expenses within the normative level, the expenses beyond normative level have not been allowed by the Commission. The Commission has therefore, approved the normative O&amp;M expenses for FY 2013-14.</w:t>
      </w:r>
    </w:p>
    <w:p w:rsidR="003147B8" w:rsidRPr="00D76C64" w:rsidRDefault="00E34329" w:rsidP="00C60AD1">
      <w:pPr>
        <w:pStyle w:val="Heading3"/>
        <w:tabs>
          <w:tab w:val="clear" w:pos="720"/>
        </w:tabs>
        <w:spacing w:after="240"/>
        <w:ind w:left="993" w:hanging="993"/>
      </w:pPr>
      <w:r w:rsidRPr="00E34329">
        <w:t xml:space="preserve">Further, in reply to the Commission’s query regarding whether CGRF expenses have been included in O&amp;M expenses, the Petitioner submitted that the CGRF expenses are part of the O&amp;M expenses claimed by it. The Petitioner submitted that such expenses are not separately accounted for and hence, details of such expenses are not available with it. The Petitioner requested the Commission to allow an ad-hoc allowance towards the CGRF expenses considering the remuneration norms and associated costs in the CGRF framework approved by the Commission. </w:t>
      </w:r>
    </w:p>
    <w:p w:rsidR="003147B8" w:rsidRPr="00D76C64" w:rsidRDefault="00E34329" w:rsidP="00C60AD1">
      <w:pPr>
        <w:pStyle w:val="Heading3"/>
        <w:tabs>
          <w:tab w:val="clear" w:pos="720"/>
        </w:tabs>
        <w:spacing w:after="240"/>
        <w:ind w:left="993" w:hanging="993"/>
      </w:pPr>
      <w:r w:rsidRPr="00E34329">
        <w:t>As the account for CGRF expenses is not separately maintained by the Licensee, no additional allowance towards this head has been considered by the Commission.</w:t>
      </w:r>
    </w:p>
    <w:p w:rsidR="00FB7257" w:rsidRPr="00D76C64" w:rsidRDefault="00E34329" w:rsidP="00C60AD1">
      <w:pPr>
        <w:pStyle w:val="Heading3"/>
        <w:tabs>
          <w:tab w:val="clear" w:pos="720"/>
        </w:tabs>
        <w:spacing w:after="240"/>
        <w:ind w:left="993" w:hanging="993"/>
      </w:pPr>
      <w:r w:rsidRPr="00E34329">
        <w:t xml:space="preserve">Further, as discussed earlier, in its reply to the Commission’s query regarding the details of expenses incurred towards apportionment of O&amp;M Expenses of UPPCL, the Petitioner submitted the allocation of O&amp;M Expenses of UPPCL. However, as detailed in para </w:t>
      </w:r>
      <w:fldSimple w:instr=" REF _Ref419628155 \n \h  \* MERGEFORMAT ">
        <w:r w:rsidR="00BA08F0">
          <w:t>4.2.10</w:t>
        </w:r>
      </w:fldSimple>
      <w:r w:rsidRPr="00E34329">
        <w:t>, the apportionment of the O&amp;M Expenses of UPPCL has been considered in the Bulk Supply Tariff.</w:t>
      </w:r>
    </w:p>
    <w:p w:rsidR="003147B8" w:rsidRPr="00E0115C" w:rsidRDefault="00E34329" w:rsidP="00C60AD1">
      <w:pPr>
        <w:pStyle w:val="Heading3"/>
        <w:tabs>
          <w:tab w:val="clear" w:pos="720"/>
        </w:tabs>
        <w:spacing w:after="240"/>
        <w:ind w:left="993" w:hanging="993"/>
        <w:rPr>
          <w:rFonts w:asciiTheme="minorHAnsi" w:hAnsiTheme="minorHAnsi" w:cs="Calibri"/>
        </w:rPr>
      </w:pPr>
      <w:bookmarkStart w:id="219" w:name="_Toc419641610"/>
      <w:bookmarkStart w:id="220" w:name="_Toc420005522"/>
      <w:bookmarkStart w:id="221" w:name="_Toc420016231"/>
      <w:bookmarkStart w:id="222" w:name="_Toc420016275"/>
      <w:bookmarkStart w:id="223" w:name="_Toc420196309"/>
      <w:bookmarkStart w:id="224" w:name="_Toc420196391"/>
      <w:bookmarkStart w:id="225" w:name="_Toc420197560"/>
      <w:bookmarkEnd w:id="219"/>
      <w:bookmarkEnd w:id="220"/>
      <w:bookmarkEnd w:id="221"/>
      <w:bookmarkEnd w:id="222"/>
      <w:bookmarkEnd w:id="223"/>
      <w:bookmarkEnd w:id="224"/>
      <w:bookmarkEnd w:id="225"/>
      <w:r w:rsidRPr="00E34329">
        <w:t>The summary of O&amp;M expenses approved in the Tariff Order, claimed by the Petitioner and as approved by the Commission in this Order for truing up of ARR for FY 2013-14, is shown in the Table below</w:t>
      </w:r>
      <w:r w:rsidRPr="00E34329">
        <w:rPr>
          <w:rFonts w:cs="Calibri"/>
        </w:rPr>
        <w:t>:</w:t>
      </w:r>
    </w:p>
    <w:p w:rsidR="000A4645" w:rsidRPr="00E0115C" w:rsidRDefault="000A4645" w:rsidP="00C60AD1">
      <w:pPr>
        <w:spacing w:before="0"/>
        <w:jc w:val="center"/>
        <w:rPr>
          <w:rFonts w:asciiTheme="minorHAnsi" w:hAnsiTheme="minorHAnsi" w:cs="Calibri"/>
          <w:b/>
          <w:sz w:val="22"/>
          <w:szCs w:val="22"/>
          <w:lang w:val="en-US"/>
        </w:rPr>
        <w:sectPr w:rsidR="000A4645" w:rsidRPr="00E0115C" w:rsidSect="00D55642">
          <w:headerReference w:type="default" r:id="rId11"/>
          <w:footerReference w:type="default" r:id="rId12"/>
          <w:pgSz w:w="11909" w:h="16834"/>
          <w:pgMar w:top="1440" w:right="1440" w:bottom="1440" w:left="1800" w:header="142" w:footer="720" w:gutter="0"/>
          <w:pgNumType w:chapSep="colon"/>
          <w:cols w:space="720"/>
        </w:sectPr>
      </w:pPr>
      <w:bookmarkStart w:id="226" w:name="_Ref396155581"/>
      <w:bookmarkStart w:id="227" w:name="_Toc394490638"/>
    </w:p>
    <w:p w:rsidR="003147B8" w:rsidRPr="00E0115C" w:rsidRDefault="00E34329" w:rsidP="00C60AD1">
      <w:pPr>
        <w:spacing w:before="0"/>
        <w:jc w:val="center"/>
        <w:rPr>
          <w:rFonts w:asciiTheme="minorHAnsi" w:hAnsiTheme="minorHAnsi" w:cs="Calibri"/>
          <w:b/>
          <w:sz w:val="22"/>
          <w:szCs w:val="22"/>
          <w:lang w:val="en-US"/>
        </w:rPr>
      </w:pPr>
      <w:bookmarkStart w:id="228" w:name="_Toc457604002"/>
      <w:r w:rsidRPr="00E34329">
        <w:rPr>
          <w:rFonts w:asciiTheme="minorHAnsi" w:hAnsiTheme="minorHAnsi" w:cs="Calibri"/>
          <w:b/>
          <w:sz w:val="22"/>
          <w:szCs w:val="22"/>
          <w:lang w:val="en-US"/>
        </w:rPr>
        <w:lastRenderedPageBreak/>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10</w:t>
      </w:r>
      <w:r w:rsidR="009741CA" w:rsidRPr="00E34329">
        <w:rPr>
          <w:rFonts w:asciiTheme="minorHAnsi" w:hAnsiTheme="minorHAnsi" w:cs="Calibri"/>
          <w:b/>
          <w:sz w:val="22"/>
          <w:szCs w:val="22"/>
          <w:lang w:val="en-US"/>
        </w:rPr>
        <w:fldChar w:fldCharType="end"/>
      </w:r>
      <w:bookmarkEnd w:id="226"/>
      <w:r w:rsidRPr="00E34329">
        <w:rPr>
          <w:rFonts w:asciiTheme="minorHAnsi" w:hAnsiTheme="minorHAnsi" w:cs="Calibri"/>
          <w:b/>
          <w:sz w:val="22"/>
          <w:szCs w:val="22"/>
          <w:lang w:val="en-US"/>
        </w:rPr>
        <w:t>: O&amp;M EXPENSES AS APPROVED BY THE COMMISSION FOR FY 2013-14 (Rs. Crore)</w:t>
      </w:r>
      <w:bookmarkEnd w:id="227"/>
      <w:bookmarkEnd w:id="228"/>
    </w:p>
    <w:tbl>
      <w:tblPr>
        <w:tblW w:w="5000" w:type="pct"/>
        <w:tblLayout w:type="fixed"/>
        <w:tblLook w:val="04A0"/>
      </w:tblPr>
      <w:tblGrid>
        <w:gridCol w:w="3232"/>
        <w:gridCol w:w="986"/>
        <w:gridCol w:w="1134"/>
        <w:gridCol w:w="993"/>
        <w:gridCol w:w="1278"/>
        <w:gridCol w:w="1262"/>
      </w:tblGrid>
      <w:tr w:rsidR="00D6621C" w:rsidRPr="00E0115C" w:rsidTr="00D76C64">
        <w:trPr>
          <w:trHeight w:val="900"/>
          <w:tblHeader/>
        </w:trPr>
        <w:tc>
          <w:tcPr>
            <w:tcW w:w="1819" w:type="pct"/>
            <w:tcBorders>
              <w:top w:val="dotted" w:sz="4" w:space="0" w:color="auto"/>
              <w:left w:val="dotted" w:sz="4" w:space="0" w:color="auto"/>
              <w:bottom w:val="dotted" w:sz="4" w:space="0" w:color="auto"/>
              <w:right w:val="dotted" w:sz="4" w:space="0" w:color="auto"/>
            </w:tcBorders>
            <w:shd w:val="clear" w:color="000000" w:fill="DBE5F1"/>
            <w:noWrap/>
            <w:hideMark/>
          </w:tcPr>
          <w:p w:rsidR="002D21D4" w:rsidRPr="00E0115C" w:rsidRDefault="00E34329" w:rsidP="00D76C64">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Particulars</w:t>
            </w:r>
          </w:p>
        </w:tc>
        <w:tc>
          <w:tcPr>
            <w:tcW w:w="555" w:type="pct"/>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Tariff Order</w:t>
            </w:r>
          </w:p>
        </w:tc>
        <w:tc>
          <w:tcPr>
            <w:tcW w:w="638" w:type="pct"/>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Actual as per audited accounts</w:t>
            </w:r>
          </w:p>
        </w:tc>
        <w:tc>
          <w:tcPr>
            <w:tcW w:w="559" w:type="pct"/>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True-up Petition</w:t>
            </w:r>
          </w:p>
        </w:tc>
        <w:tc>
          <w:tcPr>
            <w:tcW w:w="719" w:type="pct"/>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Normative</w:t>
            </w:r>
          </w:p>
        </w:tc>
        <w:tc>
          <w:tcPr>
            <w:tcW w:w="710" w:type="pct"/>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sz w:val="22"/>
                <w:szCs w:val="22"/>
                <w:lang w:val="en-IN" w:eastAsia="en-IN"/>
              </w:rPr>
              <w:t xml:space="preserve">Approved upon Truing </w:t>
            </w:r>
            <w:r w:rsidR="00C2017B">
              <w:rPr>
                <w:rFonts w:asciiTheme="minorHAnsi" w:hAnsiTheme="minorHAnsi"/>
                <w:b/>
                <w:sz w:val="22"/>
                <w:szCs w:val="22"/>
                <w:lang w:val="en-IN" w:eastAsia="en-IN"/>
              </w:rPr>
              <w:t>u</w:t>
            </w:r>
            <w:r w:rsidRPr="00E34329">
              <w:rPr>
                <w:rFonts w:asciiTheme="minorHAnsi" w:hAnsiTheme="minorHAnsi"/>
                <w:b/>
                <w:sz w:val="22"/>
                <w:szCs w:val="22"/>
                <w:lang w:val="en-IN" w:eastAsia="en-IN"/>
              </w:rPr>
              <w:t>p</w:t>
            </w:r>
          </w:p>
        </w:tc>
      </w:tr>
      <w:tr w:rsidR="00D6621C" w:rsidRPr="00E0115C" w:rsidTr="00D15867">
        <w:trPr>
          <w:trHeight w:val="300"/>
        </w:trPr>
        <w:tc>
          <w:tcPr>
            <w:tcW w:w="1819" w:type="pct"/>
            <w:tcBorders>
              <w:top w:val="nil"/>
              <w:left w:val="dotted" w:sz="4" w:space="0" w:color="auto"/>
              <w:bottom w:val="dotted" w:sz="4" w:space="0" w:color="auto"/>
              <w:right w:val="dotted" w:sz="4" w:space="0" w:color="auto"/>
            </w:tcBorders>
            <w:shd w:val="clear" w:color="auto" w:fill="auto"/>
            <w:noWrap/>
            <w:vAlign w:val="bottom"/>
            <w:hideMark/>
          </w:tcPr>
          <w:p w:rsidR="004672B5" w:rsidRPr="00E0115C" w:rsidRDefault="00E34329" w:rsidP="00C60AD1">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Employee Expenses</w:t>
            </w:r>
          </w:p>
        </w:tc>
        <w:tc>
          <w:tcPr>
            <w:tcW w:w="555"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354.20</w:t>
            </w:r>
          </w:p>
        </w:tc>
        <w:tc>
          <w:tcPr>
            <w:tcW w:w="638"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272.37</w:t>
            </w:r>
          </w:p>
        </w:tc>
        <w:tc>
          <w:tcPr>
            <w:tcW w:w="55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272.37</w:t>
            </w:r>
          </w:p>
        </w:tc>
        <w:tc>
          <w:tcPr>
            <w:tcW w:w="71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362.02</w:t>
            </w:r>
          </w:p>
        </w:tc>
        <w:tc>
          <w:tcPr>
            <w:tcW w:w="710"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362.02</w:t>
            </w:r>
          </w:p>
        </w:tc>
      </w:tr>
      <w:tr w:rsidR="00D6621C" w:rsidRPr="00E0115C" w:rsidTr="00D15867">
        <w:trPr>
          <w:trHeight w:val="300"/>
        </w:trPr>
        <w:tc>
          <w:tcPr>
            <w:tcW w:w="1819" w:type="pct"/>
            <w:tcBorders>
              <w:top w:val="nil"/>
              <w:left w:val="dotted" w:sz="4" w:space="0" w:color="auto"/>
              <w:bottom w:val="dotted" w:sz="4" w:space="0" w:color="auto"/>
              <w:right w:val="dotted" w:sz="4" w:space="0" w:color="auto"/>
            </w:tcBorders>
            <w:shd w:val="clear" w:color="auto" w:fill="auto"/>
            <w:noWrap/>
            <w:vAlign w:val="bottom"/>
            <w:hideMark/>
          </w:tcPr>
          <w:p w:rsidR="004672B5" w:rsidRPr="00E0115C" w:rsidRDefault="00E34329" w:rsidP="00C60AD1">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Repair &amp; Maintenance Expenses</w:t>
            </w:r>
          </w:p>
        </w:tc>
        <w:tc>
          <w:tcPr>
            <w:tcW w:w="555"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199.47</w:t>
            </w:r>
          </w:p>
        </w:tc>
        <w:tc>
          <w:tcPr>
            <w:tcW w:w="638"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329.62</w:t>
            </w:r>
          </w:p>
        </w:tc>
        <w:tc>
          <w:tcPr>
            <w:tcW w:w="55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329.62</w:t>
            </w:r>
          </w:p>
        </w:tc>
        <w:tc>
          <w:tcPr>
            <w:tcW w:w="71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205.56</w:t>
            </w:r>
          </w:p>
        </w:tc>
        <w:tc>
          <w:tcPr>
            <w:tcW w:w="710"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205.56</w:t>
            </w:r>
          </w:p>
        </w:tc>
      </w:tr>
      <w:tr w:rsidR="00D6621C" w:rsidRPr="00E0115C" w:rsidTr="00D15867">
        <w:trPr>
          <w:trHeight w:val="300"/>
        </w:trPr>
        <w:tc>
          <w:tcPr>
            <w:tcW w:w="1819" w:type="pct"/>
            <w:tcBorders>
              <w:top w:val="nil"/>
              <w:left w:val="dotted" w:sz="4" w:space="0" w:color="auto"/>
              <w:bottom w:val="dotted" w:sz="4" w:space="0" w:color="auto"/>
              <w:right w:val="dotted" w:sz="4" w:space="0" w:color="auto"/>
            </w:tcBorders>
            <w:shd w:val="clear" w:color="auto" w:fill="auto"/>
            <w:noWrap/>
            <w:vAlign w:val="bottom"/>
            <w:hideMark/>
          </w:tcPr>
          <w:p w:rsidR="004672B5" w:rsidRPr="00E0115C" w:rsidRDefault="00E34329" w:rsidP="00C60AD1">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Administrative and General Expenses</w:t>
            </w:r>
          </w:p>
        </w:tc>
        <w:tc>
          <w:tcPr>
            <w:tcW w:w="555"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56.51</w:t>
            </w:r>
          </w:p>
        </w:tc>
        <w:tc>
          <w:tcPr>
            <w:tcW w:w="638"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79.35</w:t>
            </w:r>
          </w:p>
        </w:tc>
        <w:tc>
          <w:tcPr>
            <w:tcW w:w="55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79.35</w:t>
            </w:r>
          </w:p>
        </w:tc>
        <w:tc>
          <w:tcPr>
            <w:tcW w:w="71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56.71</w:t>
            </w:r>
          </w:p>
        </w:tc>
        <w:tc>
          <w:tcPr>
            <w:tcW w:w="710"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56.71</w:t>
            </w:r>
          </w:p>
        </w:tc>
      </w:tr>
      <w:tr w:rsidR="00D6621C" w:rsidRPr="00E0115C" w:rsidTr="00D15867">
        <w:trPr>
          <w:trHeight w:val="300"/>
        </w:trPr>
        <w:tc>
          <w:tcPr>
            <w:tcW w:w="1819" w:type="pct"/>
            <w:tcBorders>
              <w:top w:val="nil"/>
              <w:left w:val="dotted" w:sz="4" w:space="0" w:color="auto"/>
              <w:bottom w:val="dotted" w:sz="4" w:space="0" w:color="auto"/>
              <w:right w:val="dotted" w:sz="4" w:space="0" w:color="auto"/>
            </w:tcBorders>
            <w:shd w:val="clear" w:color="auto" w:fill="auto"/>
            <w:noWrap/>
            <w:vAlign w:val="bottom"/>
            <w:hideMark/>
          </w:tcPr>
          <w:p w:rsidR="004672B5" w:rsidRPr="00E0115C" w:rsidRDefault="00E34329" w:rsidP="00C60AD1">
            <w:pPr>
              <w:spacing w:before="0" w:line="240" w:lineRule="auto"/>
              <w:jc w:val="left"/>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Gross Operation and Maintenance Expenses</w:t>
            </w:r>
          </w:p>
        </w:tc>
        <w:tc>
          <w:tcPr>
            <w:tcW w:w="555"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610.18</w:t>
            </w:r>
          </w:p>
        </w:tc>
        <w:tc>
          <w:tcPr>
            <w:tcW w:w="638"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681.34</w:t>
            </w:r>
          </w:p>
        </w:tc>
        <w:tc>
          <w:tcPr>
            <w:tcW w:w="55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681.34</w:t>
            </w:r>
          </w:p>
        </w:tc>
        <w:tc>
          <w:tcPr>
            <w:tcW w:w="71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624.29</w:t>
            </w:r>
          </w:p>
        </w:tc>
        <w:tc>
          <w:tcPr>
            <w:tcW w:w="710"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624.29</w:t>
            </w:r>
          </w:p>
        </w:tc>
      </w:tr>
      <w:tr w:rsidR="00D6621C" w:rsidRPr="00E0115C" w:rsidTr="00D15867">
        <w:trPr>
          <w:trHeight w:val="300"/>
        </w:trPr>
        <w:tc>
          <w:tcPr>
            <w:tcW w:w="1819" w:type="pct"/>
            <w:tcBorders>
              <w:top w:val="nil"/>
              <w:left w:val="dotted" w:sz="4" w:space="0" w:color="auto"/>
              <w:bottom w:val="dotted" w:sz="4" w:space="0" w:color="auto"/>
              <w:right w:val="dotted" w:sz="4" w:space="0" w:color="auto"/>
            </w:tcBorders>
            <w:shd w:val="clear" w:color="auto" w:fill="auto"/>
            <w:noWrap/>
            <w:vAlign w:val="bottom"/>
            <w:hideMark/>
          </w:tcPr>
          <w:p w:rsidR="004672B5" w:rsidRPr="00E0115C" w:rsidRDefault="00E34329" w:rsidP="00C60AD1">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Less: Capitalisation</w:t>
            </w:r>
          </w:p>
        </w:tc>
        <w:tc>
          <w:tcPr>
            <w:tcW w:w="555"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 </w:t>
            </w:r>
          </w:p>
        </w:tc>
        <w:tc>
          <w:tcPr>
            <w:tcW w:w="638"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 </w:t>
            </w:r>
          </w:p>
        </w:tc>
        <w:tc>
          <w:tcPr>
            <w:tcW w:w="55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 </w:t>
            </w:r>
          </w:p>
        </w:tc>
        <w:tc>
          <w:tcPr>
            <w:tcW w:w="71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 </w:t>
            </w:r>
          </w:p>
        </w:tc>
        <w:tc>
          <w:tcPr>
            <w:tcW w:w="710"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 </w:t>
            </w:r>
          </w:p>
        </w:tc>
      </w:tr>
      <w:tr w:rsidR="00D6621C" w:rsidRPr="00E0115C" w:rsidTr="00D15867">
        <w:trPr>
          <w:trHeight w:val="300"/>
        </w:trPr>
        <w:tc>
          <w:tcPr>
            <w:tcW w:w="1819" w:type="pct"/>
            <w:tcBorders>
              <w:top w:val="nil"/>
              <w:left w:val="dotted" w:sz="4" w:space="0" w:color="auto"/>
              <w:bottom w:val="dotted" w:sz="4" w:space="0" w:color="auto"/>
              <w:right w:val="dotted" w:sz="4" w:space="0" w:color="auto"/>
            </w:tcBorders>
            <w:shd w:val="clear" w:color="auto" w:fill="auto"/>
            <w:noWrap/>
            <w:vAlign w:val="bottom"/>
            <w:hideMark/>
          </w:tcPr>
          <w:p w:rsidR="004672B5" w:rsidRPr="00E0115C" w:rsidRDefault="00E34329" w:rsidP="00C60AD1">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Employee Cost Capitalized</w:t>
            </w:r>
          </w:p>
        </w:tc>
        <w:tc>
          <w:tcPr>
            <w:tcW w:w="555"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53.13</w:t>
            </w:r>
          </w:p>
        </w:tc>
        <w:tc>
          <w:tcPr>
            <w:tcW w:w="638"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102.09</w:t>
            </w:r>
          </w:p>
        </w:tc>
        <w:tc>
          <w:tcPr>
            <w:tcW w:w="55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102.09</w:t>
            </w:r>
          </w:p>
        </w:tc>
        <w:tc>
          <w:tcPr>
            <w:tcW w:w="71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102.09</w:t>
            </w:r>
          </w:p>
        </w:tc>
        <w:tc>
          <w:tcPr>
            <w:tcW w:w="710"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102.09</w:t>
            </w:r>
          </w:p>
        </w:tc>
      </w:tr>
      <w:tr w:rsidR="00D6621C" w:rsidRPr="00E0115C" w:rsidTr="00D15867">
        <w:trPr>
          <w:trHeight w:val="300"/>
        </w:trPr>
        <w:tc>
          <w:tcPr>
            <w:tcW w:w="1819" w:type="pct"/>
            <w:tcBorders>
              <w:top w:val="nil"/>
              <w:left w:val="dotted" w:sz="4" w:space="0" w:color="auto"/>
              <w:bottom w:val="dotted" w:sz="4" w:space="0" w:color="auto"/>
              <w:right w:val="dotted" w:sz="4" w:space="0" w:color="auto"/>
            </w:tcBorders>
            <w:shd w:val="clear" w:color="auto" w:fill="auto"/>
            <w:noWrap/>
            <w:vAlign w:val="bottom"/>
            <w:hideMark/>
          </w:tcPr>
          <w:p w:rsidR="004672B5" w:rsidRPr="00E0115C" w:rsidRDefault="00E34329" w:rsidP="00C60AD1">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A&amp;G Expenses Capitalized</w:t>
            </w:r>
          </w:p>
        </w:tc>
        <w:tc>
          <w:tcPr>
            <w:tcW w:w="555"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8.48</w:t>
            </w:r>
          </w:p>
        </w:tc>
        <w:tc>
          <w:tcPr>
            <w:tcW w:w="638"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29.20</w:t>
            </w:r>
          </w:p>
        </w:tc>
        <w:tc>
          <w:tcPr>
            <w:tcW w:w="55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29.20</w:t>
            </w:r>
          </w:p>
        </w:tc>
        <w:tc>
          <w:tcPr>
            <w:tcW w:w="71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29.20</w:t>
            </w:r>
          </w:p>
        </w:tc>
        <w:tc>
          <w:tcPr>
            <w:tcW w:w="710"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29.20</w:t>
            </w:r>
          </w:p>
        </w:tc>
      </w:tr>
      <w:tr w:rsidR="00D6621C" w:rsidRPr="00E0115C" w:rsidTr="00D15867">
        <w:trPr>
          <w:trHeight w:val="300"/>
        </w:trPr>
        <w:tc>
          <w:tcPr>
            <w:tcW w:w="1819" w:type="pct"/>
            <w:tcBorders>
              <w:top w:val="nil"/>
              <w:left w:val="dotted" w:sz="4" w:space="0" w:color="auto"/>
              <w:bottom w:val="dotted" w:sz="4" w:space="0" w:color="auto"/>
              <w:right w:val="dotted" w:sz="4" w:space="0" w:color="auto"/>
            </w:tcBorders>
            <w:shd w:val="clear" w:color="auto" w:fill="auto"/>
            <w:noWrap/>
            <w:vAlign w:val="bottom"/>
            <w:hideMark/>
          </w:tcPr>
          <w:p w:rsidR="004672B5" w:rsidRPr="00E0115C" w:rsidRDefault="00E34329" w:rsidP="00C60AD1">
            <w:pPr>
              <w:spacing w:before="0" w:line="240" w:lineRule="auto"/>
              <w:jc w:val="left"/>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Total Capitalization</w:t>
            </w:r>
          </w:p>
        </w:tc>
        <w:tc>
          <w:tcPr>
            <w:tcW w:w="555"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61.61</w:t>
            </w:r>
          </w:p>
        </w:tc>
        <w:tc>
          <w:tcPr>
            <w:tcW w:w="638"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131.29</w:t>
            </w:r>
          </w:p>
        </w:tc>
        <w:tc>
          <w:tcPr>
            <w:tcW w:w="55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131.29</w:t>
            </w:r>
          </w:p>
        </w:tc>
        <w:tc>
          <w:tcPr>
            <w:tcW w:w="71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131.29</w:t>
            </w:r>
          </w:p>
        </w:tc>
        <w:tc>
          <w:tcPr>
            <w:tcW w:w="710"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color w:val="000000"/>
                <w:sz w:val="22"/>
                <w:szCs w:val="22"/>
              </w:rPr>
              <w:t>131.29</w:t>
            </w:r>
          </w:p>
        </w:tc>
      </w:tr>
      <w:tr w:rsidR="00D6621C" w:rsidRPr="00E0115C" w:rsidTr="00D15867">
        <w:trPr>
          <w:trHeight w:val="300"/>
        </w:trPr>
        <w:tc>
          <w:tcPr>
            <w:tcW w:w="1819" w:type="pct"/>
            <w:tcBorders>
              <w:top w:val="nil"/>
              <w:left w:val="dotted" w:sz="4" w:space="0" w:color="auto"/>
              <w:bottom w:val="dotted" w:sz="4" w:space="0" w:color="auto"/>
              <w:right w:val="dotted" w:sz="4" w:space="0" w:color="auto"/>
            </w:tcBorders>
            <w:shd w:val="clear" w:color="auto" w:fill="auto"/>
            <w:noWrap/>
            <w:vAlign w:val="bottom"/>
            <w:hideMark/>
          </w:tcPr>
          <w:p w:rsidR="004672B5" w:rsidRPr="00E0115C" w:rsidRDefault="00E34329" w:rsidP="00C60AD1">
            <w:pPr>
              <w:spacing w:before="0" w:line="240" w:lineRule="auto"/>
              <w:jc w:val="left"/>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Net Operation and Maintenance Expenses</w:t>
            </w:r>
          </w:p>
        </w:tc>
        <w:tc>
          <w:tcPr>
            <w:tcW w:w="555"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548.58</w:t>
            </w:r>
          </w:p>
        </w:tc>
        <w:tc>
          <w:tcPr>
            <w:tcW w:w="638"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550.05</w:t>
            </w:r>
          </w:p>
        </w:tc>
        <w:tc>
          <w:tcPr>
            <w:tcW w:w="55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550.05</w:t>
            </w:r>
          </w:p>
        </w:tc>
        <w:tc>
          <w:tcPr>
            <w:tcW w:w="71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493.00</w:t>
            </w:r>
          </w:p>
        </w:tc>
        <w:tc>
          <w:tcPr>
            <w:tcW w:w="710"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493.00</w:t>
            </w:r>
          </w:p>
        </w:tc>
      </w:tr>
      <w:tr w:rsidR="00D6621C" w:rsidRPr="00E0115C" w:rsidTr="00D15867">
        <w:trPr>
          <w:trHeight w:val="300"/>
        </w:trPr>
        <w:tc>
          <w:tcPr>
            <w:tcW w:w="1819" w:type="pct"/>
            <w:tcBorders>
              <w:top w:val="nil"/>
              <w:left w:val="dotted" w:sz="4" w:space="0" w:color="auto"/>
              <w:bottom w:val="dotted" w:sz="4" w:space="0" w:color="auto"/>
              <w:right w:val="dotted" w:sz="4" w:space="0" w:color="auto"/>
            </w:tcBorders>
            <w:shd w:val="clear" w:color="auto" w:fill="auto"/>
            <w:noWrap/>
            <w:vAlign w:val="bottom"/>
            <w:hideMark/>
          </w:tcPr>
          <w:p w:rsidR="004672B5" w:rsidRPr="00E0115C" w:rsidRDefault="00E34329" w:rsidP="00C60AD1">
            <w:pPr>
              <w:spacing w:before="0" w:line="240" w:lineRule="auto"/>
              <w:jc w:val="left"/>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Efficiency Gain</w:t>
            </w:r>
          </w:p>
        </w:tc>
        <w:tc>
          <w:tcPr>
            <w:tcW w:w="555"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 </w:t>
            </w:r>
          </w:p>
        </w:tc>
        <w:tc>
          <w:tcPr>
            <w:tcW w:w="638"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 </w:t>
            </w:r>
          </w:p>
        </w:tc>
        <w:tc>
          <w:tcPr>
            <w:tcW w:w="55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0.00</w:t>
            </w:r>
          </w:p>
        </w:tc>
        <w:tc>
          <w:tcPr>
            <w:tcW w:w="719"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 </w:t>
            </w:r>
          </w:p>
        </w:tc>
        <w:tc>
          <w:tcPr>
            <w:tcW w:w="710" w:type="pct"/>
            <w:tcBorders>
              <w:top w:val="nil"/>
              <w:left w:val="nil"/>
              <w:bottom w:val="dotted" w:sz="4" w:space="0" w:color="auto"/>
              <w:right w:val="dotted" w:sz="4" w:space="0" w:color="auto"/>
            </w:tcBorders>
            <w:shd w:val="clear" w:color="auto" w:fill="auto"/>
            <w:vAlign w:val="center"/>
            <w:hideMark/>
          </w:tcPr>
          <w:p w:rsidR="00714676"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0.00</w:t>
            </w:r>
          </w:p>
        </w:tc>
      </w:tr>
    </w:tbl>
    <w:p w:rsidR="00FB7257" w:rsidRPr="00E0115C" w:rsidRDefault="00FB7257" w:rsidP="00C60AD1">
      <w:pPr>
        <w:spacing w:before="0" w:line="240" w:lineRule="auto"/>
        <w:jc w:val="left"/>
        <w:rPr>
          <w:rFonts w:asciiTheme="minorHAnsi" w:hAnsiTheme="minorHAnsi" w:cs="Calibri"/>
          <w:b/>
          <w:bCs/>
          <w:color w:val="000000"/>
          <w:sz w:val="22"/>
          <w:szCs w:val="22"/>
          <w:lang w:val="en-US"/>
        </w:rPr>
      </w:pPr>
      <w:bookmarkStart w:id="229" w:name="_Toc419553085"/>
      <w:bookmarkEnd w:id="229"/>
    </w:p>
    <w:p w:rsidR="003147B8" w:rsidRPr="00D76C64" w:rsidRDefault="00E34329" w:rsidP="00C60AD1">
      <w:pPr>
        <w:pStyle w:val="Heading2"/>
        <w:rPr>
          <w:rFonts w:ascii="Calibri" w:hAnsi="Calibri" w:cs="Calibri"/>
          <w:b w:val="0"/>
          <w:bCs w:val="0"/>
          <w:szCs w:val="26"/>
          <w:lang w:val="en-US"/>
        </w:rPr>
      </w:pPr>
      <w:bookmarkStart w:id="230" w:name="_Toc419641576"/>
      <w:bookmarkStart w:id="231" w:name="_Toc420005501"/>
      <w:bookmarkStart w:id="232" w:name="_Toc420016192"/>
      <w:bookmarkStart w:id="233" w:name="_Toc420020967"/>
      <w:bookmarkStart w:id="234" w:name="_Toc420193367"/>
      <w:bookmarkStart w:id="235" w:name="_Toc420193509"/>
      <w:bookmarkStart w:id="236" w:name="_Toc420196256"/>
      <w:bookmarkStart w:id="237" w:name="_Toc420197510"/>
      <w:bookmarkStart w:id="238" w:name="_Toc396898409"/>
      <w:bookmarkStart w:id="239" w:name="_Toc396899922"/>
      <w:bookmarkStart w:id="240" w:name="_Toc396945982"/>
      <w:bookmarkStart w:id="241" w:name="_Toc397291156"/>
      <w:bookmarkStart w:id="242" w:name="_Toc399343014"/>
      <w:bookmarkStart w:id="243" w:name="_Toc399520950"/>
      <w:bookmarkStart w:id="244" w:name="_Toc399521174"/>
      <w:bookmarkStart w:id="245" w:name="_Toc399521396"/>
      <w:bookmarkStart w:id="246" w:name="_Toc399521922"/>
      <w:bookmarkStart w:id="247" w:name="_Toc399522195"/>
      <w:bookmarkStart w:id="248" w:name="_Toc399522377"/>
      <w:bookmarkStart w:id="249" w:name="_Toc352568751"/>
      <w:bookmarkStart w:id="250" w:name="_Toc356913000"/>
      <w:bookmarkStart w:id="251" w:name="_Toc45760392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34329">
        <w:rPr>
          <w:rFonts w:ascii="Calibri" w:hAnsi="Calibri" w:cs="Calibri"/>
          <w:szCs w:val="26"/>
          <w:lang w:val="en-US"/>
        </w:rPr>
        <w:t>INTEREST AND FINANCE CHARGES</w:t>
      </w:r>
      <w:bookmarkEnd w:id="249"/>
      <w:bookmarkEnd w:id="250"/>
      <w:bookmarkEnd w:id="251"/>
    </w:p>
    <w:p w:rsidR="00C879D1" w:rsidRPr="00D76C64" w:rsidRDefault="00C879D1">
      <w:pPr>
        <w:pStyle w:val="Heading2"/>
        <w:numPr>
          <w:ilvl w:val="0"/>
          <w:numId w:val="0"/>
        </w:numPr>
        <w:rPr>
          <w:rFonts w:ascii="Calibri" w:hAnsi="Calibri" w:cs="Calibri"/>
          <w:szCs w:val="26"/>
          <w:lang w:val="en-US"/>
        </w:rPr>
      </w:pPr>
    </w:p>
    <w:p w:rsidR="003147B8" w:rsidRPr="00D76C64" w:rsidRDefault="00E34329" w:rsidP="00C60AD1">
      <w:pPr>
        <w:rPr>
          <w:b/>
        </w:rPr>
      </w:pPr>
      <w:r w:rsidRPr="00E34329">
        <w:rPr>
          <w:b/>
        </w:rPr>
        <w:t>Interest on Long Term Loans</w:t>
      </w:r>
    </w:p>
    <w:p w:rsidR="003147B8" w:rsidRPr="00D76C64" w:rsidRDefault="00E34329" w:rsidP="00C60AD1">
      <w:pPr>
        <w:pStyle w:val="Heading3"/>
        <w:tabs>
          <w:tab w:val="clear" w:pos="720"/>
        </w:tabs>
        <w:spacing w:after="240"/>
        <w:ind w:left="993" w:hanging="993"/>
      </w:pPr>
      <w:r w:rsidRPr="00E34329">
        <w:t>The Petitioner has claimed the net Interest on long term loan for FY 2013-14 as Rs. 179.56 Crore, against the approved expenses of Rs. 96.94 Crore. The Petitioner has not capitalized any interest for FY 2013-14, against Rs. 28.96 Crore approved by the Commission in the Tariff Order.</w:t>
      </w:r>
    </w:p>
    <w:p w:rsidR="00F70DA9" w:rsidRPr="00D76C64" w:rsidRDefault="00E34329" w:rsidP="00C60AD1">
      <w:pPr>
        <w:pStyle w:val="Heading3"/>
        <w:tabs>
          <w:tab w:val="clear" w:pos="720"/>
        </w:tabs>
        <w:spacing w:after="240"/>
        <w:ind w:left="993" w:hanging="993"/>
      </w:pPr>
      <w:r w:rsidRPr="00E34329">
        <w:t xml:space="preserve">The Petitioner submitted that the Commission in its previous Tariff and True-up Orders had considered a normative approach for financing the capital expenditure with a normative debt equity ratio of 70:30. Considering this approach, 70% of the capital expenditure undertaken in any year was considered to be financed through loan and balance 30% was been considered to be financed through equity contributions. The portion of capital expenditure financed through consumer contributions, capital subsidies and grants was separated and the depreciation and interest thereon was not charged to the consumers &amp; beneficiaries. The amounts received as consumer contributions, capital subsidies and grants were traced from the audited accounts. Subsequently, the financing of the capital investment was worked </w:t>
      </w:r>
      <w:r w:rsidRPr="00E34329">
        <w:lastRenderedPageBreak/>
        <w:t xml:space="preserve">out based on the gearing ratio of 70:30 and allowable depreciation was considered as normative loan repayment. </w:t>
      </w:r>
    </w:p>
    <w:p w:rsidR="00BA7989" w:rsidRPr="00D76C64" w:rsidRDefault="00E34329" w:rsidP="00C60AD1">
      <w:pPr>
        <w:pStyle w:val="Heading3"/>
        <w:tabs>
          <w:tab w:val="clear" w:pos="720"/>
        </w:tabs>
        <w:spacing w:after="240"/>
        <w:ind w:left="993" w:hanging="993"/>
      </w:pPr>
      <w:r w:rsidRPr="00E34329">
        <w:t xml:space="preserve">The Petitioner submitted that </w:t>
      </w:r>
      <w:r w:rsidRPr="00E34329">
        <w:rPr>
          <w:rFonts w:cs="Calibri"/>
        </w:rPr>
        <w:t>considering the Capital Work in Progress balances (CWIP) and Gross Fixed Asset (GFA) balances as per audited accounts, it has derived the actual capital investments undertaken by it in FY 2013-14.</w:t>
      </w:r>
    </w:p>
    <w:p w:rsidR="003147B8" w:rsidRPr="00D76C64" w:rsidRDefault="00E34329" w:rsidP="00C60AD1">
      <w:pPr>
        <w:pStyle w:val="Heading3"/>
        <w:tabs>
          <w:tab w:val="clear" w:pos="720"/>
        </w:tabs>
        <w:spacing w:after="240"/>
        <w:ind w:left="993" w:hanging="993"/>
      </w:pPr>
      <w:r w:rsidRPr="00E34329">
        <w:t>In line with the approach</w:t>
      </w:r>
      <w:r w:rsidRPr="00E34329">
        <w:rPr>
          <w:rFonts w:cs="Calibri"/>
        </w:rPr>
        <w:t xml:space="preserve"> adopted by the Commi</w:t>
      </w:r>
      <w:r w:rsidRPr="00E34329">
        <w:t>ss</w:t>
      </w:r>
      <w:r w:rsidRPr="00E34329">
        <w:rPr>
          <w:rFonts w:cs="Calibri"/>
        </w:rPr>
        <w:t>ion in its previous Orders, interest expenses has been considered as an uncontrollable cost as the interest rates are determined by various external factors and the actual loans taken are consequ</w:t>
      </w:r>
      <w:r w:rsidRPr="00E34329">
        <w:t>ential to the capital expenditure undertaken by the licensee.</w:t>
      </w:r>
    </w:p>
    <w:p w:rsidR="003147B8" w:rsidRPr="00E0115C" w:rsidRDefault="00E34329" w:rsidP="00C60AD1">
      <w:pPr>
        <w:pStyle w:val="Heading3"/>
        <w:tabs>
          <w:tab w:val="clear" w:pos="720"/>
        </w:tabs>
        <w:spacing w:after="240"/>
        <w:ind w:left="993" w:hanging="993"/>
        <w:rPr>
          <w:rFonts w:asciiTheme="minorHAnsi" w:hAnsiTheme="minorHAnsi"/>
        </w:rPr>
      </w:pPr>
      <w:r w:rsidRPr="00E34329">
        <w:t>For the above purpose, the Commission has derived the actual capital investments undertaken by the Licensee in FY 2013-14, based on the audited accounts. The details are provided in the Table below:</w:t>
      </w:r>
    </w:p>
    <w:p w:rsidR="003147B8" w:rsidRPr="00E0115C" w:rsidRDefault="00E34329" w:rsidP="00C60AD1">
      <w:pPr>
        <w:spacing w:before="0"/>
        <w:jc w:val="center"/>
        <w:rPr>
          <w:rFonts w:asciiTheme="minorHAnsi" w:hAnsiTheme="minorHAnsi" w:cs="Calibri"/>
          <w:b/>
          <w:sz w:val="22"/>
          <w:szCs w:val="22"/>
          <w:lang w:val="en-US"/>
        </w:rPr>
      </w:pPr>
      <w:bookmarkStart w:id="252" w:name="_Toc356913183"/>
      <w:bookmarkStart w:id="253" w:name="_Toc394490639"/>
      <w:bookmarkStart w:id="254" w:name="_Toc457604003"/>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11</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CAPITAL INVESTMENTS IN FY 2013-14 (Rs. Crore)</w:t>
      </w:r>
      <w:bookmarkEnd w:id="252"/>
      <w:bookmarkEnd w:id="253"/>
      <w:bookmarkEnd w:id="254"/>
    </w:p>
    <w:tbl>
      <w:tblPr>
        <w:tblW w:w="8782" w:type="dxa"/>
        <w:tblInd w:w="103" w:type="dxa"/>
        <w:tblLayout w:type="fixed"/>
        <w:tblLook w:val="04A0"/>
      </w:tblPr>
      <w:tblGrid>
        <w:gridCol w:w="2982"/>
        <w:gridCol w:w="1276"/>
        <w:gridCol w:w="992"/>
        <w:gridCol w:w="1134"/>
        <w:gridCol w:w="1276"/>
        <w:gridCol w:w="1122"/>
      </w:tblGrid>
      <w:tr w:rsidR="00D6621C" w:rsidRPr="00E0115C" w:rsidTr="00D76C64">
        <w:trPr>
          <w:trHeight w:val="300"/>
          <w:tblHeader/>
        </w:trPr>
        <w:tc>
          <w:tcPr>
            <w:tcW w:w="2982" w:type="dxa"/>
            <w:vMerge w:val="restart"/>
            <w:tcBorders>
              <w:top w:val="dotted" w:sz="4" w:space="0" w:color="auto"/>
              <w:left w:val="dotted" w:sz="4" w:space="0" w:color="auto"/>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Particulars</w:t>
            </w:r>
          </w:p>
        </w:tc>
        <w:tc>
          <w:tcPr>
            <w:tcW w:w="1276" w:type="dxa"/>
            <w:vMerge w:val="restart"/>
            <w:tcBorders>
              <w:top w:val="dotted" w:sz="4" w:space="0" w:color="auto"/>
              <w:left w:val="dotted" w:sz="4" w:space="0" w:color="auto"/>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Derivation</w:t>
            </w:r>
          </w:p>
        </w:tc>
        <w:tc>
          <w:tcPr>
            <w:tcW w:w="4524" w:type="dxa"/>
            <w:gridSpan w:val="4"/>
            <w:tcBorders>
              <w:top w:val="dotted" w:sz="4" w:space="0" w:color="auto"/>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color w:val="000000"/>
                <w:sz w:val="22"/>
                <w:szCs w:val="22"/>
                <w:lang w:val="en-IN" w:eastAsia="en-IN"/>
              </w:rPr>
            </w:pPr>
            <w:r w:rsidRPr="00E34329">
              <w:rPr>
                <w:rFonts w:asciiTheme="minorHAnsi" w:hAnsiTheme="minorHAnsi"/>
                <w:b/>
                <w:color w:val="000000"/>
                <w:sz w:val="22"/>
                <w:szCs w:val="22"/>
                <w:lang w:val="en-IN" w:eastAsia="en-IN"/>
              </w:rPr>
              <w:t>FY 2013-14</w:t>
            </w:r>
          </w:p>
        </w:tc>
      </w:tr>
      <w:tr w:rsidR="00B07889" w:rsidRPr="00E0115C" w:rsidTr="00D76C64">
        <w:trPr>
          <w:trHeight w:val="300"/>
          <w:tblHeader/>
        </w:trPr>
        <w:tc>
          <w:tcPr>
            <w:tcW w:w="2982" w:type="dxa"/>
            <w:vMerge/>
            <w:tcBorders>
              <w:top w:val="dotted" w:sz="4" w:space="0" w:color="auto"/>
              <w:left w:val="dotted" w:sz="4" w:space="0" w:color="auto"/>
              <w:bottom w:val="dotted" w:sz="4" w:space="0" w:color="auto"/>
              <w:right w:val="dotted" w:sz="4" w:space="0" w:color="auto"/>
            </w:tcBorders>
            <w:hideMark/>
          </w:tcPr>
          <w:p w:rsidR="00D5771F" w:rsidRDefault="00D5771F">
            <w:pPr>
              <w:spacing w:before="0" w:line="240" w:lineRule="auto"/>
              <w:jc w:val="center"/>
              <w:rPr>
                <w:rFonts w:asciiTheme="minorHAnsi" w:hAnsiTheme="minorHAnsi"/>
                <w:b/>
                <w:sz w:val="22"/>
                <w:szCs w:val="22"/>
                <w:lang w:val="en-IN" w:eastAsia="en-IN"/>
              </w:rPr>
            </w:pPr>
          </w:p>
        </w:tc>
        <w:tc>
          <w:tcPr>
            <w:tcW w:w="1276" w:type="dxa"/>
            <w:vMerge/>
            <w:tcBorders>
              <w:top w:val="dotted" w:sz="4" w:space="0" w:color="auto"/>
              <w:left w:val="dotted" w:sz="4" w:space="0" w:color="auto"/>
              <w:bottom w:val="dotted" w:sz="4" w:space="0" w:color="auto"/>
              <w:right w:val="dotted" w:sz="4" w:space="0" w:color="auto"/>
            </w:tcBorders>
            <w:hideMark/>
          </w:tcPr>
          <w:p w:rsidR="00D5771F" w:rsidRDefault="00D5771F">
            <w:pPr>
              <w:spacing w:before="0" w:line="240" w:lineRule="auto"/>
              <w:jc w:val="center"/>
              <w:rPr>
                <w:rFonts w:asciiTheme="minorHAnsi" w:hAnsiTheme="minorHAnsi"/>
                <w:b/>
                <w:sz w:val="22"/>
                <w:szCs w:val="22"/>
                <w:lang w:val="en-IN" w:eastAsia="en-IN"/>
              </w:rPr>
            </w:pPr>
          </w:p>
        </w:tc>
        <w:tc>
          <w:tcPr>
            <w:tcW w:w="992" w:type="dxa"/>
            <w:tcBorders>
              <w:top w:val="nil"/>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color w:val="000000"/>
                <w:sz w:val="22"/>
                <w:szCs w:val="22"/>
                <w:lang w:val="en-IN" w:eastAsia="en-IN"/>
              </w:rPr>
            </w:pPr>
            <w:r w:rsidRPr="00E34329">
              <w:rPr>
                <w:rFonts w:asciiTheme="minorHAnsi" w:hAnsiTheme="minorHAnsi"/>
                <w:b/>
                <w:color w:val="000000"/>
                <w:sz w:val="22"/>
                <w:szCs w:val="22"/>
                <w:lang w:val="en-IN" w:eastAsia="en-IN"/>
              </w:rPr>
              <w:t>Tariff Order</w:t>
            </w:r>
          </w:p>
        </w:tc>
        <w:tc>
          <w:tcPr>
            <w:tcW w:w="1134" w:type="dxa"/>
            <w:tcBorders>
              <w:top w:val="nil"/>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color w:val="000000"/>
                <w:sz w:val="22"/>
                <w:szCs w:val="22"/>
                <w:lang w:val="en-IN" w:eastAsia="en-IN"/>
              </w:rPr>
            </w:pPr>
            <w:r w:rsidRPr="00E34329">
              <w:rPr>
                <w:rFonts w:asciiTheme="minorHAnsi" w:hAnsiTheme="minorHAnsi"/>
                <w:b/>
                <w:color w:val="000000"/>
                <w:sz w:val="22"/>
                <w:szCs w:val="22"/>
                <w:lang w:val="en-IN" w:eastAsia="en-IN"/>
              </w:rPr>
              <w:t>Audited</w:t>
            </w:r>
          </w:p>
        </w:tc>
        <w:tc>
          <w:tcPr>
            <w:tcW w:w="1276" w:type="dxa"/>
            <w:tcBorders>
              <w:top w:val="nil"/>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color w:val="000000"/>
                <w:sz w:val="22"/>
                <w:szCs w:val="22"/>
                <w:lang w:val="en-IN" w:eastAsia="en-IN"/>
              </w:rPr>
            </w:pPr>
            <w:r w:rsidRPr="00E34329">
              <w:rPr>
                <w:rFonts w:asciiTheme="minorHAnsi" w:hAnsiTheme="minorHAnsi"/>
                <w:b/>
                <w:color w:val="000000"/>
                <w:sz w:val="22"/>
                <w:szCs w:val="22"/>
                <w:lang w:val="en-IN" w:eastAsia="en-IN"/>
              </w:rPr>
              <w:t>Petition</w:t>
            </w:r>
          </w:p>
        </w:tc>
        <w:tc>
          <w:tcPr>
            <w:tcW w:w="1122" w:type="dxa"/>
            <w:tcBorders>
              <w:top w:val="nil"/>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color w:val="000000"/>
                <w:sz w:val="22"/>
                <w:szCs w:val="22"/>
                <w:lang w:val="en-IN" w:eastAsia="en-IN"/>
              </w:rPr>
            </w:pPr>
            <w:r w:rsidRPr="00E34329">
              <w:rPr>
                <w:rFonts w:asciiTheme="minorHAnsi" w:hAnsiTheme="minorHAnsi"/>
                <w:b/>
                <w:sz w:val="22"/>
                <w:szCs w:val="22"/>
                <w:lang w:val="en-IN" w:eastAsia="en-IN"/>
              </w:rPr>
              <w:t xml:space="preserve">Approved upon Truing </w:t>
            </w:r>
            <w:r w:rsidR="00C2017B">
              <w:rPr>
                <w:rFonts w:asciiTheme="minorHAnsi" w:hAnsiTheme="minorHAnsi"/>
                <w:b/>
                <w:sz w:val="22"/>
                <w:szCs w:val="22"/>
                <w:lang w:val="en-IN" w:eastAsia="en-IN"/>
              </w:rPr>
              <w:t>u</w:t>
            </w:r>
            <w:r w:rsidRPr="00E34329">
              <w:rPr>
                <w:rFonts w:asciiTheme="minorHAnsi" w:hAnsiTheme="minorHAnsi"/>
                <w:b/>
                <w:sz w:val="22"/>
                <w:szCs w:val="22"/>
                <w:lang w:val="en-IN" w:eastAsia="en-IN"/>
              </w:rPr>
              <w:t>p</w:t>
            </w:r>
          </w:p>
        </w:tc>
      </w:tr>
      <w:tr w:rsidR="00B07889" w:rsidRPr="00E0115C" w:rsidTr="00B07889">
        <w:trPr>
          <w:trHeight w:val="300"/>
        </w:trPr>
        <w:tc>
          <w:tcPr>
            <w:tcW w:w="2982" w:type="dxa"/>
            <w:tcBorders>
              <w:top w:val="nil"/>
              <w:left w:val="dotted" w:sz="4" w:space="0" w:color="auto"/>
              <w:bottom w:val="dotted" w:sz="4" w:space="0" w:color="auto"/>
              <w:right w:val="dotted" w:sz="4" w:space="0" w:color="auto"/>
            </w:tcBorders>
            <w:shd w:val="clear" w:color="auto" w:fill="auto"/>
            <w:vAlign w:val="center"/>
            <w:hideMark/>
          </w:tcPr>
          <w:p w:rsidR="00D5771F" w:rsidRDefault="00E34329">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Opening WIP  as on 1st April</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A</w:t>
            </w:r>
          </w:p>
        </w:tc>
        <w:tc>
          <w:tcPr>
            <w:tcW w:w="99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727.74</w:t>
            </w:r>
          </w:p>
        </w:tc>
        <w:tc>
          <w:tcPr>
            <w:tcW w:w="1134"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579.29</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579.29</w:t>
            </w:r>
          </w:p>
        </w:tc>
        <w:tc>
          <w:tcPr>
            <w:tcW w:w="112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579.29</w:t>
            </w:r>
          </w:p>
        </w:tc>
      </w:tr>
      <w:tr w:rsidR="00B07889" w:rsidRPr="00E0115C" w:rsidTr="00B07889">
        <w:trPr>
          <w:trHeight w:val="285"/>
        </w:trPr>
        <w:tc>
          <w:tcPr>
            <w:tcW w:w="2982" w:type="dxa"/>
            <w:tcBorders>
              <w:top w:val="nil"/>
              <w:left w:val="dotted" w:sz="4" w:space="0" w:color="auto"/>
              <w:bottom w:val="dotted" w:sz="4" w:space="0" w:color="auto"/>
              <w:right w:val="dotted" w:sz="4" w:space="0" w:color="auto"/>
            </w:tcBorders>
            <w:shd w:val="clear" w:color="auto" w:fill="auto"/>
            <w:vAlign w:val="center"/>
            <w:hideMark/>
          </w:tcPr>
          <w:p w:rsidR="00D5771F" w:rsidRDefault="00E34329">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Investments</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B</w:t>
            </w:r>
          </w:p>
        </w:tc>
        <w:tc>
          <w:tcPr>
            <w:tcW w:w="99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851.77</w:t>
            </w:r>
          </w:p>
        </w:tc>
        <w:tc>
          <w:tcPr>
            <w:tcW w:w="1134"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944.89</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944.89</w:t>
            </w:r>
          </w:p>
        </w:tc>
        <w:tc>
          <w:tcPr>
            <w:tcW w:w="112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944.89</w:t>
            </w:r>
          </w:p>
        </w:tc>
      </w:tr>
      <w:tr w:rsidR="00B07889" w:rsidRPr="00E0115C" w:rsidTr="00B07889">
        <w:trPr>
          <w:trHeight w:val="600"/>
        </w:trPr>
        <w:tc>
          <w:tcPr>
            <w:tcW w:w="2982" w:type="dxa"/>
            <w:tcBorders>
              <w:top w:val="nil"/>
              <w:left w:val="dotted" w:sz="4" w:space="0" w:color="auto"/>
              <w:bottom w:val="dotted" w:sz="4" w:space="0" w:color="auto"/>
              <w:right w:val="dotted" w:sz="4" w:space="0" w:color="auto"/>
            </w:tcBorders>
            <w:shd w:val="clear" w:color="auto" w:fill="auto"/>
            <w:vAlign w:val="center"/>
            <w:hideMark/>
          </w:tcPr>
          <w:p w:rsidR="00D5771F" w:rsidRDefault="00E34329">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 xml:space="preserve">Employee Expenses Capitalisation </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C</w:t>
            </w:r>
          </w:p>
        </w:tc>
        <w:tc>
          <w:tcPr>
            <w:tcW w:w="99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53.13</w:t>
            </w:r>
          </w:p>
        </w:tc>
        <w:tc>
          <w:tcPr>
            <w:tcW w:w="1134"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102.09</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102.09</w:t>
            </w:r>
          </w:p>
        </w:tc>
        <w:tc>
          <w:tcPr>
            <w:tcW w:w="112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102.09</w:t>
            </w:r>
          </w:p>
        </w:tc>
      </w:tr>
      <w:tr w:rsidR="00B07889" w:rsidRPr="00E0115C" w:rsidTr="00B07889">
        <w:trPr>
          <w:trHeight w:val="300"/>
        </w:trPr>
        <w:tc>
          <w:tcPr>
            <w:tcW w:w="2982" w:type="dxa"/>
            <w:tcBorders>
              <w:top w:val="nil"/>
              <w:left w:val="dotted" w:sz="4" w:space="0" w:color="auto"/>
              <w:bottom w:val="dotted" w:sz="4" w:space="0" w:color="auto"/>
              <w:right w:val="dotted" w:sz="4" w:space="0" w:color="auto"/>
            </w:tcBorders>
            <w:shd w:val="clear" w:color="auto" w:fill="auto"/>
            <w:vAlign w:val="center"/>
            <w:hideMark/>
          </w:tcPr>
          <w:p w:rsidR="00D5771F" w:rsidRDefault="00E34329">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A&amp;G Expenses Capitalisation</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D</w:t>
            </w:r>
          </w:p>
        </w:tc>
        <w:tc>
          <w:tcPr>
            <w:tcW w:w="99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8.48</w:t>
            </w:r>
          </w:p>
        </w:tc>
        <w:tc>
          <w:tcPr>
            <w:tcW w:w="1134"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29.20</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29.20</w:t>
            </w:r>
          </w:p>
        </w:tc>
        <w:tc>
          <w:tcPr>
            <w:tcW w:w="112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29.20</w:t>
            </w:r>
          </w:p>
        </w:tc>
      </w:tr>
      <w:tr w:rsidR="00B07889" w:rsidRPr="00E0115C" w:rsidTr="00B07889">
        <w:trPr>
          <w:trHeight w:val="600"/>
        </w:trPr>
        <w:tc>
          <w:tcPr>
            <w:tcW w:w="2982" w:type="dxa"/>
            <w:tcBorders>
              <w:top w:val="nil"/>
              <w:left w:val="dotted" w:sz="4" w:space="0" w:color="auto"/>
              <w:bottom w:val="dotted" w:sz="4" w:space="0" w:color="auto"/>
              <w:right w:val="dotted" w:sz="4" w:space="0" w:color="auto"/>
            </w:tcBorders>
            <w:shd w:val="clear" w:color="auto" w:fill="auto"/>
            <w:vAlign w:val="center"/>
            <w:hideMark/>
          </w:tcPr>
          <w:p w:rsidR="00D5771F" w:rsidRDefault="00E34329">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Interest Capitalisation on Interest on long term loans</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E</w:t>
            </w:r>
          </w:p>
        </w:tc>
        <w:tc>
          <w:tcPr>
            <w:tcW w:w="99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28.96</w:t>
            </w:r>
          </w:p>
        </w:tc>
        <w:tc>
          <w:tcPr>
            <w:tcW w:w="1134"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0.00</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0.00</w:t>
            </w:r>
          </w:p>
        </w:tc>
        <w:tc>
          <w:tcPr>
            <w:tcW w:w="112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0.00</w:t>
            </w:r>
          </w:p>
        </w:tc>
      </w:tr>
      <w:tr w:rsidR="00B07889" w:rsidRPr="00E0115C" w:rsidTr="00B07889">
        <w:trPr>
          <w:trHeight w:val="300"/>
        </w:trPr>
        <w:tc>
          <w:tcPr>
            <w:tcW w:w="2982" w:type="dxa"/>
            <w:tcBorders>
              <w:top w:val="nil"/>
              <w:left w:val="dotted" w:sz="4" w:space="0" w:color="auto"/>
              <w:bottom w:val="dotted" w:sz="4" w:space="0" w:color="auto"/>
              <w:right w:val="dotted" w:sz="4" w:space="0" w:color="auto"/>
            </w:tcBorders>
            <w:shd w:val="clear" w:color="auto" w:fill="auto"/>
            <w:vAlign w:val="center"/>
            <w:hideMark/>
          </w:tcPr>
          <w:p w:rsidR="00D5771F" w:rsidRDefault="00E34329">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Total Investments</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F= A+B+C+D+E</w:t>
            </w:r>
          </w:p>
        </w:tc>
        <w:tc>
          <w:tcPr>
            <w:tcW w:w="99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
                <w:bCs/>
                <w:sz w:val="22"/>
                <w:szCs w:val="22"/>
              </w:rPr>
              <w:t>1670.08</w:t>
            </w:r>
          </w:p>
        </w:tc>
        <w:tc>
          <w:tcPr>
            <w:tcW w:w="1134"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
                <w:bCs/>
                <w:sz w:val="22"/>
                <w:szCs w:val="22"/>
              </w:rPr>
              <w:t>1655.47</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
                <w:bCs/>
                <w:sz w:val="22"/>
                <w:szCs w:val="22"/>
              </w:rPr>
              <w:t>1655.47</w:t>
            </w:r>
          </w:p>
        </w:tc>
        <w:tc>
          <w:tcPr>
            <w:tcW w:w="112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
                <w:bCs/>
                <w:sz w:val="22"/>
                <w:szCs w:val="22"/>
              </w:rPr>
              <w:t>1655.47</w:t>
            </w:r>
          </w:p>
        </w:tc>
      </w:tr>
      <w:tr w:rsidR="00B07889" w:rsidRPr="00E0115C" w:rsidTr="00B07889">
        <w:trPr>
          <w:trHeight w:val="600"/>
        </w:trPr>
        <w:tc>
          <w:tcPr>
            <w:tcW w:w="2982" w:type="dxa"/>
            <w:tcBorders>
              <w:top w:val="nil"/>
              <w:left w:val="dotted" w:sz="4" w:space="0" w:color="auto"/>
              <w:bottom w:val="dotted" w:sz="4" w:space="0" w:color="auto"/>
              <w:right w:val="dotted" w:sz="4" w:space="0" w:color="auto"/>
            </w:tcBorders>
            <w:shd w:val="clear" w:color="auto" w:fill="auto"/>
            <w:vAlign w:val="center"/>
            <w:hideMark/>
          </w:tcPr>
          <w:p w:rsidR="00D5771F" w:rsidRDefault="00E34329">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Transferred to GFA (Total Capitalisation)</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center"/>
              <w:rPr>
                <w:rFonts w:asciiTheme="minorHAnsi" w:hAnsiTheme="minorHAnsi"/>
                <w:sz w:val="22"/>
                <w:szCs w:val="22"/>
                <w:lang w:val="en-IN" w:eastAsia="en-IN"/>
              </w:rPr>
            </w:pPr>
            <w:r w:rsidRPr="00E34329">
              <w:rPr>
                <w:rFonts w:asciiTheme="minorHAnsi" w:hAnsiTheme="minorHAnsi"/>
                <w:sz w:val="22"/>
                <w:szCs w:val="22"/>
                <w:lang w:val="en-IN" w:eastAsia="en-IN"/>
              </w:rPr>
              <w:t>G</w:t>
            </w:r>
          </w:p>
        </w:tc>
        <w:tc>
          <w:tcPr>
            <w:tcW w:w="99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668.03</w:t>
            </w:r>
          </w:p>
        </w:tc>
        <w:tc>
          <w:tcPr>
            <w:tcW w:w="1134"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960.95</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960.95</w:t>
            </w:r>
          </w:p>
        </w:tc>
        <w:tc>
          <w:tcPr>
            <w:tcW w:w="112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960.95</w:t>
            </w:r>
          </w:p>
        </w:tc>
      </w:tr>
      <w:tr w:rsidR="00B07889" w:rsidRPr="00E0115C" w:rsidTr="00B07889">
        <w:trPr>
          <w:trHeight w:val="300"/>
        </w:trPr>
        <w:tc>
          <w:tcPr>
            <w:tcW w:w="2982" w:type="dxa"/>
            <w:tcBorders>
              <w:top w:val="nil"/>
              <w:left w:val="dotted" w:sz="4" w:space="0" w:color="auto"/>
              <w:bottom w:val="dotted" w:sz="4" w:space="0" w:color="auto"/>
              <w:right w:val="dotted" w:sz="4" w:space="0" w:color="auto"/>
            </w:tcBorders>
            <w:shd w:val="clear" w:color="auto" w:fill="auto"/>
            <w:vAlign w:val="center"/>
            <w:hideMark/>
          </w:tcPr>
          <w:p w:rsidR="00D5771F" w:rsidRDefault="00E34329">
            <w:pPr>
              <w:spacing w:before="0" w:line="240" w:lineRule="auto"/>
              <w:jc w:val="left"/>
              <w:rPr>
                <w:rFonts w:asciiTheme="minorHAnsi" w:hAnsiTheme="minorHAnsi"/>
                <w:b/>
                <w:sz w:val="22"/>
                <w:szCs w:val="22"/>
                <w:lang w:val="en-IN" w:eastAsia="en-IN"/>
              </w:rPr>
            </w:pPr>
            <w:r w:rsidRPr="00E34329">
              <w:rPr>
                <w:rFonts w:asciiTheme="minorHAnsi" w:hAnsiTheme="minorHAnsi"/>
                <w:b/>
                <w:sz w:val="22"/>
                <w:szCs w:val="22"/>
                <w:lang w:val="en-IN" w:eastAsia="en-IN"/>
              </w:rPr>
              <w:t>Closing WIP</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H=  F-G</w:t>
            </w:r>
          </w:p>
        </w:tc>
        <w:tc>
          <w:tcPr>
            <w:tcW w:w="99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b/>
                <w:bCs/>
                <w:sz w:val="22"/>
                <w:szCs w:val="22"/>
              </w:rPr>
              <w:t>1002.05</w:t>
            </w:r>
          </w:p>
        </w:tc>
        <w:tc>
          <w:tcPr>
            <w:tcW w:w="1134"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b/>
                <w:bCs/>
                <w:sz w:val="22"/>
                <w:szCs w:val="22"/>
              </w:rPr>
              <w:t>694.52</w:t>
            </w:r>
          </w:p>
        </w:tc>
        <w:tc>
          <w:tcPr>
            <w:tcW w:w="1276"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b/>
                <w:bCs/>
                <w:sz w:val="22"/>
                <w:szCs w:val="22"/>
              </w:rPr>
              <w:t>694.52</w:t>
            </w:r>
          </w:p>
        </w:tc>
        <w:tc>
          <w:tcPr>
            <w:tcW w:w="1122" w:type="dxa"/>
            <w:tcBorders>
              <w:top w:val="nil"/>
              <w:left w:val="nil"/>
              <w:bottom w:val="dotted" w:sz="4" w:space="0" w:color="auto"/>
              <w:right w:val="dotted" w:sz="4" w:space="0" w:color="auto"/>
            </w:tcBorders>
            <w:shd w:val="clear" w:color="auto" w:fill="auto"/>
            <w:vAlign w:val="center"/>
            <w:hideMark/>
          </w:tcPr>
          <w:p w:rsidR="00D5771F"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b/>
                <w:bCs/>
                <w:sz w:val="22"/>
                <w:szCs w:val="22"/>
              </w:rPr>
              <w:t>694.52</w:t>
            </w:r>
          </w:p>
        </w:tc>
      </w:tr>
    </w:tbl>
    <w:p w:rsidR="00F70DA9" w:rsidRPr="00E0115C" w:rsidRDefault="00F70DA9" w:rsidP="00C60AD1">
      <w:pPr>
        <w:pStyle w:val="Heading3"/>
        <w:numPr>
          <w:ilvl w:val="0"/>
          <w:numId w:val="0"/>
        </w:numPr>
        <w:tabs>
          <w:tab w:val="clear" w:pos="720"/>
        </w:tabs>
        <w:spacing w:before="0"/>
        <w:ind w:left="993"/>
        <w:rPr>
          <w:rFonts w:asciiTheme="minorHAnsi" w:hAnsiTheme="minorHAnsi"/>
        </w:rPr>
      </w:pPr>
    </w:p>
    <w:p w:rsidR="006B17F5" w:rsidRPr="00D76C64" w:rsidRDefault="00E34329" w:rsidP="00C60AD1">
      <w:pPr>
        <w:pStyle w:val="Heading3"/>
        <w:tabs>
          <w:tab w:val="clear" w:pos="720"/>
        </w:tabs>
        <w:ind w:left="993" w:hanging="993"/>
      </w:pPr>
      <w:r w:rsidRPr="00E34329">
        <w:t xml:space="preserve">The Commission has followed the same approach as in previous Orders and therefore, considered the funding of capital expenditure in the ratio of 70:30. Considering this approach, 70% of the capital expenditure undertaken in any </w:t>
      </w:r>
      <w:r w:rsidRPr="00E34329">
        <w:lastRenderedPageBreak/>
        <w:t xml:space="preserve">year has been considered to be financed through loan and balance 30% has been considered to be financed through equity contributions. </w:t>
      </w:r>
    </w:p>
    <w:p w:rsidR="003147B8" w:rsidRPr="00E0115C" w:rsidRDefault="00E34329" w:rsidP="00C60AD1">
      <w:pPr>
        <w:pStyle w:val="Heading3"/>
        <w:tabs>
          <w:tab w:val="clear" w:pos="720"/>
        </w:tabs>
        <w:spacing w:after="240"/>
        <w:ind w:left="993" w:hanging="993"/>
        <w:rPr>
          <w:rFonts w:asciiTheme="minorHAnsi" w:hAnsiTheme="minorHAnsi"/>
        </w:rPr>
      </w:pPr>
      <w:r w:rsidRPr="00E34329">
        <w:t>The Consumer Contributions, capital grants and subsidies as submitted by the Petitioner and as allowed by the Commission are shown in the Table below:</w:t>
      </w:r>
    </w:p>
    <w:p w:rsidR="003147B8" w:rsidRPr="00E0115C" w:rsidRDefault="00E34329" w:rsidP="00C60AD1">
      <w:pPr>
        <w:spacing w:before="0"/>
        <w:jc w:val="center"/>
        <w:rPr>
          <w:rFonts w:asciiTheme="minorHAnsi" w:hAnsiTheme="minorHAnsi" w:cs="Calibri"/>
          <w:b/>
          <w:sz w:val="22"/>
          <w:szCs w:val="22"/>
          <w:lang w:val="en-US"/>
        </w:rPr>
      </w:pPr>
      <w:bookmarkStart w:id="255" w:name="_Toc356913184"/>
      <w:bookmarkStart w:id="256" w:name="_Toc394490640"/>
      <w:bookmarkStart w:id="257" w:name="_Toc457604004"/>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12</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CONSUMER CONTRIBUTIONS, CAPITAL GRANTS AND SUBSIDIES RECEIVED AS ALLOWED BY THE COMMISSION FOR FY 2013-14 (Rs. Crore)</w:t>
      </w:r>
      <w:bookmarkEnd w:id="255"/>
      <w:bookmarkEnd w:id="256"/>
      <w:bookmarkEnd w:id="257"/>
    </w:p>
    <w:tbl>
      <w:tblPr>
        <w:tblW w:w="8360" w:type="dxa"/>
        <w:tblInd w:w="103" w:type="dxa"/>
        <w:tblLook w:val="04A0"/>
      </w:tblPr>
      <w:tblGrid>
        <w:gridCol w:w="4257"/>
        <w:gridCol w:w="996"/>
        <w:gridCol w:w="996"/>
        <w:gridCol w:w="996"/>
        <w:gridCol w:w="1115"/>
      </w:tblGrid>
      <w:tr w:rsidR="009F571B" w:rsidRPr="009B7179" w:rsidTr="009B7179">
        <w:trPr>
          <w:trHeight w:val="300"/>
          <w:tblHeader/>
        </w:trPr>
        <w:tc>
          <w:tcPr>
            <w:tcW w:w="4369" w:type="dxa"/>
            <w:vMerge w:val="restart"/>
            <w:tcBorders>
              <w:top w:val="dotted" w:sz="4" w:space="0" w:color="auto"/>
              <w:left w:val="dotted" w:sz="4" w:space="0" w:color="auto"/>
              <w:bottom w:val="dotted" w:sz="4" w:space="0" w:color="000000"/>
              <w:right w:val="dotted" w:sz="4" w:space="0" w:color="auto"/>
            </w:tcBorders>
            <w:shd w:val="clear" w:color="000000" w:fill="DBE5F1"/>
            <w:hideMark/>
          </w:tcPr>
          <w:p w:rsidR="009F571B" w:rsidRPr="009B7179" w:rsidRDefault="00E34329" w:rsidP="009B7179">
            <w:pPr>
              <w:spacing w:before="0" w:line="240" w:lineRule="auto"/>
              <w:jc w:val="center"/>
              <w:rPr>
                <w:b/>
                <w:sz w:val="22"/>
                <w:szCs w:val="22"/>
                <w:lang w:val="en-IN" w:eastAsia="en-IN"/>
              </w:rPr>
            </w:pPr>
            <w:r w:rsidRPr="009B7179">
              <w:rPr>
                <w:b/>
                <w:sz w:val="22"/>
                <w:szCs w:val="22"/>
                <w:lang w:val="en-IN" w:eastAsia="en-IN"/>
              </w:rPr>
              <w:t>Particulars</w:t>
            </w:r>
          </w:p>
        </w:tc>
        <w:tc>
          <w:tcPr>
            <w:tcW w:w="3991" w:type="dxa"/>
            <w:gridSpan w:val="4"/>
            <w:tcBorders>
              <w:top w:val="dotted" w:sz="4" w:space="0" w:color="auto"/>
              <w:left w:val="nil"/>
              <w:bottom w:val="dotted" w:sz="4" w:space="0" w:color="auto"/>
              <w:right w:val="dotted" w:sz="4" w:space="0" w:color="auto"/>
            </w:tcBorders>
            <w:shd w:val="clear" w:color="000000" w:fill="DBE5F1"/>
            <w:hideMark/>
          </w:tcPr>
          <w:p w:rsidR="00A33039" w:rsidRPr="009B7179" w:rsidRDefault="00E34329" w:rsidP="009B7179">
            <w:pPr>
              <w:spacing w:before="0" w:line="240" w:lineRule="auto"/>
              <w:jc w:val="center"/>
              <w:rPr>
                <w:b/>
                <w:sz w:val="22"/>
                <w:szCs w:val="22"/>
                <w:lang w:val="en-IN" w:eastAsia="en-IN"/>
              </w:rPr>
            </w:pPr>
            <w:r w:rsidRPr="009B7179">
              <w:rPr>
                <w:b/>
                <w:sz w:val="22"/>
                <w:szCs w:val="22"/>
                <w:lang w:val="en-IN" w:eastAsia="en-IN"/>
              </w:rPr>
              <w:t>FY 2013-14</w:t>
            </w:r>
          </w:p>
        </w:tc>
      </w:tr>
      <w:tr w:rsidR="009F571B" w:rsidRPr="009B7179" w:rsidTr="009B7179">
        <w:trPr>
          <w:trHeight w:val="600"/>
          <w:tblHeader/>
        </w:trPr>
        <w:tc>
          <w:tcPr>
            <w:tcW w:w="4369" w:type="dxa"/>
            <w:vMerge/>
            <w:tcBorders>
              <w:top w:val="dotted" w:sz="4" w:space="0" w:color="auto"/>
              <w:left w:val="dotted" w:sz="4" w:space="0" w:color="auto"/>
              <w:bottom w:val="dotted" w:sz="4" w:space="0" w:color="000000"/>
              <w:right w:val="dotted" w:sz="4" w:space="0" w:color="auto"/>
            </w:tcBorders>
            <w:hideMark/>
          </w:tcPr>
          <w:p w:rsidR="00D5771F" w:rsidRPr="009B7179" w:rsidRDefault="00D5771F" w:rsidP="009B7179">
            <w:pPr>
              <w:spacing w:before="0" w:line="240" w:lineRule="auto"/>
              <w:rPr>
                <w:b/>
                <w:sz w:val="22"/>
                <w:szCs w:val="22"/>
                <w:lang w:val="en-IN" w:eastAsia="en-IN"/>
              </w:rPr>
            </w:pPr>
            <w:bookmarkStart w:id="258" w:name="_Toc457055571"/>
            <w:bookmarkEnd w:id="258"/>
          </w:p>
        </w:tc>
        <w:tc>
          <w:tcPr>
            <w:tcW w:w="956" w:type="dxa"/>
            <w:tcBorders>
              <w:top w:val="nil"/>
              <w:left w:val="nil"/>
              <w:bottom w:val="dotted" w:sz="4" w:space="0" w:color="auto"/>
              <w:right w:val="dotted" w:sz="4" w:space="0" w:color="auto"/>
            </w:tcBorders>
            <w:shd w:val="clear" w:color="000000" w:fill="DBE5F1"/>
            <w:hideMark/>
          </w:tcPr>
          <w:p w:rsidR="009F571B" w:rsidRPr="009B7179" w:rsidRDefault="00E34329" w:rsidP="009B7179">
            <w:pPr>
              <w:spacing w:before="0" w:line="240" w:lineRule="auto"/>
              <w:jc w:val="center"/>
              <w:rPr>
                <w:b/>
                <w:sz w:val="22"/>
                <w:szCs w:val="22"/>
                <w:lang w:val="en-IN" w:eastAsia="en-IN"/>
              </w:rPr>
            </w:pPr>
            <w:r w:rsidRPr="009B7179">
              <w:rPr>
                <w:b/>
                <w:sz w:val="22"/>
                <w:szCs w:val="22"/>
                <w:lang w:val="en-IN" w:eastAsia="en-IN"/>
              </w:rPr>
              <w:t>Tariff Order</w:t>
            </w:r>
          </w:p>
        </w:tc>
        <w:tc>
          <w:tcPr>
            <w:tcW w:w="960" w:type="dxa"/>
            <w:tcBorders>
              <w:top w:val="nil"/>
              <w:left w:val="nil"/>
              <w:bottom w:val="dotted" w:sz="4" w:space="0" w:color="auto"/>
              <w:right w:val="dotted" w:sz="4" w:space="0" w:color="auto"/>
            </w:tcBorders>
            <w:shd w:val="clear" w:color="000000" w:fill="DBE5F1"/>
            <w:hideMark/>
          </w:tcPr>
          <w:p w:rsidR="00A33039" w:rsidRPr="009B7179" w:rsidRDefault="00E34329" w:rsidP="009B7179">
            <w:pPr>
              <w:spacing w:before="0" w:line="240" w:lineRule="auto"/>
              <w:jc w:val="center"/>
              <w:rPr>
                <w:b/>
                <w:sz w:val="22"/>
                <w:szCs w:val="22"/>
                <w:lang w:val="en-IN" w:eastAsia="en-IN"/>
              </w:rPr>
            </w:pPr>
            <w:r w:rsidRPr="009B7179">
              <w:rPr>
                <w:b/>
                <w:sz w:val="22"/>
                <w:szCs w:val="22"/>
                <w:lang w:val="en-IN" w:eastAsia="en-IN"/>
              </w:rPr>
              <w:t>Audited</w:t>
            </w:r>
          </w:p>
        </w:tc>
        <w:tc>
          <w:tcPr>
            <w:tcW w:w="960" w:type="dxa"/>
            <w:tcBorders>
              <w:top w:val="nil"/>
              <w:left w:val="nil"/>
              <w:bottom w:val="dotted" w:sz="4" w:space="0" w:color="auto"/>
              <w:right w:val="dotted" w:sz="4" w:space="0" w:color="auto"/>
            </w:tcBorders>
            <w:shd w:val="clear" w:color="000000" w:fill="DBE5F1"/>
            <w:hideMark/>
          </w:tcPr>
          <w:p w:rsidR="00A33039" w:rsidRPr="009B7179" w:rsidRDefault="00E34329" w:rsidP="009B7179">
            <w:pPr>
              <w:spacing w:before="0" w:line="240" w:lineRule="auto"/>
              <w:jc w:val="center"/>
              <w:rPr>
                <w:b/>
                <w:sz w:val="22"/>
                <w:szCs w:val="22"/>
                <w:lang w:val="en-IN" w:eastAsia="en-IN"/>
              </w:rPr>
            </w:pPr>
            <w:r w:rsidRPr="009B7179">
              <w:rPr>
                <w:b/>
                <w:sz w:val="22"/>
                <w:szCs w:val="22"/>
                <w:lang w:val="en-IN" w:eastAsia="en-IN"/>
              </w:rPr>
              <w:t>Petition</w:t>
            </w:r>
          </w:p>
        </w:tc>
        <w:tc>
          <w:tcPr>
            <w:tcW w:w="1115" w:type="dxa"/>
            <w:tcBorders>
              <w:top w:val="nil"/>
              <w:left w:val="nil"/>
              <w:bottom w:val="dotted" w:sz="4" w:space="0" w:color="auto"/>
              <w:right w:val="dotted" w:sz="4" w:space="0" w:color="auto"/>
            </w:tcBorders>
            <w:shd w:val="clear" w:color="000000" w:fill="DBE5F1"/>
            <w:hideMark/>
          </w:tcPr>
          <w:p w:rsidR="00A33039" w:rsidRPr="009B7179" w:rsidRDefault="00E34329" w:rsidP="009B7179">
            <w:pPr>
              <w:spacing w:before="0" w:line="240" w:lineRule="auto"/>
              <w:jc w:val="center"/>
              <w:rPr>
                <w:b/>
                <w:sz w:val="22"/>
                <w:szCs w:val="22"/>
                <w:lang w:val="en-IN" w:eastAsia="en-IN"/>
              </w:rPr>
            </w:pPr>
            <w:r w:rsidRPr="009B7179">
              <w:rPr>
                <w:b/>
                <w:sz w:val="22"/>
                <w:szCs w:val="22"/>
                <w:lang w:val="en-IN" w:eastAsia="en-IN"/>
              </w:rPr>
              <w:t xml:space="preserve">Approved upon Truing </w:t>
            </w:r>
            <w:r w:rsidR="00C2017B" w:rsidRPr="009B7179">
              <w:rPr>
                <w:b/>
                <w:sz w:val="22"/>
                <w:szCs w:val="22"/>
                <w:lang w:val="en-IN" w:eastAsia="en-IN"/>
              </w:rPr>
              <w:t>u</w:t>
            </w:r>
            <w:r w:rsidRPr="009B7179">
              <w:rPr>
                <w:b/>
                <w:sz w:val="22"/>
                <w:szCs w:val="22"/>
                <w:lang w:val="en-IN" w:eastAsia="en-IN"/>
              </w:rPr>
              <w:t>p</w:t>
            </w:r>
          </w:p>
        </w:tc>
      </w:tr>
      <w:tr w:rsidR="00AA58D6" w:rsidRPr="009B7179" w:rsidTr="009B7179">
        <w:trPr>
          <w:trHeight w:val="900"/>
        </w:trPr>
        <w:tc>
          <w:tcPr>
            <w:tcW w:w="4369" w:type="dxa"/>
            <w:tcBorders>
              <w:top w:val="nil"/>
              <w:left w:val="dotted" w:sz="4" w:space="0" w:color="auto"/>
              <w:bottom w:val="dotted" w:sz="4" w:space="0" w:color="auto"/>
              <w:right w:val="dotted" w:sz="4" w:space="0" w:color="auto"/>
            </w:tcBorders>
            <w:shd w:val="clear" w:color="auto" w:fill="auto"/>
            <w:vAlign w:val="center"/>
            <w:hideMark/>
          </w:tcPr>
          <w:p w:rsidR="00337C98" w:rsidRPr="009B7179" w:rsidRDefault="00337C98" w:rsidP="009B7179">
            <w:pPr>
              <w:spacing w:before="0" w:line="240" w:lineRule="auto"/>
              <w:jc w:val="left"/>
              <w:rPr>
                <w:sz w:val="22"/>
                <w:szCs w:val="22"/>
                <w:lang w:val="en-IN" w:eastAsia="en-IN"/>
              </w:rPr>
            </w:pPr>
            <w:r w:rsidRPr="009B7179">
              <w:rPr>
                <w:sz w:val="22"/>
                <w:szCs w:val="22"/>
                <w:lang w:val="en-IN" w:eastAsia="en-IN"/>
              </w:rPr>
              <w:t>Opening Balance of Consumer Contributions, Grants and Subsidies towards Cost of Capital Assets</w:t>
            </w:r>
          </w:p>
        </w:tc>
        <w:tc>
          <w:tcPr>
            <w:tcW w:w="956" w:type="dxa"/>
            <w:tcBorders>
              <w:top w:val="nil"/>
              <w:left w:val="nil"/>
              <w:bottom w:val="dotted" w:sz="4" w:space="0" w:color="auto"/>
              <w:right w:val="dotted" w:sz="4" w:space="0" w:color="auto"/>
            </w:tcBorders>
            <w:shd w:val="clear" w:color="auto" w:fill="auto"/>
            <w:vAlign w:val="center"/>
            <w:hideMark/>
          </w:tcPr>
          <w:p w:rsidR="00603835" w:rsidRPr="009B7179" w:rsidRDefault="00E34329" w:rsidP="009B7179">
            <w:pPr>
              <w:spacing w:before="0" w:line="240" w:lineRule="auto"/>
              <w:jc w:val="center"/>
              <w:rPr>
                <w:rFonts w:cs="Arial"/>
                <w:caps/>
                <w:kern w:val="32"/>
                <w:sz w:val="22"/>
                <w:szCs w:val="22"/>
                <w:lang w:val="en-IN" w:eastAsia="en-IN"/>
              </w:rPr>
            </w:pPr>
            <w:r w:rsidRPr="009B7179">
              <w:rPr>
                <w:sz w:val="22"/>
                <w:szCs w:val="22"/>
              </w:rPr>
              <w:t>997.93</w:t>
            </w:r>
          </w:p>
        </w:tc>
        <w:tc>
          <w:tcPr>
            <w:tcW w:w="960" w:type="dxa"/>
            <w:tcBorders>
              <w:top w:val="nil"/>
              <w:left w:val="nil"/>
              <w:bottom w:val="dotted" w:sz="4" w:space="0" w:color="auto"/>
              <w:right w:val="dotted" w:sz="4" w:space="0" w:color="auto"/>
            </w:tcBorders>
            <w:shd w:val="clear" w:color="auto" w:fill="auto"/>
            <w:vAlign w:val="center"/>
            <w:hideMark/>
          </w:tcPr>
          <w:p w:rsidR="00603835" w:rsidRPr="009B7179" w:rsidRDefault="00E34329" w:rsidP="009B7179">
            <w:pPr>
              <w:spacing w:before="0" w:line="240" w:lineRule="auto"/>
              <w:jc w:val="center"/>
              <w:rPr>
                <w:sz w:val="22"/>
                <w:szCs w:val="22"/>
                <w:lang w:val="en-IN" w:eastAsia="en-IN"/>
              </w:rPr>
            </w:pPr>
            <w:r w:rsidRPr="009B7179">
              <w:rPr>
                <w:sz w:val="22"/>
                <w:szCs w:val="22"/>
              </w:rPr>
              <w:t>960.73</w:t>
            </w:r>
          </w:p>
        </w:tc>
        <w:tc>
          <w:tcPr>
            <w:tcW w:w="960" w:type="dxa"/>
            <w:tcBorders>
              <w:top w:val="nil"/>
              <w:left w:val="nil"/>
              <w:bottom w:val="dotted" w:sz="4" w:space="0" w:color="auto"/>
              <w:right w:val="dotted" w:sz="4" w:space="0" w:color="auto"/>
            </w:tcBorders>
            <w:shd w:val="clear" w:color="auto" w:fill="auto"/>
            <w:noWrap/>
            <w:vAlign w:val="center"/>
            <w:hideMark/>
          </w:tcPr>
          <w:p w:rsidR="00603835" w:rsidRPr="009B7179" w:rsidRDefault="00E34329" w:rsidP="009B7179">
            <w:pPr>
              <w:spacing w:before="0" w:line="240" w:lineRule="auto"/>
              <w:jc w:val="center"/>
              <w:rPr>
                <w:rFonts w:cs="Arial"/>
                <w:caps/>
                <w:kern w:val="32"/>
                <w:sz w:val="22"/>
                <w:szCs w:val="22"/>
                <w:lang w:val="en-IN" w:eastAsia="en-IN"/>
              </w:rPr>
            </w:pPr>
            <w:r w:rsidRPr="009B7179">
              <w:rPr>
                <w:sz w:val="22"/>
                <w:szCs w:val="22"/>
              </w:rPr>
              <w:t>960.73</w:t>
            </w:r>
          </w:p>
        </w:tc>
        <w:tc>
          <w:tcPr>
            <w:tcW w:w="1115" w:type="dxa"/>
            <w:tcBorders>
              <w:top w:val="nil"/>
              <w:left w:val="nil"/>
              <w:bottom w:val="dotted" w:sz="4" w:space="0" w:color="auto"/>
              <w:right w:val="dotted" w:sz="4" w:space="0" w:color="auto"/>
            </w:tcBorders>
            <w:shd w:val="clear" w:color="auto" w:fill="auto"/>
            <w:vAlign w:val="center"/>
            <w:hideMark/>
          </w:tcPr>
          <w:p w:rsidR="00603835" w:rsidRPr="009B7179" w:rsidRDefault="00E34329" w:rsidP="009B7179">
            <w:pPr>
              <w:spacing w:before="0" w:line="240" w:lineRule="auto"/>
              <w:jc w:val="center"/>
              <w:rPr>
                <w:sz w:val="22"/>
                <w:szCs w:val="22"/>
                <w:lang w:val="en-IN" w:eastAsia="en-IN"/>
              </w:rPr>
            </w:pPr>
            <w:r w:rsidRPr="009B7179">
              <w:rPr>
                <w:sz w:val="22"/>
                <w:szCs w:val="22"/>
              </w:rPr>
              <w:t>960.73</w:t>
            </w:r>
          </w:p>
        </w:tc>
      </w:tr>
      <w:tr w:rsidR="00AA58D6" w:rsidRPr="009B7179" w:rsidTr="009B7179">
        <w:trPr>
          <w:trHeight w:val="300"/>
        </w:trPr>
        <w:tc>
          <w:tcPr>
            <w:tcW w:w="4369" w:type="dxa"/>
            <w:tcBorders>
              <w:top w:val="nil"/>
              <w:left w:val="dotted" w:sz="4" w:space="0" w:color="auto"/>
              <w:bottom w:val="dotted" w:sz="4" w:space="0" w:color="auto"/>
              <w:right w:val="dotted" w:sz="4" w:space="0" w:color="auto"/>
            </w:tcBorders>
            <w:shd w:val="clear" w:color="auto" w:fill="auto"/>
            <w:vAlign w:val="center"/>
            <w:hideMark/>
          </w:tcPr>
          <w:p w:rsidR="00603835" w:rsidRPr="009B7179" w:rsidRDefault="00E34329" w:rsidP="009B7179">
            <w:pPr>
              <w:spacing w:before="0" w:line="240" w:lineRule="auto"/>
              <w:jc w:val="left"/>
              <w:rPr>
                <w:sz w:val="22"/>
                <w:szCs w:val="22"/>
                <w:lang w:val="en-IN" w:eastAsia="en-IN"/>
              </w:rPr>
            </w:pPr>
            <w:r w:rsidRPr="009B7179">
              <w:rPr>
                <w:sz w:val="22"/>
                <w:szCs w:val="22"/>
                <w:lang w:val="en-IN" w:eastAsia="en-IN"/>
              </w:rPr>
              <w:t>Additions during the year</w:t>
            </w:r>
          </w:p>
        </w:tc>
        <w:tc>
          <w:tcPr>
            <w:tcW w:w="956" w:type="dxa"/>
            <w:tcBorders>
              <w:top w:val="nil"/>
              <w:left w:val="nil"/>
              <w:bottom w:val="dotted" w:sz="4" w:space="0" w:color="auto"/>
              <w:right w:val="dotted" w:sz="4" w:space="0" w:color="auto"/>
            </w:tcBorders>
            <w:shd w:val="clear" w:color="auto" w:fill="auto"/>
            <w:vAlign w:val="center"/>
            <w:hideMark/>
          </w:tcPr>
          <w:p w:rsidR="00AA58D6" w:rsidRPr="009B7179" w:rsidRDefault="00E34329" w:rsidP="009B7179">
            <w:pPr>
              <w:spacing w:before="0" w:line="240" w:lineRule="auto"/>
              <w:jc w:val="center"/>
              <w:rPr>
                <w:sz w:val="22"/>
                <w:szCs w:val="22"/>
                <w:lang w:val="en-IN" w:eastAsia="en-IN"/>
              </w:rPr>
            </w:pPr>
            <w:r w:rsidRPr="009B7179">
              <w:rPr>
                <w:sz w:val="22"/>
                <w:szCs w:val="22"/>
              </w:rPr>
              <w:t>280.00</w:t>
            </w:r>
          </w:p>
        </w:tc>
        <w:tc>
          <w:tcPr>
            <w:tcW w:w="96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center"/>
              <w:rPr>
                <w:sz w:val="22"/>
                <w:szCs w:val="22"/>
                <w:lang w:val="en-IN" w:eastAsia="en-IN"/>
              </w:rPr>
            </w:pPr>
            <w:r w:rsidRPr="009B7179">
              <w:rPr>
                <w:sz w:val="22"/>
                <w:szCs w:val="22"/>
              </w:rPr>
              <w:t>276.57</w:t>
            </w:r>
          </w:p>
        </w:tc>
        <w:tc>
          <w:tcPr>
            <w:tcW w:w="960"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center"/>
              <w:rPr>
                <w:sz w:val="22"/>
                <w:szCs w:val="22"/>
                <w:lang w:val="en-IN" w:eastAsia="en-IN"/>
              </w:rPr>
            </w:pPr>
            <w:r w:rsidRPr="009B7179">
              <w:rPr>
                <w:sz w:val="22"/>
                <w:szCs w:val="22"/>
              </w:rPr>
              <w:t>276.57</w:t>
            </w:r>
          </w:p>
        </w:tc>
        <w:tc>
          <w:tcPr>
            <w:tcW w:w="111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center"/>
              <w:rPr>
                <w:sz w:val="22"/>
                <w:szCs w:val="22"/>
                <w:lang w:val="en-IN" w:eastAsia="en-IN"/>
              </w:rPr>
            </w:pPr>
            <w:r w:rsidRPr="009B7179">
              <w:rPr>
                <w:sz w:val="22"/>
                <w:szCs w:val="22"/>
              </w:rPr>
              <w:t>276.57</w:t>
            </w:r>
          </w:p>
        </w:tc>
      </w:tr>
      <w:tr w:rsidR="00AA58D6" w:rsidRPr="009B7179" w:rsidTr="009B7179">
        <w:trPr>
          <w:trHeight w:val="300"/>
        </w:trPr>
        <w:tc>
          <w:tcPr>
            <w:tcW w:w="4369" w:type="dxa"/>
            <w:tcBorders>
              <w:top w:val="nil"/>
              <w:left w:val="dotted" w:sz="4" w:space="0" w:color="auto"/>
              <w:bottom w:val="dotted" w:sz="4" w:space="0" w:color="auto"/>
              <w:right w:val="dotted" w:sz="4" w:space="0" w:color="auto"/>
            </w:tcBorders>
            <w:shd w:val="clear" w:color="auto" w:fill="auto"/>
            <w:vAlign w:val="center"/>
            <w:hideMark/>
          </w:tcPr>
          <w:p w:rsidR="00AA58D6" w:rsidRPr="009B7179" w:rsidRDefault="00E34329" w:rsidP="009B7179">
            <w:pPr>
              <w:spacing w:before="0" w:line="240" w:lineRule="auto"/>
              <w:jc w:val="left"/>
              <w:rPr>
                <w:sz w:val="22"/>
                <w:szCs w:val="22"/>
                <w:lang w:val="en-IN" w:eastAsia="en-IN"/>
              </w:rPr>
            </w:pPr>
            <w:r w:rsidRPr="009B7179">
              <w:rPr>
                <w:sz w:val="22"/>
                <w:szCs w:val="22"/>
                <w:lang w:val="en-IN" w:eastAsia="en-IN"/>
              </w:rPr>
              <w:t xml:space="preserve">Less: Amortisation </w:t>
            </w:r>
          </w:p>
        </w:tc>
        <w:tc>
          <w:tcPr>
            <w:tcW w:w="956" w:type="dxa"/>
            <w:tcBorders>
              <w:top w:val="nil"/>
              <w:left w:val="nil"/>
              <w:bottom w:val="dotted" w:sz="4" w:space="0" w:color="auto"/>
              <w:right w:val="dotted" w:sz="4" w:space="0" w:color="auto"/>
            </w:tcBorders>
            <w:shd w:val="clear" w:color="auto" w:fill="auto"/>
            <w:vAlign w:val="center"/>
            <w:hideMark/>
          </w:tcPr>
          <w:p w:rsidR="00AA58D6" w:rsidRPr="009B7179" w:rsidRDefault="00E34329" w:rsidP="009B7179">
            <w:pPr>
              <w:spacing w:before="0" w:line="240" w:lineRule="auto"/>
              <w:jc w:val="center"/>
              <w:rPr>
                <w:sz w:val="22"/>
                <w:szCs w:val="22"/>
                <w:lang w:val="en-IN" w:eastAsia="en-IN"/>
              </w:rPr>
            </w:pPr>
            <w:r w:rsidRPr="009B7179">
              <w:rPr>
                <w:sz w:val="22"/>
                <w:szCs w:val="22"/>
              </w:rPr>
              <w:t>67.04</w:t>
            </w:r>
          </w:p>
        </w:tc>
        <w:tc>
          <w:tcPr>
            <w:tcW w:w="96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center"/>
              <w:rPr>
                <w:sz w:val="22"/>
                <w:szCs w:val="22"/>
                <w:lang w:val="en-IN" w:eastAsia="en-IN"/>
              </w:rPr>
            </w:pPr>
            <w:r w:rsidRPr="009B7179">
              <w:rPr>
                <w:sz w:val="22"/>
                <w:szCs w:val="22"/>
              </w:rPr>
              <w:t>52.20</w:t>
            </w:r>
          </w:p>
        </w:tc>
        <w:tc>
          <w:tcPr>
            <w:tcW w:w="960"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center"/>
              <w:rPr>
                <w:sz w:val="22"/>
                <w:szCs w:val="22"/>
                <w:lang w:val="en-IN" w:eastAsia="en-IN"/>
              </w:rPr>
            </w:pPr>
            <w:r w:rsidRPr="009B7179">
              <w:rPr>
                <w:sz w:val="22"/>
                <w:szCs w:val="22"/>
              </w:rPr>
              <w:t>52.20</w:t>
            </w:r>
          </w:p>
        </w:tc>
        <w:tc>
          <w:tcPr>
            <w:tcW w:w="111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center"/>
              <w:rPr>
                <w:sz w:val="22"/>
                <w:szCs w:val="22"/>
                <w:lang w:val="en-IN" w:eastAsia="en-IN"/>
              </w:rPr>
            </w:pPr>
            <w:r w:rsidRPr="009B7179">
              <w:rPr>
                <w:sz w:val="22"/>
                <w:szCs w:val="22"/>
              </w:rPr>
              <w:t>52.20</w:t>
            </w:r>
          </w:p>
        </w:tc>
      </w:tr>
      <w:tr w:rsidR="00AA58D6" w:rsidRPr="009B7179" w:rsidTr="009B7179">
        <w:trPr>
          <w:trHeight w:val="300"/>
        </w:trPr>
        <w:tc>
          <w:tcPr>
            <w:tcW w:w="4369" w:type="dxa"/>
            <w:tcBorders>
              <w:top w:val="nil"/>
              <w:left w:val="dotted" w:sz="4" w:space="0" w:color="auto"/>
              <w:bottom w:val="dotted" w:sz="4" w:space="0" w:color="auto"/>
              <w:right w:val="dotted" w:sz="4" w:space="0" w:color="auto"/>
            </w:tcBorders>
            <w:shd w:val="clear" w:color="auto" w:fill="auto"/>
            <w:vAlign w:val="center"/>
            <w:hideMark/>
          </w:tcPr>
          <w:p w:rsidR="00AA58D6" w:rsidRPr="009B7179" w:rsidRDefault="00E34329" w:rsidP="009B7179">
            <w:pPr>
              <w:spacing w:before="0" w:line="240" w:lineRule="auto"/>
              <w:jc w:val="left"/>
              <w:rPr>
                <w:sz w:val="22"/>
                <w:szCs w:val="22"/>
                <w:lang w:val="en-IN" w:eastAsia="en-IN"/>
              </w:rPr>
            </w:pPr>
            <w:r w:rsidRPr="009B7179">
              <w:rPr>
                <w:sz w:val="22"/>
                <w:szCs w:val="22"/>
                <w:lang w:val="en-IN" w:eastAsia="en-IN"/>
              </w:rPr>
              <w:t>Closing Balance</w:t>
            </w:r>
          </w:p>
        </w:tc>
        <w:tc>
          <w:tcPr>
            <w:tcW w:w="956" w:type="dxa"/>
            <w:tcBorders>
              <w:top w:val="nil"/>
              <w:left w:val="nil"/>
              <w:bottom w:val="dotted" w:sz="4" w:space="0" w:color="auto"/>
              <w:right w:val="dotted" w:sz="4" w:space="0" w:color="auto"/>
            </w:tcBorders>
            <w:shd w:val="clear" w:color="auto" w:fill="auto"/>
            <w:vAlign w:val="center"/>
            <w:hideMark/>
          </w:tcPr>
          <w:p w:rsidR="00AA58D6" w:rsidRPr="009B7179" w:rsidRDefault="00E34329" w:rsidP="009B7179">
            <w:pPr>
              <w:spacing w:before="0" w:line="240" w:lineRule="auto"/>
              <w:jc w:val="center"/>
              <w:rPr>
                <w:sz w:val="22"/>
                <w:szCs w:val="22"/>
                <w:lang w:val="en-IN" w:eastAsia="en-IN"/>
              </w:rPr>
            </w:pPr>
            <w:r w:rsidRPr="009B7179">
              <w:rPr>
                <w:sz w:val="22"/>
                <w:szCs w:val="22"/>
              </w:rPr>
              <w:t>1,210.90</w:t>
            </w:r>
          </w:p>
        </w:tc>
        <w:tc>
          <w:tcPr>
            <w:tcW w:w="96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center"/>
              <w:rPr>
                <w:sz w:val="22"/>
                <w:szCs w:val="22"/>
                <w:lang w:val="en-IN" w:eastAsia="en-IN"/>
              </w:rPr>
            </w:pPr>
            <w:r w:rsidRPr="009B7179">
              <w:rPr>
                <w:sz w:val="22"/>
                <w:szCs w:val="22"/>
              </w:rPr>
              <w:t>1,185.10</w:t>
            </w:r>
          </w:p>
        </w:tc>
        <w:tc>
          <w:tcPr>
            <w:tcW w:w="960"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center"/>
              <w:rPr>
                <w:sz w:val="22"/>
                <w:szCs w:val="22"/>
                <w:lang w:val="en-IN" w:eastAsia="en-IN"/>
              </w:rPr>
            </w:pPr>
            <w:r w:rsidRPr="009B7179">
              <w:rPr>
                <w:sz w:val="22"/>
                <w:szCs w:val="22"/>
              </w:rPr>
              <w:t>1,185.10</w:t>
            </w:r>
          </w:p>
        </w:tc>
        <w:tc>
          <w:tcPr>
            <w:tcW w:w="111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center"/>
              <w:rPr>
                <w:sz w:val="22"/>
                <w:szCs w:val="22"/>
                <w:lang w:val="en-IN" w:eastAsia="en-IN"/>
              </w:rPr>
            </w:pPr>
            <w:r w:rsidRPr="009B7179">
              <w:rPr>
                <w:sz w:val="22"/>
                <w:szCs w:val="22"/>
              </w:rPr>
              <w:t>1,185.10</w:t>
            </w:r>
          </w:p>
        </w:tc>
      </w:tr>
    </w:tbl>
    <w:p w:rsidR="009F571B" w:rsidRPr="00E0115C" w:rsidRDefault="009F571B" w:rsidP="009B7179">
      <w:pPr>
        <w:spacing w:before="0"/>
        <w:jc w:val="center"/>
        <w:rPr>
          <w:rFonts w:asciiTheme="minorHAnsi" w:hAnsiTheme="minorHAnsi" w:cs="Calibri"/>
          <w:b/>
          <w:sz w:val="22"/>
          <w:szCs w:val="22"/>
          <w:lang w:val="en-US"/>
        </w:rPr>
      </w:pPr>
    </w:p>
    <w:p w:rsidR="003147B8" w:rsidRPr="00D76C64" w:rsidRDefault="00E34329" w:rsidP="00C60AD1">
      <w:pPr>
        <w:pStyle w:val="Heading3"/>
        <w:tabs>
          <w:tab w:val="clear" w:pos="720"/>
        </w:tabs>
        <w:spacing w:after="240"/>
        <w:ind w:left="993" w:hanging="993"/>
      </w:pPr>
      <w:r w:rsidRPr="00E34329">
        <w:t xml:space="preserve">The portion of capital expenditure financed through consumer contributions, capital subsidies and grants has been separated as the depreciation and interest thereon would not be charged to the consumers. The Commission has also verified the above amounts as per the audited accounts of the Petitioner. </w:t>
      </w:r>
    </w:p>
    <w:p w:rsidR="00D5771F" w:rsidRDefault="00E34329">
      <w:pPr>
        <w:pStyle w:val="Heading3"/>
        <w:tabs>
          <w:tab w:val="clear" w:pos="720"/>
        </w:tabs>
        <w:spacing w:after="240"/>
        <w:ind w:left="993" w:hanging="993"/>
        <w:rPr>
          <w:rFonts w:cs="Calibri"/>
          <w:b/>
          <w:sz w:val="22"/>
          <w:szCs w:val="22"/>
          <w:lang w:val="en-US"/>
        </w:rPr>
      </w:pPr>
      <w:r w:rsidRPr="00E34329">
        <w:t>Thus, based on the above, the approved financing of the capital investment is depicted in the Table below:</w:t>
      </w:r>
      <w:bookmarkStart w:id="259" w:name="_Toc356913185"/>
      <w:bookmarkStart w:id="260" w:name="_Toc394490641"/>
    </w:p>
    <w:p w:rsidR="003147B8" w:rsidRPr="00E0115C" w:rsidRDefault="00E34329" w:rsidP="00C60AD1">
      <w:pPr>
        <w:spacing w:before="0"/>
        <w:jc w:val="center"/>
        <w:rPr>
          <w:rFonts w:asciiTheme="minorHAnsi" w:hAnsiTheme="minorHAnsi" w:cs="Calibri"/>
          <w:b/>
          <w:sz w:val="22"/>
          <w:szCs w:val="22"/>
          <w:lang w:val="en-US"/>
        </w:rPr>
      </w:pPr>
      <w:bookmarkStart w:id="261" w:name="_Toc457604005"/>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13</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FINANCING OF THE CAPITAL INVESTMENTS AS APPROVED BY THE COMMISSION FOR FY 2013-14 (Rs. Crore)</w:t>
      </w:r>
      <w:bookmarkEnd w:id="259"/>
      <w:bookmarkEnd w:id="260"/>
      <w:bookmarkEnd w:id="261"/>
    </w:p>
    <w:tbl>
      <w:tblPr>
        <w:tblW w:w="9300" w:type="dxa"/>
        <w:tblInd w:w="103" w:type="dxa"/>
        <w:tblLook w:val="04A0"/>
      </w:tblPr>
      <w:tblGrid>
        <w:gridCol w:w="3225"/>
        <w:gridCol w:w="1177"/>
        <w:gridCol w:w="1276"/>
        <w:gridCol w:w="953"/>
        <w:gridCol w:w="1029"/>
        <w:gridCol w:w="1640"/>
      </w:tblGrid>
      <w:tr w:rsidR="00845289" w:rsidRPr="00E0115C" w:rsidTr="00D76C64">
        <w:trPr>
          <w:trHeight w:val="300"/>
          <w:tblHeader/>
        </w:trPr>
        <w:tc>
          <w:tcPr>
            <w:tcW w:w="3225" w:type="dxa"/>
            <w:vMerge w:val="restart"/>
            <w:tcBorders>
              <w:top w:val="dotted" w:sz="4" w:space="0" w:color="auto"/>
              <w:left w:val="dotted" w:sz="4" w:space="0" w:color="auto"/>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Particulars</w:t>
            </w:r>
          </w:p>
        </w:tc>
        <w:tc>
          <w:tcPr>
            <w:tcW w:w="6075" w:type="dxa"/>
            <w:gridSpan w:val="5"/>
            <w:tcBorders>
              <w:top w:val="dotted" w:sz="4" w:space="0" w:color="auto"/>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color w:val="000000"/>
                <w:sz w:val="22"/>
                <w:szCs w:val="22"/>
                <w:lang w:val="en-IN" w:eastAsia="en-IN"/>
              </w:rPr>
            </w:pPr>
            <w:r w:rsidRPr="00E34329">
              <w:rPr>
                <w:rFonts w:asciiTheme="minorHAnsi" w:hAnsiTheme="minorHAnsi"/>
                <w:b/>
                <w:color w:val="000000"/>
                <w:sz w:val="22"/>
                <w:szCs w:val="22"/>
                <w:lang w:val="en-IN" w:eastAsia="en-IN"/>
              </w:rPr>
              <w:t>FY 2013-14</w:t>
            </w:r>
          </w:p>
        </w:tc>
      </w:tr>
      <w:tr w:rsidR="00845289" w:rsidRPr="00E0115C" w:rsidTr="00D76C64">
        <w:trPr>
          <w:trHeight w:val="600"/>
          <w:tblHeader/>
        </w:trPr>
        <w:tc>
          <w:tcPr>
            <w:tcW w:w="3225" w:type="dxa"/>
            <w:vMerge/>
            <w:tcBorders>
              <w:top w:val="dotted" w:sz="4" w:space="0" w:color="auto"/>
              <w:left w:val="dotted" w:sz="4" w:space="0" w:color="auto"/>
              <w:bottom w:val="dotted" w:sz="4" w:space="0" w:color="auto"/>
              <w:right w:val="dotted" w:sz="4" w:space="0" w:color="auto"/>
            </w:tcBorders>
            <w:hideMark/>
          </w:tcPr>
          <w:p w:rsidR="00D5771F" w:rsidRDefault="00D5771F">
            <w:pPr>
              <w:spacing w:before="0" w:line="240" w:lineRule="auto"/>
              <w:jc w:val="center"/>
              <w:rPr>
                <w:rFonts w:asciiTheme="minorHAnsi" w:hAnsiTheme="minorHAnsi"/>
                <w:b/>
                <w:sz w:val="22"/>
                <w:szCs w:val="22"/>
                <w:lang w:val="en-IN" w:eastAsia="en-IN"/>
              </w:rPr>
            </w:pPr>
          </w:p>
        </w:tc>
        <w:tc>
          <w:tcPr>
            <w:tcW w:w="1177" w:type="dxa"/>
            <w:tcBorders>
              <w:top w:val="nil"/>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color w:val="000000"/>
                <w:sz w:val="22"/>
                <w:szCs w:val="22"/>
                <w:lang w:val="en-IN" w:eastAsia="en-IN"/>
              </w:rPr>
            </w:pPr>
            <w:r w:rsidRPr="00E34329">
              <w:rPr>
                <w:rFonts w:asciiTheme="minorHAnsi" w:hAnsiTheme="minorHAnsi"/>
                <w:b/>
                <w:color w:val="000000"/>
                <w:sz w:val="22"/>
                <w:szCs w:val="22"/>
                <w:lang w:val="en-IN" w:eastAsia="en-IN"/>
              </w:rPr>
              <w:t>Derivation</w:t>
            </w:r>
          </w:p>
        </w:tc>
        <w:tc>
          <w:tcPr>
            <w:tcW w:w="1276" w:type="dxa"/>
            <w:tcBorders>
              <w:top w:val="nil"/>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Tariff Order</w:t>
            </w:r>
          </w:p>
        </w:tc>
        <w:tc>
          <w:tcPr>
            <w:tcW w:w="953" w:type="dxa"/>
            <w:tcBorders>
              <w:top w:val="nil"/>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color w:val="000000"/>
                <w:sz w:val="22"/>
                <w:szCs w:val="22"/>
                <w:lang w:val="en-IN" w:eastAsia="en-IN"/>
              </w:rPr>
            </w:pPr>
            <w:r w:rsidRPr="00E34329">
              <w:rPr>
                <w:rFonts w:asciiTheme="minorHAnsi" w:hAnsiTheme="minorHAnsi"/>
                <w:b/>
                <w:color w:val="000000"/>
                <w:sz w:val="22"/>
                <w:szCs w:val="22"/>
                <w:lang w:val="en-IN" w:eastAsia="en-IN"/>
              </w:rPr>
              <w:t>Audited</w:t>
            </w:r>
          </w:p>
        </w:tc>
        <w:tc>
          <w:tcPr>
            <w:tcW w:w="1029" w:type="dxa"/>
            <w:tcBorders>
              <w:top w:val="nil"/>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color w:val="000000"/>
                <w:sz w:val="22"/>
                <w:szCs w:val="22"/>
                <w:lang w:val="en-IN" w:eastAsia="en-IN"/>
              </w:rPr>
            </w:pPr>
            <w:r w:rsidRPr="00E34329">
              <w:rPr>
                <w:rFonts w:asciiTheme="minorHAnsi" w:hAnsiTheme="minorHAnsi"/>
                <w:b/>
                <w:color w:val="000000"/>
                <w:sz w:val="22"/>
                <w:szCs w:val="22"/>
                <w:lang w:val="en-IN" w:eastAsia="en-IN"/>
              </w:rPr>
              <w:t>Petition</w:t>
            </w:r>
          </w:p>
        </w:tc>
        <w:tc>
          <w:tcPr>
            <w:tcW w:w="1640" w:type="dxa"/>
            <w:tcBorders>
              <w:top w:val="nil"/>
              <w:left w:val="nil"/>
              <w:bottom w:val="dotted" w:sz="4" w:space="0" w:color="auto"/>
              <w:right w:val="dotted" w:sz="4" w:space="0" w:color="auto"/>
            </w:tcBorders>
            <w:shd w:val="clear" w:color="000000" w:fill="DBE5F1"/>
            <w:hideMark/>
          </w:tcPr>
          <w:p w:rsidR="00D5771F" w:rsidRDefault="00E34329">
            <w:pPr>
              <w:spacing w:before="0" w:line="240" w:lineRule="auto"/>
              <w:jc w:val="center"/>
              <w:rPr>
                <w:rFonts w:asciiTheme="minorHAnsi" w:hAnsiTheme="minorHAnsi"/>
                <w:b/>
                <w:color w:val="000000"/>
                <w:sz w:val="22"/>
                <w:szCs w:val="22"/>
                <w:lang w:val="en-IN" w:eastAsia="en-IN"/>
              </w:rPr>
            </w:pPr>
            <w:r w:rsidRPr="00E34329">
              <w:rPr>
                <w:rFonts w:asciiTheme="minorHAnsi" w:hAnsiTheme="minorHAnsi"/>
                <w:b/>
                <w:sz w:val="22"/>
                <w:szCs w:val="22"/>
                <w:lang w:val="en-IN" w:eastAsia="en-IN"/>
              </w:rPr>
              <w:t xml:space="preserve">Approved upon Truing </w:t>
            </w:r>
            <w:r w:rsidR="00C2017B">
              <w:rPr>
                <w:rFonts w:asciiTheme="minorHAnsi" w:hAnsiTheme="minorHAnsi"/>
                <w:b/>
                <w:sz w:val="22"/>
                <w:szCs w:val="22"/>
                <w:lang w:val="en-IN" w:eastAsia="en-IN"/>
              </w:rPr>
              <w:t>u</w:t>
            </w:r>
            <w:r w:rsidRPr="00E34329">
              <w:rPr>
                <w:rFonts w:asciiTheme="minorHAnsi" w:hAnsiTheme="minorHAnsi"/>
                <w:b/>
                <w:sz w:val="22"/>
                <w:szCs w:val="22"/>
                <w:lang w:val="en-IN" w:eastAsia="en-IN"/>
              </w:rPr>
              <w:t>p</w:t>
            </w:r>
          </w:p>
        </w:tc>
      </w:tr>
      <w:tr w:rsidR="0080193A" w:rsidRPr="00E0115C" w:rsidTr="007A14F2">
        <w:trPr>
          <w:trHeight w:val="300"/>
        </w:trPr>
        <w:tc>
          <w:tcPr>
            <w:tcW w:w="3225" w:type="dxa"/>
            <w:tcBorders>
              <w:top w:val="nil"/>
              <w:left w:val="dotted" w:sz="4" w:space="0" w:color="auto"/>
              <w:bottom w:val="dotted" w:sz="4" w:space="0" w:color="auto"/>
              <w:right w:val="dotted" w:sz="4" w:space="0" w:color="auto"/>
            </w:tcBorders>
            <w:shd w:val="clear" w:color="auto" w:fill="auto"/>
            <w:hideMark/>
          </w:tcPr>
          <w:p w:rsidR="00D5771F"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Investment</w:t>
            </w:r>
          </w:p>
        </w:tc>
        <w:tc>
          <w:tcPr>
            <w:tcW w:w="1177"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center"/>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A</w:t>
            </w:r>
          </w:p>
        </w:tc>
        <w:tc>
          <w:tcPr>
            <w:tcW w:w="1276"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851.77</w:t>
            </w:r>
          </w:p>
        </w:tc>
        <w:tc>
          <w:tcPr>
            <w:tcW w:w="953"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 xml:space="preserve">944.89 </w:t>
            </w:r>
          </w:p>
        </w:tc>
        <w:tc>
          <w:tcPr>
            <w:tcW w:w="1029"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944.89</w:t>
            </w:r>
          </w:p>
        </w:tc>
        <w:tc>
          <w:tcPr>
            <w:tcW w:w="1640"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 xml:space="preserve">944.89 </w:t>
            </w:r>
          </w:p>
        </w:tc>
      </w:tr>
      <w:tr w:rsidR="0080193A" w:rsidRPr="00E0115C" w:rsidTr="007A14F2">
        <w:trPr>
          <w:trHeight w:val="300"/>
        </w:trPr>
        <w:tc>
          <w:tcPr>
            <w:tcW w:w="3225" w:type="dxa"/>
            <w:tcBorders>
              <w:top w:val="nil"/>
              <w:left w:val="dotted" w:sz="4" w:space="0" w:color="auto"/>
              <w:bottom w:val="dotted" w:sz="4" w:space="0" w:color="auto"/>
              <w:right w:val="dotted" w:sz="4" w:space="0" w:color="auto"/>
            </w:tcBorders>
            <w:shd w:val="clear" w:color="auto" w:fill="auto"/>
            <w:hideMark/>
          </w:tcPr>
          <w:p w:rsidR="00D5771F"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Less:</w:t>
            </w:r>
          </w:p>
        </w:tc>
        <w:tc>
          <w:tcPr>
            <w:tcW w:w="1177" w:type="dxa"/>
            <w:tcBorders>
              <w:top w:val="nil"/>
              <w:left w:val="nil"/>
              <w:bottom w:val="dotted" w:sz="4" w:space="0" w:color="auto"/>
              <w:right w:val="dotted" w:sz="4" w:space="0" w:color="auto"/>
            </w:tcBorders>
            <w:shd w:val="clear" w:color="auto" w:fill="auto"/>
            <w:hideMark/>
          </w:tcPr>
          <w:p w:rsidR="00D5771F" w:rsidRDefault="00D5771F">
            <w:pPr>
              <w:spacing w:before="0" w:line="240" w:lineRule="auto"/>
              <w:jc w:val="center"/>
              <w:rPr>
                <w:rFonts w:asciiTheme="minorHAnsi" w:hAnsiTheme="minorHAnsi" w:cs="Arial"/>
                <w:bCs/>
                <w:color w:val="000000"/>
                <w:sz w:val="22"/>
                <w:szCs w:val="22"/>
                <w:lang w:val="en-IN" w:eastAsia="en-IN"/>
              </w:rPr>
            </w:pPr>
          </w:p>
        </w:tc>
        <w:tc>
          <w:tcPr>
            <w:tcW w:w="1276" w:type="dxa"/>
            <w:tcBorders>
              <w:top w:val="nil"/>
              <w:left w:val="nil"/>
              <w:bottom w:val="dotted" w:sz="4" w:space="0" w:color="auto"/>
              <w:right w:val="dotted" w:sz="4" w:space="0" w:color="auto"/>
            </w:tcBorders>
            <w:shd w:val="clear" w:color="auto" w:fill="auto"/>
            <w:hideMark/>
          </w:tcPr>
          <w:p w:rsidR="00D5771F" w:rsidRDefault="00D5771F">
            <w:pPr>
              <w:spacing w:before="0" w:line="240" w:lineRule="auto"/>
              <w:jc w:val="right"/>
              <w:rPr>
                <w:rFonts w:asciiTheme="minorHAnsi" w:hAnsiTheme="minorHAnsi" w:cs="Arial"/>
                <w:bCs/>
                <w:sz w:val="22"/>
                <w:szCs w:val="22"/>
                <w:lang w:val="en-IN" w:eastAsia="en-IN"/>
              </w:rPr>
            </w:pPr>
          </w:p>
        </w:tc>
        <w:tc>
          <w:tcPr>
            <w:tcW w:w="953" w:type="dxa"/>
            <w:tcBorders>
              <w:top w:val="nil"/>
              <w:left w:val="nil"/>
              <w:bottom w:val="dotted" w:sz="4" w:space="0" w:color="auto"/>
              <w:right w:val="dotted" w:sz="4" w:space="0" w:color="auto"/>
            </w:tcBorders>
            <w:shd w:val="clear" w:color="auto" w:fill="auto"/>
            <w:hideMark/>
          </w:tcPr>
          <w:p w:rsidR="00D5771F" w:rsidRDefault="00D5771F">
            <w:pPr>
              <w:spacing w:before="0" w:line="240" w:lineRule="auto"/>
              <w:jc w:val="right"/>
              <w:rPr>
                <w:rFonts w:asciiTheme="minorHAnsi" w:hAnsiTheme="minorHAnsi" w:cs="Arial"/>
                <w:bCs/>
                <w:sz w:val="22"/>
                <w:szCs w:val="22"/>
                <w:lang w:val="en-IN" w:eastAsia="en-IN"/>
              </w:rPr>
            </w:pPr>
          </w:p>
        </w:tc>
        <w:tc>
          <w:tcPr>
            <w:tcW w:w="1029" w:type="dxa"/>
            <w:tcBorders>
              <w:top w:val="nil"/>
              <w:left w:val="nil"/>
              <w:bottom w:val="dotted" w:sz="4" w:space="0" w:color="auto"/>
              <w:right w:val="dotted" w:sz="4" w:space="0" w:color="auto"/>
            </w:tcBorders>
            <w:shd w:val="clear" w:color="auto" w:fill="auto"/>
            <w:noWrap/>
            <w:hideMark/>
          </w:tcPr>
          <w:p w:rsidR="00D5771F" w:rsidRDefault="00D5771F">
            <w:pPr>
              <w:spacing w:before="0" w:line="240" w:lineRule="auto"/>
              <w:jc w:val="right"/>
              <w:rPr>
                <w:rFonts w:asciiTheme="minorHAnsi" w:hAnsiTheme="minorHAnsi" w:cs="Arial"/>
                <w:bCs/>
                <w:color w:val="000000"/>
                <w:sz w:val="22"/>
                <w:szCs w:val="22"/>
                <w:lang w:val="en-IN" w:eastAsia="en-IN"/>
              </w:rPr>
            </w:pPr>
          </w:p>
        </w:tc>
        <w:tc>
          <w:tcPr>
            <w:tcW w:w="1640" w:type="dxa"/>
            <w:tcBorders>
              <w:top w:val="nil"/>
              <w:left w:val="nil"/>
              <w:bottom w:val="dotted" w:sz="4" w:space="0" w:color="auto"/>
              <w:right w:val="dotted" w:sz="4" w:space="0" w:color="auto"/>
            </w:tcBorders>
            <w:shd w:val="clear" w:color="auto" w:fill="auto"/>
            <w:hideMark/>
          </w:tcPr>
          <w:p w:rsidR="00D5771F" w:rsidRDefault="00D5771F">
            <w:pPr>
              <w:spacing w:before="0" w:line="240" w:lineRule="auto"/>
              <w:jc w:val="right"/>
              <w:rPr>
                <w:rFonts w:asciiTheme="minorHAnsi" w:hAnsiTheme="minorHAnsi" w:cs="Arial"/>
                <w:bCs/>
                <w:sz w:val="22"/>
                <w:szCs w:val="22"/>
                <w:lang w:val="en-IN" w:eastAsia="en-IN"/>
              </w:rPr>
            </w:pPr>
          </w:p>
        </w:tc>
      </w:tr>
      <w:tr w:rsidR="0080193A" w:rsidRPr="00E0115C" w:rsidTr="007A14F2">
        <w:trPr>
          <w:trHeight w:val="300"/>
        </w:trPr>
        <w:tc>
          <w:tcPr>
            <w:tcW w:w="3225" w:type="dxa"/>
            <w:tcBorders>
              <w:top w:val="nil"/>
              <w:left w:val="dotted" w:sz="4" w:space="0" w:color="auto"/>
              <w:bottom w:val="dotted" w:sz="4" w:space="0" w:color="auto"/>
              <w:right w:val="dotted" w:sz="4" w:space="0" w:color="auto"/>
            </w:tcBorders>
            <w:shd w:val="clear" w:color="auto" w:fill="auto"/>
            <w:hideMark/>
          </w:tcPr>
          <w:p w:rsidR="00D5771F"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Consumer Contribution</w:t>
            </w:r>
          </w:p>
        </w:tc>
        <w:tc>
          <w:tcPr>
            <w:tcW w:w="1177"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center"/>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B</w:t>
            </w:r>
          </w:p>
        </w:tc>
        <w:tc>
          <w:tcPr>
            <w:tcW w:w="1276"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280.00</w:t>
            </w:r>
          </w:p>
        </w:tc>
        <w:tc>
          <w:tcPr>
            <w:tcW w:w="953"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 xml:space="preserve">276.57 </w:t>
            </w:r>
          </w:p>
        </w:tc>
        <w:tc>
          <w:tcPr>
            <w:tcW w:w="1029"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276.57</w:t>
            </w:r>
          </w:p>
        </w:tc>
        <w:tc>
          <w:tcPr>
            <w:tcW w:w="1640"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 xml:space="preserve">276.57 </w:t>
            </w:r>
          </w:p>
        </w:tc>
      </w:tr>
      <w:tr w:rsidR="0080193A" w:rsidRPr="00E0115C" w:rsidTr="007A14F2">
        <w:trPr>
          <w:trHeight w:val="300"/>
        </w:trPr>
        <w:tc>
          <w:tcPr>
            <w:tcW w:w="3225" w:type="dxa"/>
            <w:tcBorders>
              <w:top w:val="nil"/>
              <w:left w:val="dotted" w:sz="4" w:space="0" w:color="auto"/>
              <w:bottom w:val="dotted" w:sz="4" w:space="0" w:color="auto"/>
              <w:right w:val="dotted" w:sz="4" w:space="0" w:color="auto"/>
            </w:tcBorders>
            <w:shd w:val="clear" w:color="auto" w:fill="auto"/>
            <w:hideMark/>
          </w:tcPr>
          <w:p w:rsidR="00D5771F"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Investment funded by debt and equity</w:t>
            </w:r>
          </w:p>
        </w:tc>
        <w:tc>
          <w:tcPr>
            <w:tcW w:w="1177"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center"/>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C=A-B</w:t>
            </w:r>
          </w:p>
        </w:tc>
        <w:tc>
          <w:tcPr>
            <w:tcW w:w="1276"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571.77</w:t>
            </w:r>
          </w:p>
        </w:tc>
        <w:tc>
          <w:tcPr>
            <w:tcW w:w="953"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 xml:space="preserve">668.32 </w:t>
            </w:r>
          </w:p>
        </w:tc>
        <w:tc>
          <w:tcPr>
            <w:tcW w:w="1029"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668.31</w:t>
            </w:r>
          </w:p>
        </w:tc>
        <w:tc>
          <w:tcPr>
            <w:tcW w:w="1640"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 xml:space="preserve">668.32 </w:t>
            </w:r>
          </w:p>
        </w:tc>
      </w:tr>
      <w:tr w:rsidR="0080193A" w:rsidRPr="00E0115C" w:rsidTr="007A14F2">
        <w:trPr>
          <w:trHeight w:val="300"/>
        </w:trPr>
        <w:tc>
          <w:tcPr>
            <w:tcW w:w="3225" w:type="dxa"/>
            <w:tcBorders>
              <w:top w:val="nil"/>
              <w:left w:val="dotted" w:sz="4" w:space="0" w:color="auto"/>
              <w:bottom w:val="dotted" w:sz="4" w:space="0" w:color="auto"/>
              <w:right w:val="dotted" w:sz="4" w:space="0" w:color="auto"/>
            </w:tcBorders>
            <w:shd w:val="clear" w:color="auto" w:fill="auto"/>
            <w:hideMark/>
          </w:tcPr>
          <w:p w:rsidR="00D5771F"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Debt Funded</w:t>
            </w:r>
          </w:p>
        </w:tc>
        <w:tc>
          <w:tcPr>
            <w:tcW w:w="1177"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center"/>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70%</w:t>
            </w:r>
          </w:p>
        </w:tc>
        <w:tc>
          <w:tcPr>
            <w:tcW w:w="1276"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400.24</w:t>
            </w:r>
          </w:p>
        </w:tc>
        <w:tc>
          <w:tcPr>
            <w:tcW w:w="953"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 xml:space="preserve">467.82 </w:t>
            </w:r>
          </w:p>
        </w:tc>
        <w:tc>
          <w:tcPr>
            <w:tcW w:w="1029"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467.82</w:t>
            </w:r>
          </w:p>
        </w:tc>
        <w:tc>
          <w:tcPr>
            <w:tcW w:w="1640"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 xml:space="preserve">467.82 </w:t>
            </w:r>
          </w:p>
        </w:tc>
      </w:tr>
      <w:tr w:rsidR="0080193A" w:rsidRPr="00E0115C" w:rsidTr="007A14F2">
        <w:trPr>
          <w:trHeight w:val="300"/>
        </w:trPr>
        <w:tc>
          <w:tcPr>
            <w:tcW w:w="3225" w:type="dxa"/>
            <w:tcBorders>
              <w:top w:val="nil"/>
              <w:left w:val="dotted" w:sz="4" w:space="0" w:color="auto"/>
              <w:bottom w:val="dotted" w:sz="4" w:space="0" w:color="auto"/>
              <w:right w:val="dotted" w:sz="4" w:space="0" w:color="auto"/>
            </w:tcBorders>
            <w:shd w:val="clear" w:color="auto" w:fill="auto"/>
            <w:hideMark/>
          </w:tcPr>
          <w:p w:rsidR="00D5771F"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Equity Funded</w:t>
            </w:r>
          </w:p>
        </w:tc>
        <w:tc>
          <w:tcPr>
            <w:tcW w:w="1177"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center"/>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30%</w:t>
            </w:r>
          </w:p>
        </w:tc>
        <w:tc>
          <w:tcPr>
            <w:tcW w:w="1276"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171.53</w:t>
            </w:r>
          </w:p>
        </w:tc>
        <w:tc>
          <w:tcPr>
            <w:tcW w:w="953"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 xml:space="preserve">200.49 </w:t>
            </w:r>
          </w:p>
        </w:tc>
        <w:tc>
          <w:tcPr>
            <w:tcW w:w="1029"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200.49</w:t>
            </w:r>
          </w:p>
        </w:tc>
        <w:tc>
          <w:tcPr>
            <w:tcW w:w="1640" w:type="dxa"/>
            <w:tcBorders>
              <w:top w:val="nil"/>
              <w:left w:val="nil"/>
              <w:bottom w:val="dotted" w:sz="4" w:space="0" w:color="auto"/>
              <w:right w:val="dotted" w:sz="4" w:space="0" w:color="auto"/>
            </w:tcBorders>
            <w:shd w:val="clear" w:color="auto" w:fill="auto"/>
            <w:hideMark/>
          </w:tcPr>
          <w:p w:rsidR="00D5771F"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 xml:space="preserve">200.49 </w:t>
            </w:r>
          </w:p>
        </w:tc>
      </w:tr>
    </w:tbl>
    <w:p w:rsidR="006C63AF" w:rsidRDefault="00E34329" w:rsidP="006C63AF">
      <w:pPr>
        <w:pStyle w:val="Heading3"/>
        <w:tabs>
          <w:tab w:val="clear" w:pos="720"/>
        </w:tabs>
        <w:spacing w:after="240"/>
        <w:ind w:left="994" w:hanging="994"/>
      </w:pPr>
      <w:r w:rsidRPr="00E34329">
        <w:lastRenderedPageBreak/>
        <w:t xml:space="preserve">From the above tables, it is seen that the total investments made in distribution segment in FY 2013-14 were to the tune of Rs. 944.89 Crore. The consumer contributions, capital subsidies and grants received during the corresponding period is Rs. 276.57 Crore. Thus, balance Rs. 668.32 Crore have been funded through debt and equity. Considering a debt equity ratio of 70:30, Rs. 467.82 Crore or 70% of the capital investment is approved to be funded through debt and balance 30% equivalent to Rs. 200.49 Crore through equity. Allowable depreciation for the year has been considered as normative loan repayment. </w:t>
      </w:r>
    </w:p>
    <w:p w:rsidR="00EF09EB" w:rsidRPr="00D76C64" w:rsidRDefault="00E34329" w:rsidP="00C60AD1">
      <w:pPr>
        <w:pStyle w:val="Heading3"/>
        <w:tabs>
          <w:tab w:val="clear" w:pos="720"/>
        </w:tabs>
        <w:spacing w:after="240"/>
        <w:ind w:left="993" w:hanging="993"/>
      </w:pPr>
      <w:r w:rsidRPr="00E34329">
        <w:t>In reply to the Commission’s query regarding detailed computation of the weighted average interest rate, the Petitioner has submitted the detailed computation with due reconciliation with the audited accounts of FY 2013-14 for the loans used to fund the capital expenditure. Accordingly, the weighted average rate has been considered for computing the interest on long term loan.</w:t>
      </w:r>
    </w:p>
    <w:p w:rsidR="003147B8" w:rsidRPr="00D76C64" w:rsidRDefault="00E34329" w:rsidP="00C60AD1">
      <w:pPr>
        <w:pStyle w:val="Heading3"/>
        <w:tabs>
          <w:tab w:val="clear" w:pos="720"/>
        </w:tabs>
        <w:spacing w:after="240"/>
        <w:ind w:left="993" w:hanging="993"/>
      </w:pPr>
      <w:r w:rsidRPr="00E34329">
        <w:t xml:space="preserve">The Commission considered the closing loan balance of FY 2012-13 as the opening loan balance of FY 2013-14. </w:t>
      </w:r>
    </w:p>
    <w:p w:rsidR="003147B8" w:rsidRPr="00680AFE" w:rsidRDefault="00E34329" w:rsidP="00C60AD1">
      <w:pPr>
        <w:pStyle w:val="Heading3"/>
        <w:tabs>
          <w:tab w:val="clear" w:pos="720"/>
        </w:tabs>
        <w:spacing w:after="240"/>
        <w:ind w:left="993" w:hanging="993"/>
        <w:rPr>
          <w:rFonts w:asciiTheme="minorHAnsi" w:hAnsiTheme="minorHAnsi"/>
        </w:rPr>
      </w:pPr>
      <w:r w:rsidRPr="00E34329">
        <w:t>Considering the above, the gross interest on long term loan has been worked out as shown in the Table below. The interest capitalisation has been considered at the same rate as per audited accounts.</w:t>
      </w:r>
    </w:p>
    <w:p w:rsidR="003147B8" w:rsidRPr="00E0115C" w:rsidRDefault="00E34329" w:rsidP="00C60AD1">
      <w:pPr>
        <w:spacing w:before="0"/>
        <w:jc w:val="center"/>
        <w:rPr>
          <w:rFonts w:asciiTheme="minorHAnsi" w:hAnsiTheme="minorHAnsi" w:cs="Calibri"/>
          <w:b/>
          <w:sz w:val="22"/>
          <w:szCs w:val="22"/>
          <w:lang w:val="en-US"/>
        </w:rPr>
      </w:pPr>
      <w:bookmarkStart w:id="262" w:name="_Toc356913186"/>
      <w:bookmarkStart w:id="263" w:name="_Toc394490642"/>
      <w:bookmarkStart w:id="264" w:name="_Toc457604006"/>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INTEREST ON LONG TERM LOAN FOR FY 2013-14 (Rs Crore)</w:t>
      </w:r>
      <w:bookmarkEnd w:id="262"/>
      <w:bookmarkEnd w:id="263"/>
      <w:bookmarkEnd w:id="264"/>
    </w:p>
    <w:tbl>
      <w:tblPr>
        <w:tblW w:w="9166" w:type="dxa"/>
        <w:tblInd w:w="103" w:type="dxa"/>
        <w:tblLook w:val="04A0"/>
      </w:tblPr>
      <w:tblGrid>
        <w:gridCol w:w="5392"/>
        <w:gridCol w:w="1289"/>
        <w:gridCol w:w="1265"/>
        <w:gridCol w:w="1220"/>
      </w:tblGrid>
      <w:tr w:rsidR="00DE7B31" w:rsidRPr="009B7179" w:rsidTr="009B7179">
        <w:trPr>
          <w:trHeight w:val="299"/>
          <w:tblHeader/>
        </w:trPr>
        <w:tc>
          <w:tcPr>
            <w:tcW w:w="5392" w:type="dxa"/>
            <w:vMerge w:val="restart"/>
            <w:tcBorders>
              <w:top w:val="dotted" w:sz="4" w:space="0" w:color="auto"/>
              <w:left w:val="dotted" w:sz="4" w:space="0" w:color="auto"/>
              <w:bottom w:val="dotted" w:sz="4" w:space="0" w:color="auto"/>
              <w:right w:val="dotted" w:sz="4" w:space="0" w:color="auto"/>
            </w:tcBorders>
            <w:shd w:val="clear" w:color="000000" w:fill="DBE5F1"/>
            <w:hideMark/>
          </w:tcPr>
          <w:p w:rsidR="00DE7B31"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Particulars</w:t>
            </w:r>
          </w:p>
        </w:tc>
        <w:tc>
          <w:tcPr>
            <w:tcW w:w="3774" w:type="dxa"/>
            <w:gridSpan w:val="3"/>
            <w:tcBorders>
              <w:top w:val="dotted" w:sz="4" w:space="0" w:color="auto"/>
              <w:left w:val="nil"/>
              <w:bottom w:val="dotted" w:sz="4" w:space="0" w:color="auto"/>
              <w:right w:val="dotted" w:sz="4" w:space="0" w:color="auto"/>
            </w:tcBorders>
            <w:shd w:val="clear" w:color="000000" w:fill="DBE5F1"/>
            <w:hideMark/>
          </w:tcPr>
          <w:p w:rsidR="00DE7B31"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FY 2013-14</w:t>
            </w:r>
          </w:p>
        </w:tc>
      </w:tr>
      <w:tr w:rsidR="00DA0654" w:rsidRPr="009B7179" w:rsidTr="009B7179">
        <w:trPr>
          <w:trHeight w:val="598"/>
          <w:tblHeader/>
        </w:trPr>
        <w:tc>
          <w:tcPr>
            <w:tcW w:w="5392" w:type="dxa"/>
            <w:vMerge/>
            <w:tcBorders>
              <w:top w:val="dotted" w:sz="4" w:space="0" w:color="auto"/>
              <w:left w:val="dotted" w:sz="4" w:space="0" w:color="auto"/>
              <w:bottom w:val="dotted" w:sz="4" w:space="0" w:color="auto"/>
              <w:right w:val="dotted" w:sz="4" w:space="0" w:color="auto"/>
            </w:tcBorders>
            <w:hideMark/>
          </w:tcPr>
          <w:p w:rsidR="00DA0654" w:rsidRPr="009B7179" w:rsidRDefault="00DA0654" w:rsidP="009B7179">
            <w:pPr>
              <w:spacing w:before="0" w:line="240" w:lineRule="auto"/>
              <w:jc w:val="center"/>
              <w:rPr>
                <w:rFonts w:asciiTheme="minorHAnsi" w:hAnsiTheme="minorHAnsi"/>
                <w:b/>
                <w:sz w:val="22"/>
                <w:szCs w:val="22"/>
                <w:lang w:val="en-IN" w:eastAsia="en-IN"/>
              </w:rPr>
            </w:pPr>
            <w:bookmarkStart w:id="265" w:name="_Toc457055572"/>
            <w:bookmarkEnd w:id="265"/>
          </w:p>
        </w:tc>
        <w:tc>
          <w:tcPr>
            <w:tcW w:w="1289" w:type="dxa"/>
            <w:tcBorders>
              <w:top w:val="nil"/>
              <w:left w:val="nil"/>
              <w:bottom w:val="dotted" w:sz="4" w:space="0" w:color="auto"/>
              <w:right w:val="dotted" w:sz="4" w:space="0" w:color="auto"/>
            </w:tcBorders>
            <w:shd w:val="clear" w:color="000000" w:fill="DBE5F1"/>
            <w:hideMark/>
          </w:tcPr>
          <w:p w:rsidR="00DA0654"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Tariff Order</w:t>
            </w:r>
          </w:p>
        </w:tc>
        <w:tc>
          <w:tcPr>
            <w:tcW w:w="1265" w:type="dxa"/>
            <w:tcBorders>
              <w:top w:val="nil"/>
              <w:left w:val="nil"/>
              <w:bottom w:val="dotted" w:sz="4" w:space="0" w:color="auto"/>
              <w:right w:val="dotted" w:sz="4" w:space="0" w:color="auto"/>
            </w:tcBorders>
            <w:shd w:val="clear" w:color="000000" w:fill="DBE5F1"/>
            <w:hideMark/>
          </w:tcPr>
          <w:p w:rsidR="00DA0654"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Petition</w:t>
            </w:r>
          </w:p>
        </w:tc>
        <w:tc>
          <w:tcPr>
            <w:tcW w:w="1220" w:type="dxa"/>
            <w:tcBorders>
              <w:top w:val="nil"/>
              <w:left w:val="nil"/>
              <w:bottom w:val="dotted" w:sz="4" w:space="0" w:color="auto"/>
              <w:right w:val="dotted" w:sz="4" w:space="0" w:color="auto"/>
            </w:tcBorders>
            <w:shd w:val="clear" w:color="000000" w:fill="DBE5F1"/>
            <w:hideMark/>
          </w:tcPr>
          <w:p w:rsidR="00DA0654"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Approved upon Truing Up</w:t>
            </w:r>
          </w:p>
        </w:tc>
      </w:tr>
      <w:tr w:rsidR="00C72DCE" w:rsidRPr="009B7179" w:rsidTr="009B7179">
        <w:trPr>
          <w:trHeight w:val="299"/>
        </w:trPr>
        <w:tc>
          <w:tcPr>
            <w:tcW w:w="5392" w:type="dxa"/>
            <w:tcBorders>
              <w:top w:val="nil"/>
              <w:left w:val="dotted" w:sz="4" w:space="0" w:color="auto"/>
              <w:bottom w:val="dotted" w:sz="4" w:space="0" w:color="auto"/>
              <w:right w:val="dotted" w:sz="4" w:space="0" w:color="auto"/>
            </w:tcBorders>
            <w:shd w:val="clear" w:color="auto" w:fill="auto"/>
            <w:hideMark/>
          </w:tcPr>
          <w:p w:rsidR="00C72DCE"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Opening Loan</w:t>
            </w:r>
          </w:p>
        </w:tc>
        <w:tc>
          <w:tcPr>
            <w:tcW w:w="1289"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1,159.85</w:t>
            </w:r>
          </w:p>
        </w:tc>
        <w:tc>
          <w:tcPr>
            <w:tcW w:w="126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1,365.28 </w:t>
            </w:r>
          </w:p>
        </w:tc>
        <w:tc>
          <w:tcPr>
            <w:tcW w:w="122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1,365.28 </w:t>
            </w:r>
          </w:p>
        </w:tc>
      </w:tr>
      <w:tr w:rsidR="00C72DCE" w:rsidRPr="009B7179" w:rsidTr="009B7179">
        <w:trPr>
          <w:trHeight w:val="299"/>
        </w:trPr>
        <w:tc>
          <w:tcPr>
            <w:tcW w:w="5392" w:type="dxa"/>
            <w:tcBorders>
              <w:top w:val="nil"/>
              <w:left w:val="dotted" w:sz="4" w:space="0" w:color="auto"/>
              <w:bottom w:val="dotted" w:sz="4" w:space="0" w:color="auto"/>
              <w:right w:val="dotted" w:sz="4" w:space="0" w:color="auto"/>
            </w:tcBorders>
            <w:shd w:val="clear" w:color="auto" w:fill="auto"/>
            <w:hideMark/>
          </w:tcPr>
          <w:p w:rsidR="00C72DCE"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Loan Additions (70% of Investments)</w:t>
            </w:r>
          </w:p>
        </w:tc>
        <w:tc>
          <w:tcPr>
            <w:tcW w:w="1289"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400.24</w:t>
            </w:r>
          </w:p>
        </w:tc>
        <w:tc>
          <w:tcPr>
            <w:tcW w:w="126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467.82 </w:t>
            </w:r>
          </w:p>
        </w:tc>
        <w:tc>
          <w:tcPr>
            <w:tcW w:w="122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467.82 </w:t>
            </w:r>
          </w:p>
        </w:tc>
      </w:tr>
      <w:tr w:rsidR="00C72DCE" w:rsidRPr="009B7179" w:rsidTr="009B7179">
        <w:trPr>
          <w:trHeight w:val="299"/>
        </w:trPr>
        <w:tc>
          <w:tcPr>
            <w:tcW w:w="5392" w:type="dxa"/>
            <w:tcBorders>
              <w:top w:val="nil"/>
              <w:left w:val="dotted" w:sz="4" w:space="0" w:color="auto"/>
              <w:bottom w:val="dotted" w:sz="4" w:space="0" w:color="auto"/>
              <w:right w:val="dotted" w:sz="4" w:space="0" w:color="auto"/>
            </w:tcBorders>
            <w:shd w:val="clear" w:color="auto" w:fill="auto"/>
            <w:hideMark/>
          </w:tcPr>
          <w:p w:rsidR="00C72DCE"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Less: Repayments (Depreciation allowable for the year)</w:t>
            </w:r>
          </w:p>
        </w:tc>
        <w:tc>
          <w:tcPr>
            <w:tcW w:w="1289"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319.11</w:t>
            </w:r>
          </w:p>
        </w:tc>
        <w:tc>
          <w:tcPr>
            <w:tcW w:w="126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327.02 </w:t>
            </w:r>
          </w:p>
        </w:tc>
        <w:tc>
          <w:tcPr>
            <w:tcW w:w="122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327.04 </w:t>
            </w:r>
          </w:p>
        </w:tc>
      </w:tr>
      <w:tr w:rsidR="00C72DCE" w:rsidRPr="009B7179" w:rsidTr="009B7179">
        <w:trPr>
          <w:trHeight w:val="299"/>
        </w:trPr>
        <w:tc>
          <w:tcPr>
            <w:tcW w:w="5392" w:type="dxa"/>
            <w:tcBorders>
              <w:top w:val="nil"/>
              <w:left w:val="dotted" w:sz="4" w:space="0" w:color="auto"/>
              <w:bottom w:val="dotted" w:sz="4" w:space="0" w:color="auto"/>
              <w:right w:val="dotted" w:sz="4" w:space="0" w:color="auto"/>
            </w:tcBorders>
            <w:shd w:val="clear" w:color="auto" w:fill="auto"/>
            <w:hideMark/>
          </w:tcPr>
          <w:p w:rsidR="00C72DCE"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Closing Loan Balance</w:t>
            </w:r>
          </w:p>
        </w:tc>
        <w:tc>
          <w:tcPr>
            <w:tcW w:w="1289"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1,240.98</w:t>
            </w:r>
          </w:p>
        </w:tc>
        <w:tc>
          <w:tcPr>
            <w:tcW w:w="126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1,506.08 </w:t>
            </w:r>
          </w:p>
        </w:tc>
        <w:tc>
          <w:tcPr>
            <w:tcW w:w="122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1,506.06 </w:t>
            </w:r>
          </w:p>
        </w:tc>
      </w:tr>
      <w:tr w:rsidR="00E52427" w:rsidRPr="009B7179" w:rsidTr="009B7179">
        <w:trPr>
          <w:trHeight w:val="299"/>
        </w:trPr>
        <w:tc>
          <w:tcPr>
            <w:tcW w:w="5392" w:type="dxa"/>
            <w:tcBorders>
              <w:top w:val="nil"/>
              <w:left w:val="dotted" w:sz="4" w:space="0" w:color="auto"/>
              <w:bottom w:val="dotted" w:sz="4" w:space="0" w:color="auto"/>
              <w:right w:val="dotted" w:sz="4" w:space="0" w:color="auto"/>
            </w:tcBorders>
            <w:shd w:val="clear" w:color="auto" w:fill="auto"/>
            <w:hideMark/>
          </w:tcPr>
          <w:p w:rsidR="00E52427"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Weighted Average Rate of Interest</w:t>
            </w:r>
          </w:p>
        </w:tc>
        <w:tc>
          <w:tcPr>
            <w:tcW w:w="1289"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lang w:val="en-IN" w:eastAsia="en-IN"/>
              </w:rPr>
              <w:t>10.49%</w:t>
            </w:r>
          </w:p>
        </w:tc>
        <w:tc>
          <w:tcPr>
            <w:tcW w:w="126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11.92% </w:t>
            </w:r>
          </w:p>
        </w:tc>
        <w:tc>
          <w:tcPr>
            <w:tcW w:w="122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11.92% </w:t>
            </w:r>
          </w:p>
        </w:tc>
      </w:tr>
      <w:tr w:rsidR="00E52427" w:rsidRPr="009B7179" w:rsidTr="009B7179">
        <w:trPr>
          <w:trHeight w:val="299"/>
        </w:trPr>
        <w:tc>
          <w:tcPr>
            <w:tcW w:w="5392" w:type="dxa"/>
            <w:tcBorders>
              <w:top w:val="nil"/>
              <w:left w:val="dotted" w:sz="4" w:space="0" w:color="auto"/>
              <w:bottom w:val="dotted" w:sz="4" w:space="0" w:color="auto"/>
              <w:right w:val="dotted" w:sz="4" w:space="0" w:color="auto"/>
            </w:tcBorders>
            <w:shd w:val="clear" w:color="auto" w:fill="auto"/>
            <w:hideMark/>
          </w:tcPr>
          <w:p w:rsidR="00E52427"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Interest on long term loan</w:t>
            </w:r>
          </w:p>
        </w:tc>
        <w:tc>
          <w:tcPr>
            <w:tcW w:w="1289"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125.90</w:t>
            </w:r>
          </w:p>
        </w:tc>
        <w:tc>
          <w:tcPr>
            <w:tcW w:w="126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179.56*</w:t>
            </w:r>
          </w:p>
        </w:tc>
        <w:tc>
          <w:tcPr>
            <w:tcW w:w="122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171.16 </w:t>
            </w:r>
          </w:p>
        </w:tc>
      </w:tr>
      <w:tr w:rsidR="00E52427" w:rsidRPr="009B7179" w:rsidTr="009B7179">
        <w:trPr>
          <w:trHeight w:val="299"/>
        </w:trPr>
        <w:tc>
          <w:tcPr>
            <w:tcW w:w="5392" w:type="dxa"/>
            <w:tcBorders>
              <w:top w:val="nil"/>
              <w:left w:val="dotted" w:sz="4" w:space="0" w:color="auto"/>
              <w:bottom w:val="dotted" w:sz="4" w:space="0" w:color="auto"/>
              <w:right w:val="dotted" w:sz="4" w:space="0" w:color="auto"/>
            </w:tcBorders>
            <w:shd w:val="clear" w:color="auto" w:fill="auto"/>
            <w:hideMark/>
          </w:tcPr>
          <w:p w:rsidR="00E52427"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Less: Interest Capitalized</w:t>
            </w:r>
          </w:p>
        </w:tc>
        <w:tc>
          <w:tcPr>
            <w:tcW w:w="1289"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28.96</w:t>
            </w:r>
          </w:p>
        </w:tc>
        <w:tc>
          <w:tcPr>
            <w:tcW w:w="126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   </w:t>
            </w:r>
          </w:p>
        </w:tc>
        <w:tc>
          <w:tcPr>
            <w:tcW w:w="122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   </w:t>
            </w:r>
          </w:p>
        </w:tc>
      </w:tr>
      <w:tr w:rsidR="00E52427" w:rsidRPr="009B7179" w:rsidTr="009B7179">
        <w:trPr>
          <w:trHeight w:val="299"/>
        </w:trPr>
        <w:tc>
          <w:tcPr>
            <w:tcW w:w="5392" w:type="dxa"/>
            <w:tcBorders>
              <w:top w:val="nil"/>
              <w:left w:val="dotted" w:sz="4" w:space="0" w:color="auto"/>
              <w:bottom w:val="dotted" w:sz="4" w:space="0" w:color="auto"/>
              <w:right w:val="dotted" w:sz="4" w:space="0" w:color="auto"/>
            </w:tcBorders>
            <w:shd w:val="clear" w:color="auto" w:fill="auto"/>
            <w:hideMark/>
          </w:tcPr>
          <w:p w:rsidR="00E52427"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Net Interest Charged</w:t>
            </w:r>
          </w:p>
        </w:tc>
        <w:tc>
          <w:tcPr>
            <w:tcW w:w="1289"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96.94</w:t>
            </w:r>
          </w:p>
        </w:tc>
        <w:tc>
          <w:tcPr>
            <w:tcW w:w="126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179.56 </w:t>
            </w:r>
          </w:p>
        </w:tc>
        <w:tc>
          <w:tcPr>
            <w:tcW w:w="122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 xml:space="preserve">171.16 </w:t>
            </w:r>
          </w:p>
        </w:tc>
      </w:tr>
      <w:tr w:rsidR="00E52427" w:rsidRPr="009B7179" w:rsidTr="009B7179">
        <w:trPr>
          <w:trHeight w:val="299"/>
        </w:trPr>
        <w:tc>
          <w:tcPr>
            <w:tcW w:w="5392" w:type="dxa"/>
            <w:tcBorders>
              <w:top w:val="nil"/>
              <w:left w:val="dotted" w:sz="4" w:space="0" w:color="auto"/>
              <w:bottom w:val="dotted" w:sz="4" w:space="0" w:color="auto"/>
              <w:right w:val="dotted" w:sz="4" w:space="0" w:color="auto"/>
            </w:tcBorders>
            <w:shd w:val="clear" w:color="auto" w:fill="auto"/>
            <w:hideMark/>
          </w:tcPr>
          <w:p w:rsidR="00E52427"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Interest Capitalisation Rate</w:t>
            </w:r>
          </w:p>
        </w:tc>
        <w:tc>
          <w:tcPr>
            <w:tcW w:w="1289" w:type="dxa"/>
            <w:tcBorders>
              <w:top w:val="nil"/>
              <w:left w:val="nil"/>
              <w:bottom w:val="dotted" w:sz="4" w:space="0" w:color="auto"/>
              <w:right w:val="dotted" w:sz="4" w:space="0" w:color="auto"/>
            </w:tcBorders>
            <w:shd w:val="clear" w:color="auto" w:fill="auto"/>
            <w:noWrap/>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23.00%</w:t>
            </w:r>
          </w:p>
        </w:tc>
        <w:tc>
          <w:tcPr>
            <w:tcW w:w="1265"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0.00%</w:t>
            </w:r>
          </w:p>
        </w:tc>
        <w:tc>
          <w:tcPr>
            <w:tcW w:w="1220" w:type="dxa"/>
            <w:tcBorders>
              <w:top w:val="nil"/>
              <w:left w:val="nil"/>
              <w:bottom w:val="dotted" w:sz="4" w:space="0" w:color="auto"/>
              <w:right w:val="dotted" w:sz="4" w:space="0" w:color="auto"/>
            </w:tcBorders>
            <w:shd w:val="clear" w:color="auto" w:fill="auto"/>
            <w:vAlign w:val="center"/>
            <w:hideMark/>
          </w:tcPr>
          <w:p w:rsidR="00714676"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rPr>
              <w:t>0.00%</w:t>
            </w:r>
          </w:p>
        </w:tc>
      </w:tr>
    </w:tbl>
    <w:p w:rsidR="0000071F" w:rsidRPr="00D76C64" w:rsidRDefault="00E34329" w:rsidP="009B7179">
      <w:pPr>
        <w:spacing w:before="0"/>
        <w:rPr>
          <w:i/>
          <w:sz w:val="20"/>
          <w:szCs w:val="20"/>
          <w:lang w:val="en-US"/>
        </w:rPr>
      </w:pPr>
      <w:r w:rsidRPr="00E34329">
        <w:rPr>
          <w:i/>
          <w:sz w:val="20"/>
          <w:szCs w:val="20"/>
          <w:lang w:val="en-US"/>
        </w:rPr>
        <w:t>*The Petitioner has computed the interest on long term loan on closing balance while the Commission has allowed interest on long term loan on average during the year.</w:t>
      </w:r>
    </w:p>
    <w:p w:rsidR="00E0115C" w:rsidRPr="00D76C64" w:rsidRDefault="00E0115C" w:rsidP="00C60AD1">
      <w:pPr>
        <w:rPr>
          <w:b/>
          <w:lang w:val="en-US"/>
        </w:rPr>
      </w:pPr>
    </w:p>
    <w:p w:rsidR="003147B8" w:rsidRPr="00D76C64" w:rsidRDefault="00E34329" w:rsidP="00C60AD1">
      <w:pPr>
        <w:rPr>
          <w:b/>
        </w:rPr>
      </w:pPr>
      <w:r w:rsidRPr="00E34329">
        <w:rPr>
          <w:b/>
          <w:lang w:val="en-US"/>
        </w:rPr>
        <w:t>Finance Charges</w:t>
      </w:r>
    </w:p>
    <w:p w:rsidR="003147B8" w:rsidRPr="00D76C64" w:rsidRDefault="00E34329" w:rsidP="00C60AD1">
      <w:pPr>
        <w:pStyle w:val="Heading3"/>
        <w:tabs>
          <w:tab w:val="clear" w:pos="720"/>
        </w:tabs>
        <w:spacing w:after="240"/>
        <w:ind w:left="993" w:hanging="993"/>
      </w:pPr>
      <w:r w:rsidRPr="00E34329">
        <w:t>The Petitioner has claimed Rs. 32.44 Crore against Rs. 24.48 Crore approved by the Commission towards total finance charges during FY 2013-14.</w:t>
      </w:r>
    </w:p>
    <w:p w:rsidR="003147B8" w:rsidRPr="00D76C64" w:rsidRDefault="00E34329" w:rsidP="00C60AD1">
      <w:pPr>
        <w:pStyle w:val="Heading3"/>
        <w:tabs>
          <w:tab w:val="clear" w:pos="720"/>
        </w:tabs>
        <w:spacing w:after="240"/>
        <w:ind w:left="993" w:hanging="993"/>
      </w:pPr>
      <w:r w:rsidRPr="00E34329">
        <w:t xml:space="preserve">The bank charges and interest on consumer security deposits and finance charges have been allowed at actual based on audited accounts. </w:t>
      </w:r>
    </w:p>
    <w:p w:rsidR="003147B8" w:rsidRPr="00E0115C" w:rsidRDefault="00E34329" w:rsidP="00C60AD1">
      <w:pPr>
        <w:pStyle w:val="Heading3"/>
        <w:tabs>
          <w:tab w:val="clear" w:pos="720"/>
        </w:tabs>
        <w:spacing w:after="240"/>
        <w:ind w:left="993" w:hanging="993"/>
        <w:rPr>
          <w:rFonts w:asciiTheme="minorHAnsi" w:hAnsiTheme="minorHAnsi"/>
        </w:rPr>
      </w:pPr>
      <w:r w:rsidRPr="00E34329">
        <w:t>Thus, the Commission has approved finance charges amounting to Rs. 32.44 Crore as claimed by the Petitioner for FY 2013-14.</w:t>
      </w:r>
    </w:p>
    <w:p w:rsidR="003147B8" w:rsidRPr="00E0115C" w:rsidRDefault="00E34329" w:rsidP="00C60AD1">
      <w:pPr>
        <w:spacing w:before="0"/>
        <w:jc w:val="center"/>
        <w:rPr>
          <w:rFonts w:asciiTheme="minorHAnsi" w:hAnsiTheme="minorHAnsi" w:cs="Calibri"/>
          <w:b/>
          <w:sz w:val="22"/>
          <w:szCs w:val="22"/>
          <w:lang w:val="en-US"/>
        </w:rPr>
      </w:pPr>
      <w:bookmarkStart w:id="266" w:name="_Toc394490643"/>
      <w:bookmarkStart w:id="267" w:name="_Toc457604007"/>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ALLOWABLE FINANCE CHARGES FOR FY 2013-14 (Rs. Crore)</w:t>
      </w:r>
      <w:bookmarkEnd w:id="266"/>
      <w:bookmarkEnd w:id="267"/>
    </w:p>
    <w:tbl>
      <w:tblPr>
        <w:tblW w:w="6700" w:type="dxa"/>
        <w:jc w:val="center"/>
        <w:tblInd w:w="1599" w:type="dxa"/>
        <w:tblLook w:val="04A0"/>
      </w:tblPr>
      <w:tblGrid>
        <w:gridCol w:w="2640"/>
        <w:gridCol w:w="960"/>
        <w:gridCol w:w="960"/>
        <w:gridCol w:w="960"/>
        <w:gridCol w:w="1180"/>
      </w:tblGrid>
      <w:tr w:rsidR="001A4952" w:rsidRPr="00680AFE" w:rsidTr="00D67872">
        <w:trPr>
          <w:trHeight w:val="600"/>
          <w:jc w:val="center"/>
        </w:trPr>
        <w:tc>
          <w:tcPr>
            <w:tcW w:w="2640" w:type="dxa"/>
            <w:tcBorders>
              <w:top w:val="dotted" w:sz="4" w:space="0" w:color="auto"/>
              <w:left w:val="dotted" w:sz="4" w:space="0" w:color="auto"/>
              <w:bottom w:val="dotted" w:sz="4" w:space="0" w:color="auto"/>
              <w:right w:val="dotted" w:sz="4" w:space="0" w:color="auto"/>
            </w:tcBorders>
            <w:shd w:val="clear" w:color="000000" w:fill="DBE5F1"/>
            <w:hideMark/>
          </w:tcPr>
          <w:p w:rsidR="007B00DC" w:rsidRDefault="00337C98">
            <w:pPr>
              <w:spacing w:before="0" w:line="240" w:lineRule="auto"/>
              <w:jc w:val="center"/>
              <w:rPr>
                <w:rFonts w:asciiTheme="minorHAnsi" w:hAnsiTheme="minorHAnsi"/>
                <w:b/>
                <w:sz w:val="22"/>
                <w:lang w:val="en-IN" w:eastAsia="en-IN"/>
              </w:rPr>
            </w:pPr>
            <w:r w:rsidRPr="00337C98">
              <w:rPr>
                <w:rFonts w:asciiTheme="minorHAnsi" w:hAnsiTheme="minorHAnsi"/>
                <w:b/>
                <w:sz w:val="22"/>
                <w:lang w:val="en-IN" w:eastAsia="en-IN"/>
              </w:rPr>
              <w:t>Particulars</w:t>
            </w:r>
          </w:p>
        </w:tc>
        <w:tc>
          <w:tcPr>
            <w:tcW w:w="960" w:type="dxa"/>
            <w:tcBorders>
              <w:top w:val="dotted" w:sz="4" w:space="0" w:color="auto"/>
              <w:left w:val="nil"/>
              <w:bottom w:val="dotted" w:sz="4" w:space="0" w:color="auto"/>
              <w:right w:val="dotted" w:sz="4" w:space="0" w:color="auto"/>
            </w:tcBorders>
            <w:shd w:val="clear" w:color="000000" w:fill="DBE5F1"/>
            <w:hideMark/>
          </w:tcPr>
          <w:p w:rsidR="007B00DC" w:rsidRDefault="00337C98">
            <w:pPr>
              <w:spacing w:before="0" w:line="240" w:lineRule="auto"/>
              <w:jc w:val="center"/>
              <w:rPr>
                <w:rFonts w:asciiTheme="minorHAnsi" w:hAnsiTheme="minorHAnsi"/>
                <w:b/>
                <w:sz w:val="22"/>
                <w:lang w:val="en-IN" w:eastAsia="en-IN"/>
              </w:rPr>
            </w:pPr>
            <w:r w:rsidRPr="00337C98">
              <w:rPr>
                <w:rFonts w:asciiTheme="minorHAnsi" w:hAnsiTheme="minorHAnsi"/>
                <w:b/>
                <w:sz w:val="22"/>
                <w:lang w:val="en-IN" w:eastAsia="en-IN"/>
              </w:rPr>
              <w:t>Tariff Order</w:t>
            </w:r>
          </w:p>
        </w:tc>
        <w:tc>
          <w:tcPr>
            <w:tcW w:w="960" w:type="dxa"/>
            <w:tcBorders>
              <w:top w:val="dotted" w:sz="4" w:space="0" w:color="auto"/>
              <w:left w:val="nil"/>
              <w:bottom w:val="dotted" w:sz="4" w:space="0" w:color="auto"/>
              <w:right w:val="dotted" w:sz="4" w:space="0" w:color="auto"/>
            </w:tcBorders>
            <w:shd w:val="clear" w:color="000000" w:fill="DBE5F1"/>
            <w:hideMark/>
          </w:tcPr>
          <w:p w:rsidR="007B00DC" w:rsidRDefault="00337C98">
            <w:pPr>
              <w:spacing w:before="0" w:line="240" w:lineRule="auto"/>
              <w:jc w:val="center"/>
              <w:rPr>
                <w:rFonts w:asciiTheme="minorHAnsi" w:hAnsiTheme="minorHAnsi"/>
                <w:b/>
                <w:sz w:val="22"/>
                <w:lang w:val="en-IN" w:eastAsia="en-IN"/>
              </w:rPr>
            </w:pPr>
            <w:r w:rsidRPr="00337C98">
              <w:rPr>
                <w:rFonts w:asciiTheme="minorHAnsi" w:hAnsiTheme="minorHAnsi"/>
                <w:b/>
                <w:sz w:val="22"/>
                <w:lang w:val="en-IN" w:eastAsia="en-IN"/>
              </w:rPr>
              <w:t>Audited</w:t>
            </w:r>
          </w:p>
        </w:tc>
        <w:tc>
          <w:tcPr>
            <w:tcW w:w="960" w:type="dxa"/>
            <w:tcBorders>
              <w:top w:val="dotted" w:sz="4" w:space="0" w:color="auto"/>
              <w:left w:val="nil"/>
              <w:bottom w:val="dotted" w:sz="4" w:space="0" w:color="auto"/>
              <w:right w:val="dotted" w:sz="4" w:space="0" w:color="auto"/>
            </w:tcBorders>
            <w:shd w:val="clear" w:color="000000" w:fill="DBE5F1"/>
            <w:hideMark/>
          </w:tcPr>
          <w:p w:rsidR="007B00DC" w:rsidRDefault="00337C98">
            <w:pPr>
              <w:spacing w:before="0" w:line="240" w:lineRule="auto"/>
              <w:jc w:val="center"/>
              <w:rPr>
                <w:rFonts w:asciiTheme="minorHAnsi" w:hAnsiTheme="minorHAnsi"/>
                <w:b/>
                <w:sz w:val="22"/>
                <w:lang w:val="en-IN" w:eastAsia="en-IN"/>
              </w:rPr>
            </w:pPr>
            <w:r w:rsidRPr="00337C98">
              <w:rPr>
                <w:rFonts w:asciiTheme="minorHAnsi" w:hAnsiTheme="minorHAnsi"/>
                <w:b/>
                <w:sz w:val="22"/>
                <w:lang w:val="en-IN" w:eastAsia="en-IN"/>
              </w:rPr>
              <w:t>Petition</w:t>
            </w:r>
          </w:p>
        </w:tc>
        <w:tc>
          <w:tcPr>
            <w:tcW w:w="1180" w:type="dxa"/>
            <w:tcBorders>
              <w:top w:val="dotted" w:sz="4" w:space="0" w:color="auto"/>
              <w:left w:val="nil"/>
              <w:bottom w:val="dotted" w:sz="4" w:space="0" w:color="auto"/>
              <w:right w:val="dotted" w:sz="4" w:space="0" w:color="auto"/>
            </w:tcBorders>
            <w:shd w:val="clear" w:color="000000" w:fill="DBE5F1"/>
            <w:hideMark/>
          </w:tcPr>
          <w:p w:rsidR="007B00DC" w:rsidRDefault="00337C98">
            <w:pPr>
              <w:spacing w:before="0" w:line="240" w:lineRule="auto"/>
              <w:jc w:val="center"/>
              <w:rPr>
                <w:rFonts w:asciiTheme="minorHAnsi" w:hAnsiTheme="minorHAnsi"/>
                <w:b/>
                <w:sz w:val="22"/>
                <w:lang w:val="en-IN" w:eastAsia="en-IN"/>
              </w:rPr>
            </w:pPr>
            <w:r w:rsidRPr="00337C98">
              <w:rPr>
                <w:rFonts w:asciiTheme="minorHAnsi" w:hAnsiTheme="minorHAnsi"/>
                <w:b/>
                <w:sz w:val="22"/>
                <w:lang w:val="en-IN" w:eastAsia="en-IN"/>
              </w:rPr>
              <w:t>Approved upon Truing Up</w:t>
            </w:r>
          </w:p>
        </w:tc>
      </w:tr>
      <w:tr w:rsidR="007D7B34" w:rsidRPr="00680AFE" w:rsidTr="00680AFE">
        <w:trPr>
          <w:trHeight w:val="300"/>
          <w:jc w:val="center"/>
        </w:trPr>
        <w:tc>
          <w:tcPr>
            <w:tcW w:w="2640" w:type="dxa"/>
            <w:tcBorders>
              <w:top w:val="nil"/>
              <w:left w:val="dotted" w:sz="4" w:space="0" w:color="auto"/>
              <w:bottom w:val="dotted" w:sz="4" w:space="0" w:color="auto"/>
              <w:right w:val="dotted" w:sz="4" w:space="0" w:color="auto"/>
            </w:tcBorders>
            <w:shd w:val="clear" w:color="auto" w:fill="auto"/>
            <w:noWrap/>
            <w:hideMark/>
          </w:tcPr>
          <w:p w:rsidR="00337C98" w:rsidRPr="00337C98" w:rsidRDefault="00337C98" w:rsidP="00337C98">
            <w:pPr>
              <w:spacing w:before="0" w:line="240" w:lineRule="auto"/>
              <w:rPr>
                <w:rFonts w:asciiTheme="minorHAnsi" w:hAnsiTheme="minorHAnsi"/>
                <w:sz w:val="22"/>
                <w:lang w:val="en-IN" w:eastAsia="en-IN"/>
              </w:rPr>
            </w:pPr>
            <w:r w:rsidRPr="00337C98">
              <w:rPr>
                <w:rFonts w:asciiTheme="minorHAnsi" w:hAnsiTheme="minorHAnsi"/>
                <w:sz w:val="22"/>
                <w:lang w:val="en-IN" w:eastAsia="en-IN"/>
              </w:rPr>
              <w:t>Interest to Consumers</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24.41 </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32.26 </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32.26 </w:t>
            </w:r>
          </w:p>
        </w:tc>
        <w:tc>
          <w:tcPr>
            <w:tcW w:w="118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32.26 </w:t>
            </w:r>
          </w:p>
        </w:tc>
      </w:tr>
      <w:tr w:rsidR="007D7B34" w:rsidRPr="00680AFE" w:rsidTr="00680AFE">
        <w:trPr>
          <w:trHeight w:val="300"/>
          <w:jc w:val="center"/>
        </w:trPr>
        <w:tc>
          <w:tcPr>
            <w:tcW w:w="2640" w:type="dxa"/>
            <w:tcBorders>
              <w:top w:val="nil"/>
              <w:left w:val="dotted" w:sz="4" w:space="0" w:color="auto"/>
              <w:bottom w:val="dotted" w:sz="4" w:space="0" w:color="auto"/>
              <w:right w:val="dotted" w:sz="4" w:space="0" w:color="auto"/>
            </w:tcBorders>
            <w:shd w:val="clear" w:color="auto" w:fill="auto"/>
            <w:noWrap/>
            <w:hideMark/>
          </w:tcPr>
          <w:p w:rsidR="00337C98" w:rsidRPr="00337C98" w:rsidRDefault="00337C98" w:rsidP="00337C98">
            <w:pPr>
              <w:spacing w:before="0" w:line="240" w:lineRule="auto"/>
              <w:rPr>
                <w:rFonts w:asciiTheme="minorHAnsi" w:hAnsiTheme="minorHAnsi"/>
                <w:sz w:val="22"/>
                <w:lang w:val="en-IN" w:eastAsia="en-IN"/>
              </w:rPr>
            </w:pPr>
            <w:r w:rsidRPr="00337C98">
              <w:rPr>
                <w:rFonts w:asciiTheme="minorHAnsi" w:hAnsiTheme="minorHAnsi"/>
                <w:sz w:val="22"/>
                <w:lang w:val="en-IN" w:eastAsia="en-IN"/>
              </w:rPr>
              <w:t>Bank Charges</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0.07 </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0.18 </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0.18 </w:t>
            </w:r>
          </w:p>
        </w:tc>
        <w:tc>
          <w:tcPr>
            <w:tcW w:w="118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0.18 </w:t>
            </w:r>
          </w:p>
        </w:tc>
      </w:tr>
      <w:tr w:rsidR="007D7B34" w:rsidRPr="00680AFE" w:rsidTr="00680AFE">
        <w:trPr>
          <w:trHeight w:val="300"/>
          <w:jc w:val="center"/>
        </w:trPr>
        <w:tc>
          <w:tcPr>
            <w:tcW w:w="2640" w:type="dxa"/>
            <w:tcBorders>
              <w:top w:val="nil"/>
              <w:left w:val="dotted" w:sz="4" w:space="0" w:color="auto"/>
              <w:bottom w:val="dotted" w:sz="4" w:space="0" w:color="auto"/>
              <w:right w:val="dotted" w:sz="4" w:space="0" w:color="auto"/>
            </w:tcBorders>
            <w:shd w:val="clear" w:color="auto" w:fill="auto"/>
            <w:noWrap/>
            <w:hideMark/>
          </w:tcPr>
          <w:p w:rsidR="00337C98" w:rsidRPr="00337C98" w:rsidRDefault="00337C98" w:rsidP="00337C98">
            <w:pPr>
              <w:spacing w:before="0" w:line="240" w:lineRule="auto"/>
              <w:rPr>
                <w:rFonts w:asciiTheme="minorHAnsi" w:hAnsiTheme="minorHAnsi"/>
                <w:sz w:val="22"/>
                <w:lang w:val="en-IN" w:eastAsia="en-IN"/>
              </w:rPr>
            </w:pPr>
            <w:r w:rsidRPr="00337C98">
              <w:rPr>
                <w:rFonts w:asciiTheme="minorHAnsi" w:hAnsiTheme="minorHAnsi"/>
                <w:sz w:val="22"/>
                <w:lang w:val="en-IN" w:eastAsia="en-IN"/>
              </w:rPr>
              <w:t>Discount to Consumers</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   </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   </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   </w:t>
            </w:r>
          </w:p>
        </w:tc>
        <w:tc>
          <w:tcPr>
            <w:tcW w:w="118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   </w:t>
            </w:r>
          </w:p>
        </w:tc>
      </w:tr>
      <w:tr w:rsidR="007D7B34" w:rsidRPr="00680AFE" w:rsidTr="00680AFE">
        <w:trPr>
          <w:trHeight w:val="300"/>
          <w:jc w:val="center"/>
        </w:trPr>
        <w:tc>
          <w:tcPr>
            <w:tcW w:w="2640" w:type="dxa"/>
            <w:tcBorders>
              <w:top w:val="nil"/>
              <w:left w:val="dotted" w:sz="4" w:space="0" w:color="auto"/>
              <w:bottom w:val="dotted" w:sz="4" w:space="0" w:color="auto"/>
              <w:right w:val="dotted" w:sz="4" w:space="0" w:color="auto"/>
            </w:tcBorders>
            <w:shd w:val="clear" w:color="auto" w:fill="auto"/>
            <w:noWrap/>
            <w:hideMark/>
          </w:tcPr>
          <w:p w:rsidR="00337C98" w:rsidRPr="00337C98" w:rsidRDefault="00337C98" w:rsidP="00337C98">
            <w:pPr>
              <w:spacing w:before="0" w:line="240" w:lineRule="auto"/>
              <w:rPr>
                <w:rFonts w:asciiTheme="minorHAnsi" w:hAnsiTheme="minorHAnsi"/>
                <w:sz w:val="22"/>
                <w:lang w:val="en-IN" w:eastAsia="en-IN"/>
              </w:rPr>
            </w:pPr>
            <w:r w:rsidRPr="00337C98">
              <w:rPr>
                <w:rFonts w:asciiTheme="minorHAnsi" w:hAnsiTheme="minorHAnsi"/>
                <w:sz w:val="22"/>
                <w:lang w:val="en-IN" w:eastAsia="en-IN"/>
              </w:rPr>
              <w:t>Finance Charges</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   </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   </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   </w:t>
            </w:r>
          </w:p>
        </w:tc>
        <w:tc>
          <w:tcPr>
            <w:tcW w:w="118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   </w:t>
            </w:r>
          </w:p>
        </w:tc>
      </w:tr>
      <w:tr w:rsidR="007D7B34" w:rsidRPr="00680AFE" w:rsidTr="00680AFE">
        <w:trPr>
          <w:trHeight w:val="300"/>
          <w:jc w:val="center"/>
        </w:trPr>
        <w:tc>
          <w:tcPr>
            <w:tcW w:w="2640" w:type="dxa"/>
            <w:tcBorders>
              <w:top w:val="nil"/>
              <w:left w:val="dotted" w:sz="4" w:space="0" w:color="auto"/>
              <w:bottom w:val="dotted" w:sz="4" w:space="0" w:color="auto"/>
              <w:right w:val="dotted" w:sz="4" w:space="0" w:color="auto"/>
            </w:tcBorders>
            <w:shd w:val="clear" w:color="auto" w:fill="auto"/>
            <w:noWrap/>
            <w:hideMark/>
          </w:tcPr>
          <w:p w:rsidR="00337C98" w:rsidRPr="00337C98" w:rsidRDefault="00337C98" w:rsidP="00337C98">
            <w:pPr>
              <w:spacing w:before="0" w:line="240" w:lineRule="auto"/>
              <w:rPr>
                <w:rFonts w:asciiTheme="minorHAnsi" w:hAnsiTheme="minorHAnsi"/>
                <w:sz w:val="22"/>
                <w:lang w:val="en-IN" w:eastAsia="en-IN"/>
              </w:rPr>
            </w:pPr>
            <w:r w:rsidRPr="00337C98">
              <w:rPr>
                <w:rFonts w:asciiTheme="minorHAnsi" w:hAnsiTheme="minorHAnsi"/>
                <w:sz w:val="22"/>
                <w:lang w:val="en-IN" w:eastAsia="en-IN"/>
              </w:rPr>
              <w:t>Total Finance Charges</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24.48 </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32.44 </w:t>
            </w:r>
          </w:p>
        </w:tc>
        <w:tc>
          <w:tcPr>
            <w:tcW w:w="96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32.44 </w:t>
            </w:r>
          </w:p>
        </w:tc>
        <w:tc>
          <w:tcPr>
            <w:tcW w:w="118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IN" w:eastAsia="en-IN"/>
              </w:rPr>
            </w:pPr>
            <w:r w:rsidRPr="00337C98">
              <w:rPr>
                <w:rFonts w:asciiTheme="minorHAnsi" w:hAnsiTheme="minorHAnsi"/>
                <w:sz w:val="22"/>
              </w:rPr>
              <w:t xml:space="preserve">32.44 </w:t>
            </w:r>
          </w:p>
        </w:tc>
      </w:tr>
    </w:tbl>
    <w:p w:rsidR="00603835" w:rsidRDefault="00603835">
      <w:pPr>
        <w:spacing w:before="0" w:line="240" w:lineRule="auto"/>
        <w:jc w:val="left"/>
        <w:rPr>
          <w:rFonts w:asciiTheme="minorHAnsi" w:hAnsiTheme="minorHAnsi"/>
          <w:b/>
          <w:lang w:val="en-US"/>
        </w:rPr>
      </w:pPr>
    </w:p>
    <w:p w:rsidR="00FE4615" w:rsidRPr="00D76C64" w:rsidRDefault="00E34329" w:rsidP="005607D3">
      <w:pPr>
        <w:spacing w:before="0" w:line="240" w:lineRule="auto"/>
        <w:jc w:val="left"/>
        <w:rPr>
          <w:b/>
          <w:lang w:val="en-US"/>
        </w:rPr>
      </w:pPr>
      <w:r w:rsidRPr="00E34329">
        <w:rPr>
          <w:b/>
          <w:lang w:val="en-US"/>
        </w:rPr>
        <w:t>Interest on Working Capital:</w:t>
      </w:r>
    </w:p>
    <w:p w:rsidR="003147B8" w:rsidRPr="00D76C64" w:rsidRDefault="00E34329" w:rsidP="00C60AD1">
      <w:pPr>
        <w:pStyle w:val="Heading3"/>
        <w:tabs>
          <w:tab w:val="clear" w:pos="720"/>
        </w:tabs>
        <w:spacing w:after="240"/>
        <w:ind w:left="993" w:hanging="993"/>
      </w:pPr>
      <w:r w:rsidRPr="00E34329">
        <w:t>The Petitioner submitted that the Tariff Regulations provide for normative interest on working capital based on the principles outlined in the Distribution Tariff Regulations, 2006. The Petitioner has claimed the normative interest on working capital as Rs. 72.56 Crore against the approved expenses of Rs. 96.38 Crore.</w:t>
      </w:r>
    </w:p>
    <w:p w:rsidR="003147B8" w:rsidRPr="00D76C64" w:rsidRDefault="00E34329" w:rsidP="00C60AD1">
      <w:pPr>
        <w:pStyle w:val="Heading3"/>
        <w:tabs>
          <w:tab w:val="clear" w:pos="720"/>
        </w:tabs>
        <w:spacing w:after="240"/>
        <w:ind w:left="993" w:hanging="993"/>
      </w:pPr>
      <w:r w:rsidRPr="00E34329">
        <w:t>Regulation 4.8(2) of the Distribution Tariff Regulations, 2006 specifies as follows:</w:t>
      </w:r>
    </w:p>
    <w:p w:rsidR="003147B8" w:rsidRPr="00D76C64" w:rsidRDefault="00E34329" w:rsidP="00C60AD1">
      <w:pPr>
        <w:spacing w:before="0" w:after="200"/>
        <w:ind w:left="1440"/>
        <w:rPr>
          <w:bCs/>
          <w:i/>
          <w:szCs w:val="22"/>
        </w:rPr>
      </w:pPr>
      <w:r w:rsidRPr="00E34329">
        <w:rPr>
          <w:bCs/>
          <w:i/>
          <w:szCs w:val="22"/>
        </w:rPr>
        <w:t>“2. Interest on working capital</w:t>
      </w:r>
    </w:p>
    <w:p w:rsidR="003147B8" w:rsidRPr="00D76C64" w:rsidRDefault="00E34329" w:rsidP="00C60AD1">
      <w:pPr>
        <w:spacing w:before="0" w:after="200"/>
        <w:ind w:left="1440"/>
        <w:rPr>
          <w:bCs/>
          <w:i/>
          <w:szCs w:val="22"/>
        </w:rPr>
      </w:pPr>
      <w:r w:rsidRPr="00E34329">
        <w:rPr>
          <w:bCs/>
          <w:i/>
          <w:szCs w:val="22"/>
        </w:rPr>
        <w:t>(a) Working capital shall be worked out to cover</w:t>
      </w:r>
    </w:p>
    <w:p w:rsidR="003147B8" w:rsidRPr="00D76C64" w:rsidRDefault="00E34329" w:rsidP="00C60AD1">
      <w:pPr>
        <w:spacing w:before="0" w:after="200"/>
        <w:ind w:left="2160"/>
        <w:rPr>
          <w:bCs/>
          <w:i/>
          <w:szCs w:val="22"/>
        </w:rPr>
      </w:pPr>
      <w:r w:rsidRPr="00E34329">
        <w:rPr>
          <w:bCs/>
          <w:i/>
          <w:szCs w:val="22"/>
        </w:rPr>
        <w:t>(i) Operation and Maintenance expenses, which includes Employee costs, R&amp;M expenses and A&amp;G expenses, for one month;</w:t>
      </w:r>
    </w:p>
    <w:p w:rsidR="003147B8" w:rsidRPr="00D76C64" w:rsidRDefault="00E34329" w:rsidP="00C60AD1">
      <w:pPr>
        <w:spacing w:before="0" w:after="200"/>
        <w:ind w:left="2160"/>
        <w:rPr>
          <w:bCs/>
          <w:i/>
          <w:szCs w:val="22"/>
        </w:rPr>
      </w:pPr>
      <w:r w:rsidRPr="00E34329">
        <w:rPr>
          <w:bCs/>
          <w:i/>
          <w:szCs w:val="22"/>
        </w:rPr>
        <w:t>(ii) One-twelfth of the sum of the book value of stores, materials and supplies at the end of each month of such financial year.</w:t>
      </w:r>
    </w:p>
    <w:p w:rsidR="003147B8" w:rsidRPr="00D76C64" w:rsidRDefault="00E34329" w:rsidP="00C60AD1">
      <w:pPr>
        <w:spacing w:before="0" w:after="200"/>
        <w:ind w:left="2160"/>
        <w:rPr>
          <w:bCs/>
          <w:i/>
          <w:szCs w:val="22"/>
        </w:rPr>
      </w:pPr>
      <w:r w:rsidRPr="00E34329">
        <w:rPr>
          <w:bCs/>
          <w:i/>
          <w:szCs w:val="22"/>
        </w:rPr>
        <w:lastRenderedPageBreak/>
        <w:t>(iii) Receivables equivalent to 60 days average billing of consumers less security deposits by the consumers minus amount, if any, held as security deposits under clause (b) of sub-section (1) of Section 47 of the Act from consumers and Distribution System Users.</w:t>
      </w:r>
    </w:p>
    <w:p w:rsidR="003147B8" w:rsidRPr="00D76C64" w:rsidRDefault="00E34329" w:rsidP="00C60AD1">
      <w:pPr>
        <w:spacing w:before="0" w:after="200"/>
        <w:ind w:left="1440"/>
        <w:rPr>
          <w:bCs/>
          <w:i/>
          <w:szCs w:val="22"/>
        </w:rPr>
      </w:pPr>
      <w:r w:rsidRPr="00E34329">
        <w:rPr>
          <w:i/>
          <w:szCs w:val="22"/>
          <w:lang w:val="en-US"/>
        </w:rPr>
        <w:t>(</w:t>
      </w:r>
      <w:r w:rsidRPr="00E34329">
        <w:rPr>
          <w:bCs/>
          <w:i/>
          <w:szCs w:val="22"/>
        </w:rPr>
        <w:t>b) Rate of interest on working capital shall be the Bank Rate as specified by Reserve Bank of India for the relevant year plus a margin as decided by the Commission.”</w:t>
      </w:r>
    </w:p>
    <w:p w:rsidR="003147B8" w:rsidRPr="00D76C64" w:rsidRDefault="00E34329" w:rsidP="00C60AD1">
      <w:pPr>
        <w:pStyle w:val="Heading3"/>
        <w:tabs>
          <w:tab w:val="clear" w:pos="720"/>
        </w:tabs>
        <w:spacing w:after="240"/>
        <w:ind w:left="993" w:hanging="993"/>
      </w:pPr>
      <w:r w:rsidRPr="00E34329">
        <w:t xml:space="preserve">Based on the methodology specified in the above Regulations, the Commission in its Tariff Order for FY 2013-14 had allowed normative interest on working capital of Rs. 96.38 Crore. Following the similar approach and in accordance with the Regulations, the Commission in this Order has assessed the working capital and interest thereon based on the trued up ARR of the Petitioner. </w:t>
      </w:r>
    </w:p>
    <w:p w:rsidR="00AF4644" w:rsidRPr="00D76C64" w:rsidRDefault="00E34329" w:rsidP="00C60AD1">
      <w:pPr>
        <w:pStyle w:val="Heading3"/>
        <w:tabs>
          <w:tab w:val="clear" w:pos="720"/>
        </w:tabs>
        <w:spacing w:after="240"/>
        <w:ind w:left="993" w:hanging="993"/>
      </w:pPr>
      <w:r w:rsidRPr="00E34329">
        <w:t>In reply to the query raised by the Commission regarding exorbitantly high interest on working capital of Rs. 1,166.88 Crore as per audited accounts against approved interest on working capital of Rs. 96.38 Crore in the Tariff Order for FY 2013-14, the Petitioner submitted that it has claimed the interest on working capital as per the normative methodology prescribed by the Tariff Regulations and adopted by the Commission’s approach in the previous True-up and tariff orders without imposing any additional burden on the consumers.</w:t>
      </w:r>
    </w:p>
    <w:p w:rsidR="003147B8" w:rsidRPr="00680AFE" w:rsidRDefault="00E34329" w:rsidP="00C60AD1">
      <w:pPr>
        <w:pStyle w:val="Heading3"/>
        <w:tabs>
          <w:tab w:val="clear" w:pos="720"/>
        </w:tabs>
        <w:spacing w:after="240"/>
        <w:ind w:left="993" w:hanging="993"/>
        <w:rPr>
          <w:rFonts w:asciiTheme="minorHAnsi" w:hAnsiTheme="minorHAnsi"/>
        </w:rPr>
      </w:pPr>
      <w:r w:rsidRPr="00E34329">
        <w:t>The summary of the interest on working capital approved by the Commission in the Tariff Order for FY 2013-14, claimed by the Petitioner and that approved by the Commission in the present Truing up Order is shown in the Table below:</w:t>
      </w:r>
    </w:p>
    <w:p w:rsidR="003147B8" w:rsidRPr="00E0115C" w:rsidRDefault="00E34329" w:rsidP="00C60AD1">
      <w:pPr>
        <w:spacing w:before="0"/>
        <w:jc w:val="center"/>
        <w:rPr>
          <w:rFonts w:asciiTheme="minorHAnsi" w:hAnsiTheme="minorHAnsi" w:cs="Calibri"/>
          <w:b/>
          <w:sz w:val="22"/>
          <w:szCs w:val="22"/>
          <w:lang w:val="en-US"/>
        </w:rPr>
      </w:pPr>
      <w:bookmarkStart w:id="268" w:name="_Toc394490644"/>
      <w:bookmarkStart w:id="269" w:name="_Toc457604008"/>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16</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INTEREST ON WORKING CAPITAL FOR FY 2013-14 (Rs. Crore)</w:t>
      </w:r>
      <w:bookmarkEnd w:id="268"/>
      <w:bookmarkEnd w:id="269"/>
    </w:p>
    <w:tbl>
      <w:tblPr>
        <w:tblW w:w="8782" w:type="dxa"/>
        <w:tblInd w:w="103" w:type="dxa"/>
        <w:tblLayout w:type="fixed"/>
        <w:tblLook w:val="04A0"/>
      </w:tblPr>
      <w:tblGrid>
        <w:gridCol w:w="4400"/>
        <w:gridCol w:w="992"/>
        <w:gridCol w:w="992"/>
        <w:gridCol w:w="1008"/>
        <w:gridCol w:w="1390"/>
      </w:tblGrid>
      <w:tr w:rsidR="00D861ED" w:rsidRPr="00E0115C" w:rsidTr="00D76C64">
        <w:trPr>
          <w:trHeight w:val="300"/>
          <w:tblHeader/>
        </w:trPr>
        <w:tc>
          <w:tcPr>
            <w:tcW w:w="4400" w:type="dxa"/>
            <w:vMerge w:val="restart"/>
            <w:tcBorders>
              <w:top w:val="dotted" w:sz="4" w:space="0" w:color="auto"/>
              <w:left w:val="dotted" w:sz="4" w:space="0" w:color="auto"/>
              <w:bottom w:val="dotted" w:sz="4" w:space="0" w:color="auto"/>
              <w:right w:val="dotted" w:sz="4" w:space="0" w:color="auto"/>
            </w:tcBorders>
            <w:shd w:val="clear" w:color="000000" w:fill="DBE5F1"/>
            <w:noWrap/>
            <w:hideMark/>
          </w:tcPr>
          <w:p w:rsidR="00D861ED" w:rsidRPr="00E0115C" w:rsidRDefault="00E34329" w:rsidP="00D76C64">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Particulars</w:t>
            </w:r>
          </w:p>
        </w:tc>
        <w:tc>
          <w:tcPr>
            <w:tcW w:w="4382" w:type="dxa"/>
            <w:gridSpan w:val="4"/>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FY 2013-14</w:t>
            </w:r>
          </w:p>
        </w:tc>
      </w:tr>
      <w:tr w:rsidR="005A65C5" w:rsidRPr="00E0115C" w:rsidTr="00D76C64">
        <w:trPr>
          <w:trHeight w:val="600"/>
          <w:tblHeader/>
        </w:trPr>
        <w:tc>
          <w:tcPr>
            <w:tcW w:w="4400" w:type="dxa"/>
            <w:vMerge/>
            <w:tcBorders>
              <w:top w:val="dotted" w:sz="4" w:space="0" w:color="auto"/>
              <w:left w:val="dotted" w:sz="4" w:space="0" w:color="auto"/>
              <w:bottom w:val="dotted" w:sz="4" w:space="0" w:color="auto"/>
              <w:right w:val="dotted" w:sz="4" w:space="0" w:color="auto"/>
            </w:tcBorders>
            <w:hideMark/>
          </w:tcPr>
          <w:p w:rsidR="00D5771F" w:rsidRDefault="00D5771F">
            <w:pPr>
              <w:spacing w:before="0" w:line="240" w:lineRule="auto"/>
              <w:jc w:val="center"/>
              <w:rPr>
                <w:rFonts w:asciiTheme="minorHAnsi" w:hAnsiTheme="minorHAnsi"/>
                <w:b/>
                <w:sz w:val="22"/>
                <w:szCs w:val="22"/>
                <w:lang w:val="en-IN" w:eastAsia="en-IN"/>
              </w:rPr>
            </w:pPr>
          </w:p>
        </w:tc>
        <w:tc>
          <w:tcPr>
            <w:tcW w:w="992" w:type="dxa"/>
            <w:tcBorders>
              <w:top w:val="nil"/>
              <w:left w:val="nil"/>
              <w:bottom w:val="dotted" w:sz="4" w:space="0" w:color="auto"/>
              <w:right w:val="dotted" w:sz="4" w:space="0" w:color="auto"/>
            </w:tcBorders>
            <w:shd w:val="clear" w:color="000000" w:fill="DBE5F1"/>
            <w:hideMark/>
          </w:tcPr>
          <w:p w:rsidR="002136A7" w:rsidRPr="00E0115C" w:rsidRDefault="00E34329" w:rsidP="00D76C64">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Tariff Order</w:t>
            </w:r>
          </w:p>
        </w:tc>
        <w:tc>
          <w:tcPr>
            <w:tcW w:w="992" w:type="dxa"/>
            <w:tcBorders>
              <w:top w:val="nil"/>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Audited</w:t>
            </w:r>
          </w:p>
        </w:tc>
        <w:tc>
          <w:tcPr>
            <w:tcW w:w="1008" w:type="dxa"/>
            <w:tcBorders>
              <w:top w:val="nil"/>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Petition</w:t>
            </w:r>
          </w:p>
        </w:tc>
        <w:tc>
          <w:tcPr>
            <w:tcW w:w="1390" w:type="dxa"/>
            <w:tcBorders>
              <w:top w:val="nil"/>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 xml:space="preserve">Approved upon Truing </w:t>
            </w:r>
            <w:r w:rsidR="00C2017B">
              <w:rPr>
                <w:rFonts w:asciiTheme="minorHAnsi" w:hAnsiTheme="minorHAnsi"/>
                <w:b/>
                <w:sz w:val="22"/>
                <w:szCs w:val="22"/>
                <w:lang w:val="en-IN" w:eastAsia="en-IN"/>
              </w:rPr>
              <w:t>u</w:t>
            </w:r>
            <w:r w:rsidRPr="00E34329">
              <w:rPr>
                <w:rFonts w:asciiTheme="minorHAnsi" w:hAnsiTheme="minorHAnsi"/>
                <w:b/>
                <w:sz w:val="22"/>
                <w:szCs w:val="22"/>
                <w:lang w:val="en-IN" w:eastAsia="en-IN"/>
              </w:rPr>
              <w:t>p</w:t>
            </w:r>
          </w:p>
        </w:tc>
      </w:tr>
      <w:tr w:rsidR="005A65C5" w:rsidRPr="00E0115C" w:rsidTr="005F2A0F">
        <w:trPr>
          <w:trHeight w:val="300"/>
        </w:trPr>
        <w:tc>
          <w:tcPr>
            <w:tcW w:w="4400" w:type="dxa"/>
            <w:tcBorders>
              <w:top w:val="nil"/>
              <w:left w:val="dotted" w:sz="4" w:space="0" w:color="auto"/>
              <w:bottom w:val="dotted" w:sz="4" w:space="0" w:color="auto"/>
              <w:right w:val="dotted" w:sz="4" w:space="0" w:color="auto"/>
            </w:tcBorders>
            <w:shd w:val="clear" w:color="auto" w:fill="auto"/>
            <w:noWrap/>
            <w:hideMark/>
          </w:tcPr>
          <w:p w:rsidR="00554ED5" w:rsidRPr="00E0115C" w:rsidRDefault="00E34329" w:rsidP="00520F84">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One month's O &amp; M Expenses</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45.71</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008"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56.78</w:t>
            </w:r>
          </w:p>
        </w:tc>
        <w:tc>
          <w:tcPr>
            <w:tcW w:w="1390"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41.08</w:t>
            </w:r>
          </w:p>
        </w:tc>
      </w:tr>
      <w:tr w:rsidR="005A65C5" w:rsidRPr="00E0115C" w:rsidTr="005F2A0F">
        <w:trPr>
          <w:trHeight w:val="900"/>
        </w:trPr>
        <w:tc>
          <w:tcPr>
            <w:tcW w:w="4400" w:type="dxa"/>
            <w:tcBorders>
              <w:top w:val="nil"/>
              <w:left w:val="dotted" w:sz="4" w:space="0" w:color="auto"/>
              <w:bottom w:val="dotted" w:sz="4" w:space="0" w:color="auto"/>
              <w:right w:val="dotted" w:sz="4" w:space="0" w:color="auto"/>
            </w:tcBorders>
            <w:shd w:val="clear" w:color="auto" w:fill="auto"/>
            <w:hideMark/>
          </w:tcPr>
          <w:p w:rsidR="00554ED5" w:rsidRPr="00E0115C" w:rsidRDefault="00E34329" w:rsidP="00520F84">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One-twelfth of the sum of the book value of materials in stores at the end of each month of such financial year.</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8.45</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008"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61.16</w:t>
            </w:r>
          </w:p>
        </w:tc>
        <w:tc>
          <w:tcPr>
            <w:tcW w:w="1390"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61.16</w:t>
            </w:r>
          </w:p>
        </w:tc>
      </w:tr>
      <w:tr w:rsidR="005A65C5" w:rsidRPr="00E0115C" w:rsidTr="005F2A0F">
        <w:trPr>
          <w:trHeight w:val="600"/>
        </w:trPr>
        <w:tc>
          <w:tcPr>
            <w:tcW w:w="4400" w:type="dxa"/>
            <w:tcBorders>
              <w:top w:val="nil"/>
              <w:left w:val="dotted" w:sz="4" w:space="0" w:color="auto"/>
              <w:bottom w:val="dotted" w:sz="4" w:space="0" w:color="auto"/>
              <w:right w:val="dotted" w:sz="4" w:space="0" w:color="auto"/>
            </w:tcBorders>
            <w:shd w:val="clear" w:color="auto" w:fill="auto"/>
            <w:hideMark/>
          </w:tcPr>
          <w:p w:rsidR="00554ED5" w:rsidRPr="00E0115C" w:rsidRDefault="00E34329" w:rsidP="00520F84">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lastRenderedPageBreak/>
              <w:t>Receivables equivalent to 60 days average billing on consumers</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1031.64</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008"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812.65</w:t>
            </w:r>
          </w:p>
        </w:tc>
        <w:tc>
          <w:tcPr>
            <w:tcW w:w="1390"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812.65</w:t>
            </w:r>
          </w:p>
        </w:tc>
      </w:tr>
      <w:tr w:rsidR="005A65C5" w:rsidRPr="00E0115C" w:rsidTr="005F2A0F">
        <w:trPr>
          <w:trHeight w:val="300"/>
        </w:trPr>
        <w:tc>
          <w:tcPr>
            <w:tcW w:w="4400" w:type="dxa"/>
            <w:tcBorders>
              <w:top w:val="nil"/>
              <w:left w:val="dotted" w:sz="4" w:space="0" w:color="auto"/>
              <w:bottom w:val="dotted" w:sz="4" w:space="0" w:color="auto"/>
              <w:right w:val="dotted" w:sz="4" w:space="0" w:color="auto"/>
            </w:tcBorders>
            <w:shd w:val="clear" w:color="auto" w:fill="auto"/>
            <w:noWrap/>
            <w:hideMark/>
          </w:tcPr>
          <w:p w:rsidR="00554ED5" w:rsidRPr="00E0115C" w:rsidRDefault="00E34329" w:rsidP="00520F84">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Grand Total</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lang w:val="en-IN" w:eastAsia="en-IN"/>
              </w:rPr>
              <w:t>1085.80</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lang w:val="en-IN" w:eastAsia="en-IN"/>
              </w:rPr>
              <w:t> </w:t>
            </w:r>
          </w:p>
        </w:tc>
        <w:tc>
          <w:tcPr>
            <w:tcW w:w="1008"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lang w:val="en-IN" w:eastAsia="en-IN"/>
              </w:rPr>
              <w:t>930.59</w:t>
            </w:r>
          </w:p>
        </w:tc>
        <w:tc>
          <w:tcPr>
            <w:tcW w:w="1390"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lang w:val="en-IN" w:eastAsia="en-IN"/>
              </w:rPr>
              <w:t>914.90</w:t>
            </w:r>
          </w:p>
        </w:tc>
      </w:tr>
      <w:tr w:rsidR="005A65C5" w:rsidRPr="00E0115C" w:rsidTr="005F2A0F">
        <w:trPr>
          <w:trHeight w:val="1084"/>
        </w:trPr>
        <w:tc>
          <w:tcPr>
            <w:tcW w:w="4400" w:type="dxa"/>
            <w:tcBorders>
              <w:top w:val="nil"/>
              <w:left w:val="dotted" w:sz="4" w:space="0" w:color="auto"/>
              <w:bottom w:val="dotted" w:sz="4" w:space="0" w:color="auto"/>
              <w:right w:val="dotted" w:sz="4" w:space="0" w:color="auto"/>
            </w:tcBorders>
            <w:shd w:val="clear" w:color="auto" w:fill="auto"/>
            <w:hideMark/>
          </w:tcPr>
          <w:p w:rsidR="00554ED5" w:rsidRPr="00E0115C" w:rsidRDefault="00E34329" w:rsidP="00520F84">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Less: Total Security Deposits by the Consumers reduced by Security Deposits under section 47(1)(b) of the Electricity Act 2003</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314.78</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008"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350.12</w:t>
            </w:r>
          </w:p>
        </w:tc>
        <w:tc>
          <w:tcPr>
            <w:tcW w:w="1390"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350.12</w:t>
            </w:r>
          </w:p>
        </w:tc>
      </w:tr>
      <w:tr w:rsidR="005A65C5" w:rsidRPr="00E0115C" w:rsidTr="005F2A0F">
        <w:trPr>
          <w:trHeight w:val="300"/>
        </w:trPr>
        <w:tc>
          <w:tcPr>
            <w:tcW w:w="4400" w:type="dxa"/>
            <w:tcBorders>
              <w:top w:val="nil"/>
              <w:left w:val="dotted" w:sz="4" w:space="0" w:color="auto"/>
              <w:bottom w:val="dotted" w:sz="4" w:space="0" w:color="auto"/>
              <w:right w:val="dotted" w:sz="4" w:space="0" w:color="auto"/>
            </w:tcBorders>
            <w:shd w:val="clear" w:color="auto" w:fill="auto"/>
            <w:hideMark/>
          </w:tcPr>
          <w:p w:rsidR="00554ED5" w:rsidRPr="00E0115C" w:rsidRDefault="00E34329" w:rsidP="00520F84">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Net Working Capital</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771.03</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 </w:t>
            </w:r>
          </w:p>
        </w:tc>
        <w:tc>
          <w:tcPr>
            <w:tcW w:w="1008"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580.47</w:t>
            </w:r>
          </w:p>
        </w:tc>
        <w:tc>
          <w:tcPr>
            <w:tcW w:w="1390"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564.78</w:t>
            </w:r>
          </w:p>
        </w:tc>
      </w:tr>
      <w:tr w:rsidR="005A65C5" w:rsidRPr="00E0115C" w:rsidTr="005F2A0F">
        <w:trPr>
          <w:trHeight w:val="300"/>
        </w:trPr>
        <w:tc>
          <w:tcPr>
            <w:tcW w:w="4400" w:type="dxa"/>
            <w:tcBorders>
              <w:top w:val="nil"/>
              <w:left w:val="dotted" w:sz="4" w:space="0" w:color="auto"/>
              <w:bottom w:val="dotted" w:sz="4" w:space="0" w:color="auto"/>
              <w:right w:val="dotted" w:sz="4" w:space="0" w:color="auto"/>
            </w:tcBorders>
            <w:shd w:val="clear" w:color="auto" w:fill="auto"/>
            <w:noWrap/>
            <w:hideMark/>
          </w:tcPr>
          <w:p w:rsidR="00554ED5" w:rsidRPr="00E0115C" w:rsidRDefault="00E34329" w:rsidP="00520F84">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Rate of Interest on Working Capital</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12.50%</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008"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12.50%</w:t>
            </w:r>
          </w:p>
        </w:tc>
        <w:tc>
          <w:tcPr>
            <w:tcW w:w="1390"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12.50%</w:t>
            </w:r>
          </w:p>
        </w:tc>
      </w:tr>
      <w:tr w:rsidR="005A65C5" w:rsidRPr="00E0115C" w:rsidTr="005F2A0F">
        <w:trPr>
          <w:trHeight w:val="300"/>
        </w:trPr>
        <w:tc>
          <w:tcPr>
            <w:tcW w:w="4400" w:type="dxa"/>
            <w:tcBorders>
              <w:top w:val="nil"/>
              <w:left w:val="dotted" w:sz="4" w:space="0" w:color="auto"/>
              <w:bottom w:val="dotted" w:sz="4" w:space="0" w:color="auto"/>
              <w:right w:val="dotted" w:sz="4" w:space="0" w:color="auto"/>
            </w:tcBorders>
            <w:shd w:val="clear" w:color="auto" w:fill="auto"/>
            <w:noWrap/>
            <w:hideMark/>
          </w:tcPr>
          <w:p w:rsidR="00554ED5" w:rsidRPr="00E0115C" w:rsidRDefault="00E34329" w:rsidP="00520F84">
            <w:pPr>
              <w:spacing w:before="0" w:line="240" w:lineRule="auto"/>
              <w:rPr>
                <w:rFonts w:asciiTheme="minorHAnsi" w:hAnsiTheme="minorHAnsi"/>
                <w:b/>
                <w:sz w:val="22"/>
                <w:szCs w:val="22"/>
                <w:lang w:val="en-IN" w:eastAsia="en-IN"/>
              </w:rPr>
            </w:pPr>
            <w:r w:rsidRPr="00E34329">
              <w:rPr>
                <w:rFonts w:asciiTheme="minorHAnsi" w:hAnsiTheme="minorHAnsi"/>
                <w:b/>
                <w:sz w:val="22"/>
                <w:szCs w:val="22"/>
                <w:lang w:val="en-IN" w:eastAsia="en-IN"/>
              </w:rPr>
              <w:t>Interest on Working Capital</w:t>
            </w:r>
          </w:p>
        </w:tc>
        <w:tc>
          <w:tcPr>
            <w:tcW w:w="992" w:type="dxa"/>
            <w:tcBorders>
              <w:top w:val="nil"/>
              <w:left w:val="nil"/>
              <w:bottom w:val="dotted" w:sz="4" w:space="0" w:color="auto"/>
              <w:right w:val="dotted" w:sz="4" w:space="0" w:color="auto"/>
            </w:tcBorders>
            <w:shd w:val="clear" w:color="auto" w:fill="auto"/>
            <w:noWrap/>
            <w:vAlign w:val="center"/>
            <w:hideMark/>
          </w:tcPr>
          <w:p w:rsidR="002136A7" w:rsidRPr="00E0115C"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b/>
                <w:bCs/>
                <w:color w:val="000000"/>
                <w:sz w:val="22"/>
                <w:szCs w:val="22"/>
              </w:rPr>
              <w:t>96.38</w:t>
            </w:r>
          </w:p>
        </w:tc>
        <w:tc>
          <w:tcPr>
            <w:tcW w:w="992"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b/>
                <w:bCs/>
                <w:color w:val="000000"/>
                <w:sz w:val="22"/>
                <w:szCs w:val="22"/>
              </w:rPr>
              <w:t>1166.88</w:t>
            </w:r>
          </w:p>
        </w:tc>
        <w:tc>
          <w:tcPr>
            <w:tcW w:w="1008"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b/>
                <w:bCs/>
                <w:color w:val="000000"/>
                <w:sz w:val="22"/>
                <w:szCs w:val="22"/>
              </w:rPr>
              <w:t>72.56</w:t>
            </w:r>
          </w:p>
        </w:tc>
        <w:tc>
          <w:tcPr>
            <w:tcW w:w="1390" w:type="dxa"/>
            <w:tcBorders>
              <w:top w:val="nil"/>
              <w:left w:val="nil"/>
              <w:bottom w:val="dotted" w:sz="4" w:space="0" w:color="auto"/>
              <w:right w:val="dotted" w:sz="4" w:space="0" w:color="auto"/>
            </w:tcBorders>
            <w:shd w:val="clear" w:color="auto" w:fill="auto"/>
            <w:vAlign w:val="center"/>
            <w:hideMark/>
          </w:tcPr>
          <w:p w:rsidR="002136A7" w:rsidRPr="00E0115C"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b/>
                <w:bCs/>
                <w:color w:val="000000"/>
                <w:sz w:val="22"/>
                <w:szCs w:val="22"/>
              </w:rPr>
              <w:t>70.60</w:t>
            </w:r>
          </w:p>
        </w:tc>
      </w:tr>
    </w:tbl>
    <w:p w:rsidR="00F70DA9" w:rsidRPr="00E0115C" w:rsidRDefault="00F70DA9" w:rsidP="004339F0">
      <w:pPr>
        <w:spacing w:before="0"/>
        <w:jc w:val="center"/>
        <w:rPr>
          <w:rFonts w:asciiTheme="minorHAnsi" w:hAnsiTheme="minorHAnsi" w:cs="Calibri"/>
          <w:b/>
          <w:sz w:val="22"/>
          <w:szCs w:val="22"/>
          <w:lang w:val="en-US"/>
        </w:rPr>
      </w:pPr>
    </w:p>
    <w:p w:rsidR="003147B8" w:rsidRPr="00D76C64" w:rsidRDefault="00E34329" w:rsidP="00C60AD1">
      <w:pPr>
        <w:pStyle w:val="Heading3"/>
        <w:tabs>
          <w:tab w:val="clear" w:pos="720"/>
        </w:tabs>
        <w:spacing w:after="240"/>
        <w:ind w:left="993" w:hanging="993"/>
      </w:pPr>
      <w:r w:rsidRPr="00E34329">
        <w:t>The following table summarises the interest and finance charges approved by the Commission in the Tariff Order, interest and finance charges claimed by the Petitioner and that approved by the Commission in this Order:</w:t>
      </w:r>
    </w:p>
    <w:p w:rsidR="003147B8" w:rsidRPr="00E0115C" w:rsidRDefault="00E34329" w:rsidP="004339F0">
      <w:pPr>
        <w:spacing w:before="0" w:line="240" w:lineRule="auto"/>
        <w:jc w:val="center"/>
        <w:rPr>
          <w:rFonts w:asciiTheme="minorHAnsi" w:hAnsiTheme="minorHAnsi" w:cs="Calibri"/>
          <w:b/>
          <w:sz w:val="22"/>
          <w:szCs w:val="22"/>
          <w:lang w:val="en-US"/>
        </w:rPr>
      </w:pPr>
      <w:bookmarkStart w:id="270" w:name="_Toc394490645"/>
      <w:bookmarkStart w:id="271" w:name="_Toc457604009"/>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17</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ALLOWABLE INTEREST AND FINANCE CHARGES FOR FY 2013-14 (Rs. Crore)</w:t>
      </w:r>
      <w:bookmarkEnd w:id="270"/>
      <w:bookmarkEnd w:id="271"/>
    </w:p>
    <w:tbl>
      <w:tblPr>
        <w:tblW w:w="8782" w:type="dxa"/>
        <w:tblInd w:w="103" w:type="dxa"/>
        <w:tblLook w:val="04A0"/>
      </w:tblPr>
      <w:tblGrid>
        <w:gridCol w:w="3139"/>
        <w:gridCol w:w="1150"/>
        <w:gridCol w:w="1525"/>
        <w:gridCol w:w="1324"/>
        <w:gridCol w:w="1644"/>
      </w:tblGrid>
      <w:tr w:rsidR="005A65C5" w:rsidRPr="00E0115C" w:rsidTr="00D76C64">
        <w:trPr>
          <w:trHeight w:val="600"/>
          <w:tblHeader/>
        </w:trPr>
        <w:tc>
          <w:tcPr>
            <w:tcW w:w="3139" w:type="dxa"/>
            <w:tcBorders>
              <w:top w:val="dotted" w:sz="4" w:space="0" w:color="auto"/>
              <w:left w:val="dotted" w:sz="4" w:space="0" w:color="auto"/>
              <w:bottom w:val="dotted" w:sz="4" w:space="0" w:color="auto"/>
              <w:right w:val="dotted" w:sz="4" w:space="0" w:color="auto"/>
            </w:tcBorders>
            <w:shd w:val="clear" w:color="000000" w:fill="DBE5F1"/>
            <w:noWrap/>
            <w:hideMark/>
          </w:tcPr>
          <w:p w:rsidR="00BE1724" w:rsidRPr="00E0115C" w:rsidRDefault="00E34329" w:rsidP="00D76C64">
            <w:pPr>
              <w:spacing w:before="0" w:line="240" w:lineRule="auto"/>
              <w:jc w:val="center"/>
              <w:rPr>
                <w:rFonts w:asciiTheme="minorHAnsi" w:hAnsiTheme="minorHAnsi"/>
                <w:b/>
                <w:sz w:val="22"/>
                <w:szCs w:val="22"/>
                <w:lang w:val="en-IN" w:eastAsia="en-IN"/>
              </w:rPr>
            </w:pPr>
            <w:bookmarkStart w:id="272" w:name="_Toc356137613"/>
            <w:r w:rsidRPr="00E34329">
              <w:rPr>
                <w:rFonts w:asciiTheme="minorHAnsi" w:hAnsiTheme="minorHAnsi"/>
                <w:b/>
                <w:sz w:val="22"/>
                <w:szCs w:val="22"/>
                <w:lang w:val="en-IN" w:eastAsia="en-IN"/>
              </w:rPr>
              <w:t>Particulars</w:t>
            </w:r>
          </w:p>
        </w:tc>
        <w:tc>
          <w:tcPr>
            <w:tcW w:w="1150" w:type="dxa"/>
            <w:tcBorders>
              <w:top w:val="dotted" w:sz="4" w:space="0" w:color="auto"/>
              <w:left w:val="nil"/>
              <w:bottom w:val="dotted" w:sz="4" w:space="0" w:color="auto"/>
              <w:right w:val="dotted" w:sz="4" w:space="0" w:color="auto"/>
            </w:tcBorders>
            <w:shd w:val="clear" w:color="000000" w:fill="DBE5F1"/>
            <w:hideMark/>
          </w:tcPr>
          <w:p w:rsidR="00BE1724" w:rsidRPr="00E0115C" w:rsidRDefault="00E34329" w:rsidP="00D76C64">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Tariff Order</w:t>
            </w:r>
          </w:p>
        </w:tc>
        <w:tc>
          <w:tcPr>
            <w:tcW w:w="1525" w:type="dxa"/>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Actual as per audited accounts</w:t>
            </w:r>
          </w:p>
        </w:tc>
        <w:tc>
          <w:tcPr>
            <w:tcW w:w="1324" w:type="dxa"/>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True-up Petition</w:t>
            </w:r>
          </w:p>
        </w:tc>
        <w:tc>
          <w:tcPr>
            <w:tcW w:w="1644" w:type="dxa"/>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 xml:space="preserve">Approved upon Truing </w:t>
            </w:r>
            <w:r w:rsidR="00C2017B">
              <w:rPr>
                <w:rFonts w:asciiTheme="minorHAnsi" w:hAnsiTheme="minorHAnsi"/>
                <w:b/>
                <w:sz w:val="22"/>
                <w:szCs w:val="22"/>
                <w:lang w:val="en-IN" w:eastAsia="en-IN"/>
              </w:rPr>
              <w:t>u</w:t>
            </w:r>
            <w:r w:rsidRPr="00E34329">
              <w:rPr>
                <w:rFonts w:asciiTheme="minorHAnsi" w:hAnsiTheme="minorHAnsi"/>
                <w:b/>
                <w:sz w:val="22"/>
                <w:szCs w:val="22"/>
                <w:lang w:val="en-IN" w:eastAsia="en-IN"/>
              </w:rPr>
              <w:t>p</w:t>
            </w:r>
          </w:p>
        </w:tc>
      </w:tr>
      <w:tr w:rsidR="005A65C5" w:rsidRPr="00E0115C" w:rsidTr="0020091A">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i/>
                <w:iCs/>
                <w:sz w:val="22"/>
                <w:szCs w:val="22"/>
                <w:lang w:val="en-IN" w:eastAsia="en-IN"/>
              </w:rPr>
            </w:pPr>
            <w:r w:rsidRPr="00E34329">
              <w:rPr>
                <w:rFonts w:asciiTheme="minorHAnsi" w:hAnsiTheme="minorHAnsi"/>
                <w:i/>
                <w:iCs/>
                <w:sz w:val="22"/>
                <w:szCs w:val="22"/>
                <w:lang w:val="en-IN" w:eastAsia="en-IN"/>
              </w:rPr>
              <w:t>A: Interest on Long Term Loans</w:t>
            </w:r>
          </w:p>
        </w:tc>
        <w:tc>
          <w:tcPr>
            <w:tcW w:w="1150" w:type="dxa"/>
            <w:tcBorders>
              <w:top w:val="nil"/>
              <w:left w:val="nil"/>
              <w:bottom w:val="dotted" w:sz="4" w:space="0" w:color="auto"/>
              <w:right w:val="dotted" w:sz="4" w:space="0" w:color="auto"/>
            </w:tcBorders>
            <w:shd w:val="clear" w:color="auto" w:fill="auto"/>
            <w:noWrap/>
            <w:vAlign w:val="bottom"/>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525" w:type="dxa"/>
            <w:tcBorders>
              <w:top w:val="nil"/>
              <w:left w:val="nil"/>
              <w:bottom w:val="dotted" w:sz="4" w:space="0" w:color="auto"/>
              <w:right w:val="dotted" w:sz="4" w:space="0" w:color="auto"/>
            </w:tcBorders>
            <w:shd w:val="clear" w:color="auto" w:fill="auto"/>
            <w:noWrap/>
            <w:vAlign w:val="bottom"/>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324" w:type="dxa"/>
            <w:tcBorders>
              <w:top w:val="nil"/>
              <w:left w:val="nil"/>
              <w:bottom w:val="dotted" w:sz="4" w:space="0" w:color="auto"/>
              <w:right w:val="dotted" w:sz="4" w:space="0" w:color="auto"/>
            </w:tcBorders>
            <w:shd w:val="clear" w:color="auto" w:fill="auto"/>
            <w:noWrap/>
            <w:vAlign w:val="bottom"/>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644" w:type="dxa"/>
            <w:tcBorders>
              <w:top w:val="nil"/>
              <w:left w:val="nil"/>
              <w:bottom w:val="dotted" w:sz="4" w:space="0" w:color="auto"/>
              <w:right w:val="dotted" w:sz="4" w:space="0" w:color="auto"/>
            </w:tcBorders>
            <w:shd w:val="clear" w:color="auto" w:fill="auto"/>
            <w:noWrap/>
            <w:vAlign w:val="bottom"/>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r>
      <w:tr w:rsidR="0020091A" w:rsidRPr="00E0115C" w:rsidTr="00832D27">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Gross Interest on Long Term Loan</w:t>
            </w:r>
          </w:p>
        </w:tc>
        <w:tc>
          <w:tcPr>
            <w:tcW w:w="1150" w:type="dxa"/>
            <w:tcBorders>
              <w:top w:val="nil"/>
              <w:left w:val="nil"/>
              <w:bottom w:val="dotted" w:sz="4" w:space="0" w:color="auto"/>
              <w:right w:val="dotted" w:sz="4" w:space="0" w:color="auto"/>
            </w:tcBorders>
            <w:shd w:val="clear" w:color="000000" w:fill="FFFFFF"/>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125.90</w:t>
            </w:r>
          </w:p>
        </w:tc>
        <w:tc>
          <w:tcPr>
            <w:tcW w:w="1525" w:type="dxa"/>
            <w:tcBorders>
              <w:top w:val="nil"/>
              <w:left w:val="nil"/>
              <w:bottom w:val="dotted" w:sz="4" w:space="0" w:color="auto"/>
              <w:right w:val="dotted" w:sz="4" w:space="0" w:color="auto"/>
            </w:tcBorders>
            <w:shd w:val="clear" w:color="000000" w:fill="FFFFFF"/>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360.06</w:t>
            </w:r>
          </w:p>
        </w:tc>
        <w:tc>
          <w:tcPr>
            <w:tcW w:w="132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179.56</w:t>
            </w:r>
          </w:p>
        </w:tc>
        <w:tc>
          <w:tcPr>
            <w:tcW w:w="164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171.16</w:t>
            </w:r>
          </w:p>
        </w:tc>
      </w:tr>
      <w:tr w:rsidR="0020091A" w:rsidRPr="00E0115C" w:rsidTr="00832D27">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Less: Interest Capitalisation</w:t>
            </w:r>
          </w:p>
        </w:tc>
        <w:tc>
          <w:tcPr>
            <w:tcW w:w="1150" w:type="dxa"/>
            <w:tcBorders>
              <w:top w:val="nil"/>
              <w:left w:val="nil"/>
              <w:bottom w:val="dotted" w:sz="4" w:space="0" w:color="auto"/>
              <w:right w:val="dotted" w:sz="4" w:space="0" w:color="auto"/>
            </w:tcBorders>
            <w:shd w:val="clear" w:color="000000" w:fill="FFFFFF"/>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28.96</w:t>
            </w:r>
          </w:p>
        </w:tc>
        <w:tc>
          <w:tcPr>
            <w:tcW w:w="1525" w:type="dxa"/>
            <w:tcBorders>
              <w:top w:val="nil"/>
              <w:left w:val="nil"/>
              <w:bottom w:val="dotted" w:sz="4" w:space="0" w:color="auto"/>
              <w:right w:val="dotted" w:sz="4" w:space="0" w:color="auto"/>
            </w:tcBorders>
            <w:shd w:val="clear" w:color="000000" w:fill="FFFFFF"/>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132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164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0.00</w:t>
            </w:r>
          </w:p>
        </w:tc>
      </w:tr>
      <w:tr w:rsidR="0020091A" w:rsidRPr="00E0115C" w:rsidTr="00832D27">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Net Interest on Long Term Loans</w:t>
            </w:r>
          </w:p>
        </w:tc>
        <w:tc>
          <w:tcPr>
            <w:tcW w:w="1150"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96.94</w:t>
            </w:r>
          </w:p>
        </w:tc>
        <w:tc>
          <w:tcPr>
            <w:tcW w:w="1525"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360.06</w:t>
            </w:r>
          </w:p>
        </w:tc>
        <w:tc>
          <w:tcPr>
            <w:tcW w:w="132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179.56</w:t>
            </w:r>
          </w:p>
        </w:tc>
        <w:tc>
          <w:tcPr>
            <w:tcW w:w="164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171.16</w:t>
            </w:r>
          </w:p>
        </w:tc>
      </w:tr>
      <w:tr w:rsidR="0020091A" w:rsidRPr="00E0115C" w:rsidTr="00832D27">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i/>
                <w:iCs/>
                <w:sz w:val="22"/>
                <w:szCs w:val="22"/>
                <w:lang w:val="en-IN" w:eastAsia="en-IN"/>
              </w:rPr>
            </w:pPr>
            <w:r w:rsidRPr="00E34329">
              <w:rPr>
                <w:rFonts w:asciiTheme="minorHAnsi" w:hAnsiTheme="minorHAnsi"/>
                <w:i/>
                <w:iCs/>
                <w:sz w:val="22"/>
                <w:szCs w:val="22"/>
                <w:lang w:val="en-IN" w:eastAsia="en-IN"/>
              </w:rPr>
              <w:t>B: Finance and Other Charges</w:t>
            </w:r>
          </w:p>
        </w:tc>
        <w:tc>
          <w:tcPr>
            <w:tcW w:w="1150"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525"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32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164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w:t>
            </w:r>
          </w:p>
        </w:tc>
      </w:tr>
      <w:tr w:rsidR="0020091A" w:rsidRPr="00E0115C" w:rsidTr="00832D27">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Finance Charges</w:t>
            </w:r>
          </w:p>
        </w:tc>
        <w:tc>
          <w:tcPr>
            <w:tcW w:w="1150"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1525"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132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164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0.00</w:t>
            </w:r>
          </w:p>
        </w:tc>
      </w:tr>
      <w:tr w:rsidR="0020091A" w:rsidRPr="00E0115C" w:rsidTr="00832D27">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Bank Charges</w:t>
            </w:r>
          </w:p>
        </w:tc>
        <w:tc>
          <w:tcPr>
            <w:tcW w:w="1150"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0.07</w:t>
            </w:r>
          </w:p>
        </w:tc>
        <w:tc>
          <w:tcPr>
            <w:tcW w:w="1525"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0.18</w:t>
            </w:r>
          </w:p>
        </w:tc>
        <w:tc>
          <w:tcPr>
            <w:tcW w:w="132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0.18</w:t>
            </w:r>
          </w:p>
        </w:tc>
        <w:tc>
          <w:tcPr>
            <w:tcW w:w="164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0.18</w:t>
            </w:r>
          </w:p>
        </w:tc>
      </w:tr>
      <w:tr w:rsidR="0020091A" w:rsidRPr="00E0115C" w:rsidTr="00832D27">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Interest on Consumer Security Deposits</w:t>
            </w:r>
          </w:p>
        </w:tc>
        <w:tc>
          <w:tcPr>
            <w:tcW w:w="1150"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24.41</w:t>
            </w:r>
          </w:p>
        </w:tc>
        <w:tc>
          <w:tcPr>
            <w:tcW w:w="1525"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32.26</w:t>
            </w:r>
          </w:p>
        </w:tc>
        <w:tc>
          <w:tcPr>
            <w:tcW w:w="132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32.26</w:t>
            </w:r>
          </w:p>
        </w:tc>
        <w:tc>
          <w:tcPr>
            <w:tcW w:w="164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32.26</w:t>
            </w:r>
          </w:p>
        </w:tc>
      </w:tr>
      <w:tr w:rsidR="0020091A" w:rsidRPr="00E0115C" w:rsidTr="00832D27">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Total Finance Charges</w:t>
            </w:r>
          </w:p>
        </w:tc>
        <w:tc>
          <w:tcPr>
            <w:tcW w:w="1150"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24.48</w:t>
            </w:r>
          </w:p>
        </w:tc>
        <w:tc>
          <w:tcPr>
            <w:tcW w:w="1525"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32.44</w:t>
            </w:r>
          </w:p>
        </w:tc>
        <w:tc>
          <w:tcPr>
            <w:tcW w:w="132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32.44</w:t>
            </w:r>
          </w:p>
        </w:tc>
        <w:tc>
          <w:tcPr>
            <w:tcW w:w="164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32.44</w:t>
            </w:r>
          </w:p>
        </w:tc>
      </w:tr>
      <w:tr w:rsidR="0020091A" w:rsidRPr="00E0115C" w:rsidTr="00832D27">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i/>
                <w:iCs/>
                <w:sz w:val="22"/>
                <w:szCs w:val="22"/>
                <w:lang w:val="en-IN" w:eastAsia="en-IN"/>
              </w:rPr>
            </w:pPr>
            <w:r w:rsidRPr="00E34329">
              <w:rPr>
                <w:rFonts w:asciiTheme="minorHAnsi" w:hAnsiTheme="minorHAnsi"/>
                <w:i/>
                <w:iCs/>
                <w:sz w:val="22"/>
                <w:szCs w:val="22"/>
                <w:lang w:val="en-IN" w:eastAsia="en-IN"/>
              </w:rPr>
              <w:t>C: Interest on Working Capital</w:t>
            </w:r>
          </w:p>
        </w:tc>
        <w:tc>
          <w:tcPr>
            <w:tcW w:w="1150"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96.38</w:t>
            </w:r>
          </w:p>
        </w:tc>
        <w:tc>
          <w:tcPr>
            <w:tcW w:w="1525"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1166.88</w:t>
            </w:r>
          </w:p>
        </w:tc>
        <w:tc>
          <w:tcPr>
            <w:tcW w:w="132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72.56</w:t>
            </w:r>
          </w:p>
        </w:tc>
        <w:tc>
          <w:tcPr>
            <w:tcW w:w="164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70.60 </w:t>
            </w:r>
          </w:p>
        </w:tc>
      </w:tr>
      <w:tr w:rsidR="0020091A" w:rsidRPr="00E0115C" w:rsidTr="00832D27">
        <w:trPr>
          <w:trHeight w:val="300"/>
        </w:trPr>
        <w:tc>
          <w:tcPr>
            <w:tcW w:w="3139" w:type="dxa"/>
            <w:tcBorders>
              <w:top w:val="nil"/>
              <w:left w:val="dotted" w:sz="4" w:space="0" w:color="auto"/>
              <w:bottom w:val="dotted" w:sz="4" w:space="0" w:color="auto"/>
              <w:right w:val="dotted" w:sz="4" w:space="0" w:color="auto"/>
            </w:tcBorders>
            <w:shd w:val="clear" w:color="auto" w:fill="auto"/>
            <w:noWrap/>
            <w:hideMark/>
          </w:tcPr>
          <w:p w:rsidR="00BE1724" w:rsidRPr="00E0115C" w:rsidRDefault="00E34329">
            <w:pPr>
              <w:spacing w:before="0" w:line="240" w:lineRule="auto"/>
              <w:rPr>
                <w:rFonts w:asciiTheme="minorHAnsi" w:hAnsiTheme="minorHAnsi"/>
                <w:sz w:val="22"/>
                <w:szCs w:val="22"/>
                <w:lang w:val="en-IN" w:eastAsia="en-IN"/>
              </w:rPr>
            </w:pPr>
            <w:r w:rsidRPr="00E34329">
              <w:rPr>
                <w:rFonts w:asciiTheme="minorHAnsi" w:hAnsiTheme="minorHAnsi"/>
                <w:sz w:val="22"/>
                <w:szCs w:val="22"/>
                <w:lang w:val="en-IN" w:eastAsia="en-IN"/>
              </w:rPr>
              <w:t>Total (A+B+C)</w:t>
            </w:r>
          </w:p>
        </w:tc>
        <w:tc>
          <w:tcPr>
            <w:tcW w:w="1150"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
                <w:bCs/>
                <w:color w:val="000000"/>
                <w:sz w:val="22"/>
                <w:szCs w:val="22"/>
              </w:rPr>
              <w:t>217.79</w:t>
            </w:r>
          </w:p>
        </w:tc>
        <w:tc>
          <w:tcPr>
            <w:tcW w:w="1525"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
                <w:bCs/>
                <w:color w:val="000000"/>
                <w:sz w:val="22"/>
                <w:szCs w:val="22"/>
              </w:rPr>
              <w:t>1559.37</w:t>
            </w:r>
          </w:p>
        </w:tc>
        <w:tc>
          <w:tcPr>
            <w:tcW w:w="132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
                <w:bCs/>
                <w:color w:val="000000"/>
                <w:sz w:val="22"/>
                <w:szCs w:val="22"/>
              </w:rPr>
              <w:t>284.55</w:t>
            </w:r>
          </w:p>
        </w:tc>
        <w:tc>
          <w:tcPr>
            <w:tcW w:w="1644" w:type="dxa"/>
            <w:tcBorders>
              <w:top w:val="nil"/>
              <w:left w:val="nil"/>
              <w:bottom w:val="dotted" w:sz="4" w:space="0" w:color="auto"/>
              <w:right w:val="dotted" w:sz="4" w:space="0" w:color="auto"/>
            </w:tcBorders>
            <w:shd w:val="clear" w:color="auto" w:fill="auto"/>
            <w:noWrap/>
            <w:vAlign w:val="center"/>
            <w:hideMark/>
          </w:tcPr>
          <w:p w:rsidR="00BE1724" w:rsidRPr="00E0115C" w:rsidRDefault="00E34329">
            <w:pPr>
              <w:spacing w:before="0" w:line="240" w:lineRule="auto"/>
              <w:jc w:val="right"/>
              <w:rPr>
                <w:rFonts w:asciiTheme="minorHAnsi" w:hAnsiTheme="minorHAnsi"/>
                <w:b/>
                <w:color w:val="000000"/>
                <w:sz w:val="22"/>
                <w:szCs w:val="22"/>
              </w:rPr>
            </w:pPr>
            <w:r w:rsidRPr="00E34329">
              <w:rPr>
                <w:rFonts w:asciiTheme="minorHAnsi" w:hAnsiTheme="minorHAnsi"/>
                <w:b/>
                <w:color w:val="000000"/>
                <w:sz w:val="22"/>
                <w:szCs w:val="22"/>
              </w:rPr>
              <w:t>274.20</w:t>
            </w:r>
          </w:p>
        </w:tc>
      </w:tr>
    </w:tbl>
    <w:p w:rsidR="008C2FF7" w:rsidRPr="00E0115C" w:rsidRDefault="008C2FF7" w:rsidP="00C60AD1">
      <w:pPr>
        <w:spacing w:before="0" w:after="200"/>
        <w:jc w:val="left"/>
        <w:rPr>
          <w:rFonts w:asciiTheme="minorHAnsi" w:hAnsiTheme="minorHAnsi"/>
          <w:b/>
          <w:bCs/>
          <w:sz w:val="22"/>
          <w:szCs w:val="26"/>
          <w:lang w:val="en-US"/>
        </w:rPr>
      </w:pPr>
    </w:p>
    <w:p w:rsidR="003147B8" w:rsidRPr="00D76C64" w:rsidRDefault="00E34329" w:rsidP="00C60AD1">
      <w:pPr>
        <w:pStyle w:val="Heading2"/>
        <w:rPr>
          <w:rFonts w:ascii="Calibri" w:hAnsi="Calibri" w:cs="Calibri"/>
          <w:b w:val="0"/>
          <w:bCs w:val="0"/>
          <w:szCs w:val="26"/>
          <w:lang w:val="en-US"/>
        </w:rPr>
      </w:pPr>
      <w:bookmarkStart w:id="273" w:name="_Toc457603927"/>
      <w:r w:rsidRPr="00E34329">
        <w:rPr>
          <w:rFonts w:ascii="Calibri" w:hAnsi="Calibri" w:cs="Calibri"/>
          <w:szCs w:val="26"/>
          <w:lang w:val="en-US"/>
        </w:rPr>
        <w:t>DEPRECIATION</w:t>
      </w:r>
      <w:bookmarkEnd w:id="272"/>
      <w:bookmarkEnd w:id="273"/>
    </w:p>
    <w:p w:rsidR="003147B8" w:rsidRPr="00D76C64" w:rsidRDefault="00E34329" w:rsidP="00C60AD1">
      <w:pPr>
        <w:pStyle w:val="Heading3"/>
        <w:tabs>
          <w:tab w:val="clear" w:pos="720"/>
        </w:tabs>
        <w:spacing w:after="240"/>
        <w:ind w:left="993" w:hanging="993"/>
      </w:pPr>
      <w:r w:rsidRPr="00E34329">
        <w:t xml:space="preserve">The Petitioner has submitted that the actual depreciation expense as per audited accounts is Rs. 175.68 Crore. However, the same depreciation has </w:t>
      </w:r>
      <w:r w:rsidRPr="00E34329">
        <w:lastRenderedPageBreak/>
        <w:t>been accounted for considering the depreciation rates prescribed by the Companies Act, 1956. The Petitioner further submitted that for the purpose of Truing up, it has computed the depreciation expense on the actual GFA base and at the regulatory rates applicable for FY 2013-14.</w:t>
      </w:r>
    </w:p>
    <w:p w:rsidR="003147B8" w:rsidRPr="00D76C64" w:rsidRDefault="00E34329" w:rsidP="00C60AD1">
      <w:pPr>
        <w:pStyle w:val="Heading3"/>
        <w:tabs>
          <w:tab w:val="clear" w:pos="720"/>
        </w:tabs>
        <w:spacing w:after="240"/>
        <w:ind w:left="993" w:hanging="993"/>
      </w:pPr>
      <w:r w:rsidRPr="00E34329">
        <w:t xml:space="preserve">As regards the Commission’s query regarding source-wise funding of capitalization, the Petitioner submitted that the Commission in the True up Order for FY 2012-13 and ARR Order for FY 2015-16 had considered a normative approach wherein it had considered a normative gearing of 70:30. </w:t>
      </w:r>
      <w:r w:rsidRPr="00E34329">
        <w:rPr>
          <w:rFonts w:cstheme="minorHAnsi"/>
        </w:rPr>
        <w:t>Considering this approach, 70% of the capital expenditure undertaken in any year was considered to be financed through loan and balance 30% has been considered to be financed through equity contributions. The portion of capital expenditure financed through consumer contributions, capital subsidies and grants was separated as the depreciation and interest thereon would not be charged to the consumers.</w:t>
      </w:r>
    </w:p>
    <w:p w:rsidR="003147B8" w:rsidRPr="00E0115C" w:rsidRDefault="00E34329" w:rsidP="00C60AD1">
      <w:pPr>
        <w:pStyle w:val="Heading3"/>
        <w:tabs>
          <w:tab w:val="clear" w:pos="720"/>
        </w:tabs>
        <w:spacing w:after="240"/>
        <w:ind w:left="993" w:hanging="993"/>
        <w:rPr>
          <w:rFonts w:asciiTheme="minorHAnsi" w:hAnsiTheme="minorHAnsi"/>
          <w:bCs w:val="0"/>
          <w:szCs w:val="22"/>
        </w:rPr>
      </w:pPr>
      <w:r w:rsidRPr="00E34329">
        <w:t>Based on the above, the depre</w:t>
      </w:r>
      <w:r w:rsidRPr="00E34329">
        <w:rPr>
          <w:bCs w:val="0"/>
          <w:szCs w:val="22"/>
        </w:rPr>
        <w:t>ciation as claimed by the Petitioner for FY 2013-14 is shown in the Table below:</w:t>
      </w:r>
    </w:p>
    <w:p w:rsidR="003147B8" w:rsidRPr="00E0115C" w:rsidRDefault="00E34329" w:rsidP="00C60AD1">
      <w:pPr>
        <w:spacing w:before="0"/>
        <w:jc w:val="center"/>
        <w:rPr>
          <w:rFonts w:asciiTheme="minorHAnsi" w:hAnsiTheme="minorHAnsi" w:cs="Calibri"/>
          <w:b/>
          <w:sz w:val="22"/>
          <w:szCs w:val="22"/>
          <w:lang w:val="en-US"/>
        </w:rPr>
      </w:pPr>
      <w:bookmarkStart w:id="274" w:name="_Toc352568446"/>
      <w:bookmarkStart w:id="275" w:name="_Toc356913193"/>
      <w:bookmarkStart w:id="276" w:name="_Toc394490646"/>
      <w:bookmarkStart w:id="277" w:name="_Toc457604010"/>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18</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DEPRECIATION CLAIMED BY LICENSEE FOR FY 2013-14 (Rs. Crore)</w:t>
      </w:r>
      <w:bookmarkEnd w:id="274"/>
      <w:bookmarkEnd w:id="275"/>
      <w:bookmarkEnd w:id="276"/>
      <w:bookmarkEnd w:id="277"/>
    </w:p>
    <w:tbl>
      <w:tblPr>
        <w:tblW w:w="5565"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28"/>
        <w:gridCol w:w="1133"/>
        <w:gridCol w:w="1135"/>
        <w:gridCol w:w="1278"/>
        <w:gridCol w:w="1131"/>
        <w:gridCol w:w="1464"/>
        <w:gridCol w:w="1620"/>
      </w:tblGrid>
      <w:tr w:rsidR="00D67872" w:rsidRPr="00680AFE" w:rsidTr="00D67872">
        <w:trPr>
          <w:trHeight w:val="900"/>
          <w:tblHeader/>
        </w:trPr>
        <w:tc>
          <w:tcPr>
            <w:tcW w:w="1076" w:type="pct"/>
            <w:shd w:val="clear" w:color="000000" w:fill="C6D9F1"/>
            <w:hideMark/>
          </w:tcPr>
          <w:p w:rsidR="00603835" w:rsidRPr="00603835" w:rsidRDefault="00337C98">
            <w:pPr>
              <w:spacing w:before="0" w:line="240" w:lineRule="auto"/>
              <w:jc w:val="center"/>
              <w:rPr>
                <w:rFonts w:asciiTheme="minorHAnsi" w:hAnsiTheme="minorHAnsi"/>
                <w:b/>
                <w:sz w:val="22"/>
                <w:szCs w:val="22"/>
                <w:lang w:val="en-IN" w:eastAsia="en-IN"/>
              </w:rPr>
            </w:pPr>
            <w:r w:rsidRPr="00337C98">
              <w:rPr>
                <w:rFonts w:asciiTheme="minorHAnsi" w:hAnsiTheme="minorHAnsi"/>
                <w:b/>
                <w:sz w:val="22"/>
                <w:szCs w:val="22"/>
                <w:lang w:val="en-IN" w:eastAsia="en-IN"/>
              </w:rPr>
              <w:t>Particulars</w:t>
            </w:r>
          </w:p>
        </w:tc>
        <w:tc>
          <w:tcPr>
            <w:tcW w:w="573" w:type="pct"/>
            <w:shd w:val="clear" w:color="000000" w:fill="C6D9F1"/>
            <w:hideMark/>
          </w:tcPr>
          <w:p w:rsidR="00603835" w:rsidRPr="00603835" w:rsidRDefault="00337C98">
            <w:pPr>
              <w:spacing w:before="0" w:line="240" w:lineRule="auto"/>
              <w:jc w:val="center"/>
              <w:rPr>
                <w:rFonts w:asciiTheme="minorHAnsi" w:hAnsiTheme="minorHAnsi"/>
                <w:b/>
                <w:sz w:val="22"/>
                <w:szCs w:val="22"/>
                <w:lang w:val="en-IN" w:eastAsia="en-IN"/>
              </w:rPr>
            </w:pPr>
            <w:r w:rsidRPr="00337C98">
              <w:rPr>
                <w:rFonts w:asciiTheme="minorHAnsi" w:hAnsiTheme="minorHAnsi"/>
                <w:b/>
                <w:sz w:val="22"/>
                <w:szCs w:val="22"/>
                <w:lang w:val="en-IN" w:eastAsia="en-IN"/>
              </w:rPr>
              <w:t>Opening GFA</w:t>
            </w:r>
          </w:p>
        </w:tc>
        <w:tc>
          <w:tcPr>
            <w:tcW w:w="574" w:type="pct"/>
            <w:shd w:val="clear" w:color="000000" w:fill="C6D9F1"/>
            <w:hideMark/>
          </w:tcPr>
          <w:p w:rsidR="00603835" w:rsidRPr="00603835" w:rsidRDefault="00337C98">
            <w:pPr>
              <w:spacing w:before="0" w:line="240" w:lineRule="auto"/>
              <w:jc w:val="center"/>
              <w:rPr>
                <w:rFonts w:asciiTheme="minorHAnsi" w:hAnsiTheme="minorHAnsi"/>
                <w:b/>
                <w:sz w:val="22"/>
                <w:szCs w:val="22"/>
                <w:lang w:val="en-IN" w:eastAsia="en-IN"/>
              </w:rPr>
            </w:pPr>
            <w:r w:rsidRPr="00337C98">
              <w:rPr>
                <w:rFonts w:asciiTheme="minorHAnsi" w:hAnsiTheme="minorHAnsi"/>
                <w:b/>
                <w:sz w:val="22"/>
                <w:szCs w:val="22"/>
                <w:lang w:val="en-IN" w:eastAsia="en-IN"/>
              </w:rPr>
              <w:t>Additions to GFA</w:t>
            </w:r>
          </w:p>
        </w:tc>
        <w:tc>
          <w:tcPr>
            <w:tcW w:w="646" w:type="pct"/>
            <w:shd w:val="clear" w:color="000000" w:fill="C6D9F1"/>
            <w:hideMark/>
          </w:tcPr>
          <w:p w:rsidR="00603835" w:rsidRPr="00603835" w:rsidRDefault="00337C98">
            <w:pPr>
              <w:spacing w:before="0" w:line="240" w:lineRule="auto"/>
              <w:jc w:val="center"/>
              <w:rPr>
                <w:rFonts w:asciiTheme="minorHAnsi" w:hAnsiTheme="minorHAnsi"/>
                <w:b/>
                <w:sz w:val="22"/>
                <w:szCs w:val="22"/>
                <w:lang w:val="en-IN" w:eastAsia="en-IN"/>
              </w:rPr>
            </w:pPr>
            <w:r w:rsidRPr="00337C98">
              <w:rPr>
                <w:rFonts w:asciiTheme="minorHAnsi" w:hAnsiTheme="minorHAnsi"/>
                <w:b/>
                <w:sz w:val="22"/>
                <w:szCs w:val="22"/>
                <w:lang w:val="en-IN" w:eastAsia="en-IN"/>
              </w:rPr>
              <w:t>Deductions to GFA</w:t>
            </w:r>
          </w:p>
        </w:tc>
        <w:tc>
          <w:tcPr>
            <w:tcW w:w="572" w:type="pct"/>
            <w:shd w:val="clear" w:color="000000" w:fill="C6D9F1"/>
            <w:hideMark/>
          </w:tcPr>
          <w:p w:rsidR="00603835" w:rsidRPr="00603835" w:rsidRDefault="00337C98">
            <w:pPr>
              <w:spacing w:before="0" w:line="240" w:lineRule="auto"/>
              <w:jc w:val="center"/>
              <w:rPr>
                <w:rFonts w:asciiTheme="minorHAnsi" w:hAnsiTheme="minorHAnsi"/>
                <w:b/>
                <w:sz w:val="22"/>
                <w:szCs w:val="22"/>
                <w:lang w:val="en-IN" w:eastAsia="en-IN"/>
              </w:rPr>
            </w:pPr>
            <w:r w:rsidRPr="00337C98">
              <w:rPr>
                <w:rFonts w:asciiTheme="minorHAnsi" w:hAnsiTheme="minorHAnsi"/>
                <w:b/>
                <w:sz w:val="22"/>
                <w:szCs w:val="22"/>
                <w:lang w:val="en-IN" w:eastAsia="en-IN"/>
              </w:rPr>
              <w:t>Closing GFA</w:t>
            </w:r>
          </w:p>
        </w:tc>
        <w:tc>
          <w:tcPr>
            <w:tcW w:w="740" w:type="pct"/>
            <w:shd w:val="clear" w:color="000000" w:fill="C6D9F1"/>
            <w:hideMark/>
          </w:tcPr>
          <w:p w:rsidR="00603835" w:rsidRPr="00603835" w:rsidRDefault="00337C98">
            <w:pPr>
              <w:spacing w:before="0" w:line="240" w:lineRule="auto"/>
              <w:jc w:val="center"/>
              <w:rPr>
                <w:rFonts w:asciiTheme="minorHAnsi" w:hAnsiTheme="minorHAnsi"/>
                <w:b/>
                <w:sz w:val="22"/>
                <w:szCs w:val="22"/>
                <w:lang w:val="en-IN" w:eastAsia="en-IN"/>
              </w:rPr>
            </w:pPr>
            <w:r w:rsidRPr="00337C98">
              <w:rPr>
                <w:rFonts w:asciiTheme="minorHAnsi" w:hAnsiTheme="minorHAnsi"/>
                <w:b/>
                <w:sz w:val="22"/>
                <w:szCs w:val="22"/>
                <w:lang w:val="en-IN" w:eastAsia="en-IN"/>
              </w:rPr>
              <w:t>Depreciation Rates considered</w:t>
            </w:r>
          </w:p>
        </w:tc>
        <w:tc>
          <w:tcPr>
            <w:tcW w:w="819" w:type="pct"/>
            <w:shd w:val="clear" w:color="000000" w:fill="C6D9F1"/>
            <w:hideMark/>
          </w:tcPr>
          <w:p w:rsidR="00603835" w:rsidRPr="00603835" w:rsidRDefault="00337C98">
            <w:pPr>
              <w:spacing w:before="0" w:line="240" w:lineRule="auto"/>
              <w:jc w:val="center"/>
              <w:rPr>
                <w:rFonts w:asciiTheme="minorHAnsi" w:hAnsiTheme="minorHAnsi"/>
                <w:b/>
                <w:sz w:val="22"/>
                <w:szCs w:val="22"/>
                <w:lang w:val="en-IN" w:eastAsia="en-IN"/>
              </w:rPr>
            </w:pPr>
            <w:r w:rsidRPr="00337C98">
              <w:rPr>
                <w:rFonts w:asciiTheme="minorHAnsi" w:hAnsiTheme="minorHAnsi"/>
                <w:b/>
                <w:sz w:val="22"/>
                <w:szCs w:val="22"/>
                <w:lang w:val="en-IN" w:eastAsia="en-IN"/>
              </w:rPr>
              <w:t>Permissible Depreciation</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Land &amp; Land Rights</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cs="Arial"/>
                <w:bCs/>
                <w:sz w:val="22"/>
                <w:szCs w:val="22"/>
                <w:lang w:val="en-IN" w:eastAsia="en-IN"/>
              </w:rPr>
            </w:pP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cs="Arial"/>
                <w:bCs/>
                <w:sz w:val="22"/>
                <w:szCs w:val="22"/>
                <w:lang w:val="en-IN" w:eastAsia="en-IN"/>
              </w:rPr>
            </w:pP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cs="Arial"/>
                <w:bCs/>
                <w:sz w:val="22"/>
                <w:szCs w:val="22"/>
                <w:lang w:val="en-IN" w:eastAsia="en-IN"/>
              </w:rPr>
            </w:pP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cs="Arial"/>
                <w:bCs/>
                <w:sz w:val="22"/>
                <w:szCs w:val="22"/>
                <w:lang w:val="en-IN" w:eastAsia="en-IN"/>
              </w:rPr>
            </w:pP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cs="Arial"/>
                <w:bCs/>
                <w:sz w:val="22"/>
                <w:szCs w:val="22"/>
                <w:lang w:val="en-IN" w:eastAsia="en-IN"/>
              </w:rPr>
            </w:pPr>
          </w:p>
        </w:tc>
        <w:tc>
          <w:tcPr>
            <w:tcW w:w="819"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cs="Arial"/>
                <w:bCs/>
                <w:sz w:val="22"/>
                <w:szCs w:val="22"/>
                <w:lang w:val="en-IN" w:eastAsia="en-IN"/>
              </w:rPr>
            </w:pP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i) Unclassified</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0.34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0.34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p>
        </w:tc>
        <w:tc>
          <w:tcPr>
            <w:tcW w:w="819" w:type="pct"/>
            <w:shd w:val="clear" w:color="000000" w:fill="FFFFFF"/>
            <w:noWrap/>
            <w:vAlign w:val="center"/>
            <w:hideMark/>
          </w:tcPr>
          <w:p w:rsidR="00603835" w:rsidRPr="00603835" w:rsidRDefault="00337C98">
            <w:pPr>
              <w:spacing w:before="0" w:line="240" w:lineRule="auto"/>
              <w:ind w:left="-720" w:right="29" w:firstLine="720"/>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ii) Freehold Land</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p>
        </w:tc>
        <w:tc>
          <w:tcPr>
            <w:tcW w:w="819" w:type="pct"/>
            <w:shd w:val="clear" w:color="000000" w:fill="FFFFFF"/>
            <w:noWrap/>
            <w:vAlign w:val="center"/>
            <w:hideMark/>
          </w:tcPr>
          <w:p w:rsidR="00603835" w:rsidRPr="00603835" w:rsidRDefault="00337C98">
            <w:pPr>
              <w:spacing w:before="0" w:line="240" w:lineRule="auto"/>
              <w:ind w:left="-720" w:right="29" w:firstLine="720"/>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Buildings</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57.81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13.14 </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0.02 </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70.94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7.84%</w:t>
            </w:r>
          </w:p>
        </w:tc>
        <w:tc>
          <w:tcPr>
            <w:tcW w:w="819"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5.05 </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Other Civil Works</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7.84%</w:t>
            </w:r>
          </w:p>
        </w:tc>
        <w:tc>
          <w:tcPr>
            <w:tcW w:w="819"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Plants &amp; Machinery</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789.66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579.43 </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490.97 </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878.13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7.84%</w:t>
            </w:r>
          </w:p>
        </w:tc>
        <w:tc>
          <w:tcPr>
            <w:tcW w:w="819"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65.38 </w:t>
            </w:r>
          </w:p>
        </w:tc>
      </w:tr>
      <w:tr w:rsidR="00D67872" w:rsidRPr="00680AFE" w:rsidTr="00D67872">
        <w:trPr>
          <w:trHeight w:val="6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Lines, Cable Network etc.</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2,255.44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367.82 </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20.56 </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2,602.71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7.84%</w:t>
            </w:r>
          </w:p>
        </w:tc>
        <w:tc>
          <w:tcPr>
            <w:tcW w:w="819"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190.44 </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Vehicles</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7.84%</w:t>
            </w:r>
          </w:p>
        </w:tc>
        <w:tc>
          <w:tcPr>
            <w:tcW w:w="819"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Furniture &amp; Fixtures</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3.05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0.18 </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3.22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7.84%</w:t>
            </w:r>
          </w:p>
        </w:tc>
        <w:tc>
          <w:tcPr>
            <w:tcW w:w="819"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0.25 </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Office Equipments</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0.54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0.31 </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0.85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7.84%</w:t>
            </w:r>
          </w:p>
        </w:tc>
        <w:tc>
          <w:tcPr>
            <w:tcW w:w="819"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0.05 </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Jeep &amp; Motor Car</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(0.16)</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0.07</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(0.09)</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p>
        </w:tc>
        <w:tc>
          <w:tcPr>
            <w:tcW w:w="819" w:type="pct"/>
            <w:shd w:val="clear" w:color="000000" w:fill="FFFFFF"/>
            <w:noWrap/>
            <w:vAlign w:val="center"/>
            <w:hideMark/>
          </w:tcPr>
          <w:p w:rsidR="00603835" w:rsidRPr="00603835" w:rsidRDefault="00337C98">
            <w:pPr>
              <w:spacing w:before="0" w:line="240" w:lineRule="auto"/>
              <w:ind w:left="-720" w:right="29" w:firstLine="720"/>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r>
      <w:tr w:rsidR="00D67872" w:rsidRPr="00680AFE" w:rsidTr="00D67872">
        <w:trPr>
          <w:trHeight w:val="12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Assets taken over from Licensees pending final Valuation</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p>
        </w:tc>
        <w:tc>
          <w:tcPr>
            <w:tcW w:w="819" w:type="pct"/>
            <w:shd w:val="clear" w:color="000000" w:fill="FFFFFF"/>
            <w:noWrap/>
            <w:vAlign w:val="center"/>
            <w:hideMark/>
          </w:tcPr>
          <w:p w:rsidR="00603835" w:rsidRPr="00603835" w:rsidRDefault="00337C98">
            <w:pPr>
              <w:spacing w:before="0" w:line="240" w:lineRule="auto"/>
              <w:ind w:left="-720" w:right="29" w:firstLine="720"/>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   </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lastRenderedPageBreak/>
              <w:t>Total</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bCs/>
                <w:color w:val="000000"/>
                <w:sz w:val="22"/>
                <w:szCs w:val="22"/>
              </w:rPr>
              <w:t xml:space="preserve">3,106.69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bCs/>
                <w:color w:val="000000"/>
                <w:sz w:val="22"/>
                <w:szCs w:val="22"/>
              </w:rPr>
              <w:t xml:space="preserve">960.95 </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bCs/>
                <w:color w:val="000000"/>
                <w:sz w:val="22"/>
                <w:szCs w:val="22"/>
              </w:rPr>
              <w:t xml:space="preserve">511.54 </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bCs/>
                <w:color w:val="000000"/>
                <w:sz w:val="22"/>
                <w:szCs w:val="22"/>
              </w:rPr>
              <w:t xml:space="preserve">3,556.10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p>
        </w:tc>
        <w:tc>
          <w:tcPr>
            <w:tcW w:w="819" w:type="pct"/>
            <w:shd w:val="clear" w:color="000000" w:fill="FFFFFF"/>
            <w:noWrap/>
            <w:vAlign w:val="center"/>
            <w:hideMark/>
          </w:tcPr>
          <w:p w:rsidR="00603835" w:rsidRPr="00603835" w:rsidRDefault="00337C98">
            <w:pPr>
              <w:spacing w:before="0" w:line="240" w:lineRule="auto"/>
              <w:ind w:left="-720" w:right="29" w:firstLine="720"/>
              <w:jc w:val="right"/>
              <w:rPr>
                <w:rFonts w:asciiTheme="minorHAnsi" w:hAnsiTheme="minorHAnsi"/>
                <w:sz w:val="22"/>
                <w:szCs w:val="22"/>
                <w:lang w:val="en-IN" w:eastAsia="en-IN"/>
              </w:rPr>
            </w:pPr>
            <w:r w:rsidRPr="00337C98">
              <w:rPr>
                <w:rFonts w:asciiTheme="minorHAnsi" w:hAnsiTheme="minorHAnsi" w:cs="Calibri"/>
                <w:bCs/>
                <w:color w:val="000000"/>
                <w:sz w:val="22"/>
                <w:szCs w:val="22"/>
              </w:rPr>
              <w:t xml:space="preserve">261.16 </w:t>
            </w:r>
          </w:p>
        </w:tc>
      </w:tr>
      <w:tr w:rsidR="00D67872" w:rsidRPr="00680AFE" w:rsidTr="00D67872">
        <w:trPr>
          <w:trHeight w:val="600"/>
        </w:trPr>
        <w:tc>
          <w:tcPr>
            <w:tcW w:w="1076" w:type="pct"/>
            <w:shd w:val="clear" w:color="000000" w:fill="FFFFFF"/>
            <w:hideMark/>
          </w:tcPr>
          <w:p w:rsidR="00337C98" w:rsidRPr="00337C98" w:rsidRDefault="00337C98" w:rsidP="00337C98">
            <w:pPr>
              <w:spacing w:before="0" w:line="240" w:lineRule="auto"/>
              <w:rPr>
                <w:rFonts w:asciiTheme="minorHAnsi" w:hAnsiTheme="minorHAnsi"/>
                <w:sz w:val="22"/>
                <w:szCs w:val="22"/>
                <w:lang w:val="en-IN" w:eastAsia="en-IN"/>
              </w:rPr>
            </w:pPr>
            <w:r w:rsidRPr="00337C98">
              <w:rPr>
                <w:rFonts w:asciiTheme="minorHAnsi" w:hAnsiTheme="minorHAnsi"/>
                <w:sz w:val="22"/>
                <w:szCs w:val="22"/>
                <w:lang w:val="en-IN" w:eastAsia="en-IN"/>
              </w:rPr>
              <w:t> Fixed Asset as per Transfer Scheme</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1,505.95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1,505.95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7.84%</w:t>
            </w:r>
          </w:p>
        </w:tc>
        <w:tc>
          <w:tcPr>
            <w:tcW w:w="819"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sz w:val="22"/>
                <w:szCs w:val="22"/>
                <w:lang w:val="en-IN" w:eastAsia="en-IN"/>
              </w:rPr>
            </w:pPr>
            <w:r w:rsidRPr="00337C98">
              <w:rPr>
                <w:rFonts w:asciiTheme="minorHAnsi" w:hAnsiTheme="minorHAnsi" w:cs="Calibri"/>
                <w:color w:val="000000"/>
                <w:sz w:val="22"/>
                <w:szCs w:val="22"/>
              </w:rPr>
              <w:t xml:space="preserve">118.07 </w:t>
            </w:r>
          </w:p>
        </w:tc>
      </w:tr>
      <w:tr w:rsidR="00D67872" w:rsidRPr="00680AFE" w:rsidTr="00D67872">
        <w:trPr>
          <w:trHeight w:val="300"/>
        </w:trPr>
        <w:tc>
          <w:tcPr>
            <w:tcW w:w="1076" w:type="pct"/>
            <w:shd w:val="clear" w:color="000000" w:fill="FFFFFF"/>
            <w:hideMark/>
          </w:tcPr>
          <w:p w:rsidR="00337C98" w:rsidRPr="00337C98" w:rsidRDefault="00337C98" w:rsidP="00337C98">
            <w:pPr>
              <w:spacing w:before="0" w:line="240" w:lineRule="auto"/>
              <w:rPr>
                <w:rFonts w:asciiTheme="minorHAnsi" w:hAnsiTheme="minorHAnsi"/>
                <w:b/>
                <w:sz w:val="22"/>
                <w:szCs w:val="22"/>
                <w:lang w:val="en-IN" w:eastAsia="en-IN"/>
              </w:rPr>
            </w:pPr>
            <w:r w:rsidRPr="00337C98">
              <w:rPr>
                <w:rFonts w:asciiTheme="minorHAnsi" w:hAnsiTheme="minorHAnsi"/>
                <w:b/>
                <w:sz w:val="22"/>
                <w:szCs w:val="22"/>
                <w:lang w:val="en-IN" w:eastAsia="en-IN"/>
              </w:rPr>
              <w:t>GRAND TOTAL</w:t>
            </w:r>
          </w:p>
        </w:tc>
        <w:tc>
          <w:tcPr>
            <w:tcW w:w="573"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b/>
                <w:sz w:val="22"/>
                <w:szCs w:val="22"/>
                <w:lang w:val="en-IN" w:eastAsia="en-IN"/>
              </w:rPr>
            </w:pPr>
            <w:r w:rsidRPr="00337C98">
              <w:rPr>
                <w:rFonts w:asciiTheme="minorHAnsi" w:hAnsiTheme="minorHAnsi" w:cs="Calibri"/>
                <w:b/>
                <w:bCs/>
                <w:color w:val="000000"/>
                <w:sz w:val="22"/>
                <w:szCs w:val="22"/>
              </w:rPr>
              <w:t xml:space="preserve">4,612.64 </w:t>
            </w:r>
          </w:p>
        </w:tc>
        <w:tc>
          <w:tcPr>
            <w:tcW w:w="574"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b/>
                <w:sz w:val="22"/>
                <w:szCs w:val="22"/>
                <w:lang w:val="en-IN" w:eastAsia="en-IN"/>
              </w:rPr>
            </w:pPr>
            <w:r w:rsidRPr="00337C98">
              <w:rPr>
                <w:rFonts w:asciiTheme="minorHAnsi" w:hAnsiTheme="minorHAnsi" w:cs="Calibri"/>
                <w:b/>
                <w:bCs/>
                <w:color w:val="000000"/>
                <w:sz w:val="22"/>
                <w:szCs w:val="22"/>
              </w:rPr>
              <w:t xml:space="preserve">960.95 </w:t>
            </w:r>
          </w:p>
        </w:tc>
        <w:tc>
          <w:tcPr>
            <w:tcW w:w="646"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b/>
                <w:sz w:val="22"/>
                <w:szCs w:val="22"/>
                <w:lang w:val="en-IN" w:eastAsia="en-IN"/>
              </w:rPr>
            </w:pPr>
            <w:r w:rsidRPr="00337C98">
              <w:rPr>
                <w:rFonts w:asciiTheme="minorHAnsi" w:hAnsiTheme="minorHAnsi" w:cs="Calibri"/>
                <w:b/>
                <w:bCs/>
                <w:color w:val="000000"/>
                <w:sz w:val="22"/>
                <w:szCs w:val="22"/>
              </w:rPr>
              <w:t xml:space="preserve">511.54 </w:t>
            </w:r>
          </w:p>
        </w:tc>
        <w:tc>
          <w:tcPr>
            <w:tcW w:w="572"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b/>
                <w:sz w:val="22"/>
                <w:szCs w:val="22"/>
                <w:lang w:val="en-IN" w:eastAsia="en-IN"/>
              </w:rPr>
            </w:pPr>
            <w:r w:rsidRPr="00337C98">
              <w:rPr>
                <w:rFonts w:asciiTheme="minorHAnsi" w:hAnsiTheme="minorHAnsi" w:cs="Calibri"/>
                <w:b/>
                <w:bCs/>
                <w:color w:val="000000"/>
                <w:sz w:val="22"/>
                <w:szCs w:val="22"/>
              </w:rPr>
              <w:t xml:space="preserve">5,062.05 </w:t>
            </w:r>
          </w:p>
        </w:tc>
        <w:tc>
          <w:tcPr>
            <w:tcW w:w="740"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b/>
                <w:sz w:val="22"/>
                <w:szCs w:val="22"/>
                <w:lang w:val="en-IN" w:eastAsia="en-IN"/>
              </w:rPr>
            </w:pPr>
            <w:r w:rsidRPr="00337C98">
              <w:rPr>
                <w:rFonts w:asciiTheme="minorHAnsi" w:hAnsiTheme="minorHAnsi" w:cs="Calibri"/>
                <w:b/>
                <w:color w:val="000000"/>
                <w:sz w:val="22"/>
                <w:szCs w:val="22"/>
              </w:rPr>
              <w:t>7.84%</w:t>
            </w:r>
          </w:p>
        </w:tc>
        <w:tc>
          <w:tcPr>
            <w:tcW w:w="819" w:type="pct"/>
            <w:shd w:val="clear" w:color="000000" w:fill="FFFFFF"/>
            <w:noWrap/>
            <w:vAlign w:val="center"/>
            <w:hideMark/>
          </w:tcPr>
          <w:p w:rsidR="00337C98" w:rsidRPr="00337C98" w:rsidRDefault="00337C98" w:rsidP="00337C98">
            <w:pPr>
              <w:spacing w:before="0" w:line="240" w:lineRule="auto"/>
              <w:jc w:val="right"/>
              <w:rPr>
                <w:rFonts w:asciiTheme="minorHAnsi" w:hAnsiTheme="minorHAnsi"/>
                <w:b/>
                <w:sz w:val="22"/>
                <w:szCs w:val="22"/>
                <w:lang w:val="en-IN" w:eastAsia="en-IN"/>
              </w:rPr>
            </w:pPr>
            <w:r w:rsidRPr="00337C98">
              <w:rPr>
                <w:rFonts w:asciiTheme="minorHAnsi" w:hAnsiTheme="minorHAnsi" w:cs="Calibri"/>
                <w:b/>
                <w:bCs/>
                <w:color w:val="000000"/>
                <w:sz w:val="22"/>
                <w:szCs w:val="22"/>
              </w:rPr>
              <w:t xml:space="preserve">379.23 </w:t>
            </w:r>
          </w:p>
        </w:tc>
      </w:tr>
    </w:tbl>
    <w:p w:rsidR="00603835" w:rsidRDefault="00603835">
      <w:pPr>
        <w:spacing w:before="0"/>
        <w:jc w:val="center"/>
        <w:rPr>
          <w:rFonts w:asciiTheme="minorHAnsi" w:hAnsiTheme="minorHAnsi"/>
          <w:sz w:val="22"/>
          <w:szCs w:val="22"/>
          <w:lang w:val="en-US"/>
        </w:rPr>
      </w:pPr>
    </w:p>
    <w:p w:rsidR="006B17F5" w:rsidRPr="00D76C64" w:rsidRDefault="00E34329" w:rsidP="00C60AD1">
      <w:pPr>
        <w:pStyle w:val="Heading3"/>
        <w:tabs>
          <w:tab w:val="clear" w:pos="720"/>
        </w:tabs>
        <w:ind w:left="993" w:hanging="993"/>
      </w:pPr>
      <w:r w:rsidRPr="00E34329">
        <w:rPr>
          <w:bCs w:val="0"/>
        </w:rPr>
        <w:t>In rep</w:t>
      </w:r>
      <w:r w:rsidRPr="00E34329">
        <w:t>ly to the Commission's query regarding claimed depreciation rate of 7.84%, the Licensee has submitted that it has considered a weighted average depreciation rate of 7.84% for the truing up in respect of FY 2013-14, which is in line with the rate considered by the Commission in its Tariff Order for FY 2013-14.</w:t>
      </w:r>
    </w:p>
    <w:p w:rsidR="003147B8" w:rsidRPr="00D76C64" w:rsidRDefault="00E34329" w:rsidP="00C60AD1">
      <w:pPr>
        <w:pStyle w:val="Heading3"/>
        <w:tabs>
          <w:tab w:val="clear" w:pos="720"/>
        </w:tabs>
        <w:spacing w:after="240"/>
        <w:ind w:left="993" w:hanging="993"/>
      </w:pPr>
      <w:r w:rsidRPr="00E34329">
        <w:t>The Commission asked the Petitioner to confirm that the cumulative depreciation in FY 2013-14 is less than 90% of GFA for all assets, since assets cannot be depreciated beyond 90% of GFA in accordance with the Distribution Tariff Regulations, 2006, which the Petitioner confirmed in the reply to deficiency note.</w:t>
      </w:r>
    </w:p>
    <w:p w:rsidR="0005537C" w:rsidRPr="00D76C64" w:rsidRDefault="00E34329" w:rsidP="00C60AD1">
      <w:pPr>
        <w:pStyle w:val="Heading3"/>
        <w:tabs>
          <w:tab w:val="clear" w:pos="720"/>
        </w:tabs>
        <w:spacing w:after="240"/>
        <w:ind w:left="993" w:hanging="993"/>
      </w:pPr>
      <w:r w:rsidRPr="00E34329">
        <w:rPr>
          <w:bCs w:val="0"/>
        </w:rPr>
        <w:t>The Commission has repeatedly given several directions to the Licensee</w:t>
      </w:r>
      <w:r w:rsidRPr="00E34329">
        <w:t xml:space="preserve"> to ensure that proper and detailed Fixed Assets Registers are maintained at the field offices. Further, the Hon’ble APTEL in Appeal No. 121 of 2010 &amp; I.A. No. 83 of 2011 has also reinforced Commission’s views and has directed the Licensee to comply with the regulations and directions issued by the Commission. In view of the same the Commission in its Tariff Order for FY 2013-14 had withheld 20% of the allowable depreciation for FY 2013-14 and directed the Licensee that same would be released to be recovered through tariff upon submission of fixed asset registers up to FY 2012-13. The relevant extract of the Tariff Order for FY 2013-14 has been reproduced below:</w:t>
      </w:r>
    </w:p>
    <w:p w:rsidR="0005537C" w:rsidRPr="00D76C64" w:rsidRDefault="00E34329" w:rsidP="005607D3">
      <w:pPr>
        <w:pStyle w:val="Heading3"/>
        <w:numPr>
          <w:ilvl w:val="0"/>
          <w:numId w:val="0"/>
        </w:numPr>
        <w:spacing w:before="0"/>
        <w:ind w:left="1440"/>
        <w:rPr>
          <w:i/>
          <w:szCs w:val="24"/>
        </w:rPr>
      </w:pPr>
      <w:r w:rsidRPr="00E34329">
        <w:rPr>
          <w:i/>
        </w:rPr>
        <w:t>“As a first step towards reprimanding the Licensee over the issue of non-maintenance of fixed asset registers, the Commission has withheld 20% of the allowable depreciation for FY 2013-14. The same would be released for recovery through tariff, upon submission of fixed asset registers up to the current year i.e., FY 2012-13 by 30</w:t>
      </w:r>
      <w:r w:rsidRPr="00E34329">
        <w:rPr>
          <w:i/>
          <w:vertAlign w:val="superscript"/>
        </w:rPr>
        <w:t>th</w:t>
      </w:r>
      <w:r w:rsidRPr="00E34329">
        <w:rPr>
          <w:i/>
        </w:rPr>
        <w:t xml:space="preserve"> November, 2013.” </w:t>
      </w:r>
    </w:p>
    <w:p w:rsidR="0005537C" w:rsidRPr="00D76C64" w:rsidRDefault="00E34329" w:rsidP="005607D3">
      <w:pPr>
        <w:pStyle w:val="Heading3"/>
        <w:numPr>
          <w:ilvl w:val="0"/>
          <w:numId w:val="0"/>
        </w:numPr>
        <w:tabs>
          <w:tab w:val="clear" w:pos="720"/>
        </w:tabs>
        <w:spacing w:after="240"/>
        <w:ind w:left="993"/>
      </w:pPr>
      <w:r w:rsidRPr="00E34329">
        <w:t xml:space="preserve">Further the Commission in all its subsequent Tariff Orders has been repeatedly directing the Licensee to submit the fixed asset register, but the Licensee has </w:t>
      </w:r>
      <w:r w:rsidRPr="00E34329">
        <w:lastRenderedPageBreak/>
        <w:t>not been able to submit the same. In reply to the Commission’s deficiency note dated January 29, 2016, the Petitioner in its reply dated March 9, 2016submitted that it has not been able to finalise the preparation of the fixed asset registers due to the huge backlog of previous financial years and due to the fact that the transfer scheme has still not been finalised and requested the Commission that depreciation may be allowed to the Petitioner based on the GFA balance as per audited accounts as it has been duly certified by the statutory auditors and by the CAG.</w:t>
      </w:r>
    </w:p>
    <w:p w:rsidR="008B50F4" w:rsidRPr="00D76C64" w:rsidRDefault="00E34329" w:rsidP="00C60AD1">
      <w:pPr>
        <w:pStyle w:val="Heading3"/>
        <w:tabs>
          <w:tab w:val="clear" w:pos="720"/>
        </w:tabs>
        <w:spacing w:after="240"/>
        <w:ind w:left="993" w:hanging="993"/>
      </w:pPr>
      <w:r w:rsidRPr="00E34329">
        <w:t xml:space="preserve">The Commission has observed that even after repeated direction of the Commission DVVNL has not submitted the detailed fixed asset register. Therefore, the Commission has withheld 20% of the allowable depreciation for FY 2013-14 as directed in Tariff Order for FY 2013-14 dated May 31, 2013. </w:t>
      </w:r>
    </w:p>
    <w:p w:rsidR="00D5771F" w:rsidRDefault="00E34329">
      <w:pPr>
        <w:pStyle w:val="Heading3"/>
        <w:tabs>
          <w:tab w:val="clear" w:pos="720"/>
        </w:tabs>
        <w:spacing w:after="240"/>
        <w:ind w:left="993" w:hanging="993"/>
        <w:rPr>
          <w:rFonts w:asciiTheme="minorHAnsi" w:hAnsiTheme="minorHAnsi"/>
        </w:rPr>
      </w:pPr>
      <w:r w:rsidRPr="00E34329">
        <w:t>Thus, the approved depreciation for FY 2013-14 is as shown in the Table given below:</w:t>
      </w:r>
    </w:p>
    <w:p w:rsidR="003147B8" w:rsidRPr="00E0115C" w:rsidRDefault="00E34329" w:rsidP="00C60AD1">
      <w:pPr>
        <w:spacing w:before="0"/>
        <w:jc w:val="center"/>
        <w:rPr>
          <w:rFonts w:asciiTheme="minorHAnsi" w:hAnsiTheme="minorHAnsi" w:cs="Calibri"/>
          <w:b/>
          <w:sz w:val="22"/>
          <w:szCs w:val="22"/>
          <w:lang w:val="en-US"/>
        </w:rPr>
      </w:pPr>
      <w:bookmarkStart w:id="278" w:name="_Toc394490647"/>
      <w:bookmarkStart w:id="279" w:name="_Toc457604011"/>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19</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DEPRECIATION EXPENSES FOR FY 2013-14 (Rs. Crore)</w:t>
      </w:r>
      <w:bookmarkEnd w:id="278"/>
      <w:bookmarkEnd w:id="279"/>
    </w:p>
    <w:tbl>
      <w:tblPr>
        <w:tblW w:w="8782" w:type="dxa"/>
        <w:tblInd w:w="103" w:type="dxa"/>
        <w:tblLook w:val="04A0"/>
      </w:tblPr>
      <w:tblGrid>
        <w:gridCol w:w="3266"/>
        <w:gridCol w:w="1376"/>
        <w:gridCol w:w="1380"/>
        <w:gridCol w:w="1380"/>
        <w:gridCol w:w="1380"/>
      </w:tblGrid>
      <w:tr w:rsidR="0067709C" w:rsidRPr="00E0115C" w:rsidTr="00260B80">
        <w:trPr>
          <w:trHeight w:val="900"/>
        </w:trPr>
        <w:tc>
          <w:tcPr>
            <w:tcW w:w="3266" w:type="dxa"/>
            <w:tcBorders>
              <w:top w:val="dotted" w:sz="4" w:space="0" w:color="auto"/>
              <w:left w:val="dotted" w:sz="4" w:space="0" w:color="auto"/>
              <w:bottom w:val="dotted" w:sz="4" w:space="0" w:color="auto"/>
              <w:right w:val="dotted" w:sz="4" w:space="0" w:color="auto"/>
            </w:tcBorders>
            <w:shd w:val="clear" w:color="000000" w:fill="DBE5F1"/>
            <w:noWrap/>
            <w:hideMark/>
          </w:tcPr>
          <w:p w:rsidR="0067709C"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Particulars</w:t>
            </w:r>
          </w:p>
        </w:tc>
        <w:tc>
          <w:tcPr>
            <w:tcW w:w="1376" w:type="dxa"/>
            <w:tcBorders>
              <w:top w:val="dotted" w:sz="4" w:space="0" w:color="auto"/>
              <w:left w:val="nil"/>
              <w:bottom w:val="dotted" w:sz="4" w:space="0" w:color="auto"/>
              <w:right w:val="dotted" w:sz="4" w:space="0" w:color="auto"/>
            </w:tcBorders>
            <w:shd w:val="clear" w:color="000000" w:fill="DBE5F1"/>
            <w:hideMark/>
          </w:tcPr>
          <w:p w:rsidR="0067709C"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Tariff Order</w:t>
            </w:r>
          </w:p>
        </w:tc>
        <w:tc>
          <w:tcPr>
            <w:tcW w:w="1380" w:type="dxa"/>
            <w:tcBorders>
              <w:top w:val="dotted" w:sz="4" w:space="0" w:color="auto"/>
              <w:left w:val="nil"/>
              <w:bottom w:val="dotted" w:sz="4" w:space="0" w:color="auto"/>
              <w:right w:val="dotted" w:sz="4" w:space="0" w:color="auto"/>
            </w:tcBorders>
            <w:shd w:val="clear" w:color="000000" w:fill="DBE5F1"/>
            <w:hideMark/>
          </w:tcPr>
          <w:p w:rsidR="0067709C"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Actual as per audited accounts</w:t>
            </w:r>
          </w:p>
        </w:tc>
        <w:tc>
          <w:tcPr>
            <w:tcW w:w="1380" w:type="dxa"/>
            <w:tcBorders>
              <w:top w:val="dotted" w:sz="4" w:space="0" w:color="auto"/>
              <w:left w:val="nil"/>
              <w:bottom w:val="dotted" w:sz="4" w:space="0" w:color="auto"/>
              <w:right w:val="dotted" w:sz="4" w:space="0" w:color="auto"/>
            </w:tcBorders>
            <w:shd w:val="clear" w:color="000000" w:fill="DBE5F1"/>
            <w:hideMark/>
          </w:tcPr>
          <w:p w:rsidR="0067709C"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True-up Petition</w:t>
            </w:r>
          </w:p>
        </w:tc>
        <w:tc>
          <w:tcPr>
            <w:tcW w:w="1380" w:type="dxa"/>
            <w:tcBorders>
              <w:top w:val="dotted" w:sz="4" w:space="0" w:color="auto"/>
              <w:left w:val="nil"/>
              <w:bottom w:val="dotted" w:sz="4" w:space="0" w:color="auto"/>
              <w:right w:val="dotted" w:sz="4" w:space="0" w:color="auto"/>
            </w:tcBorders>
            <w:shd w:val="clear" w:color="000000" w:fill="DBE5F1"/>
            <w:hideMark/>
          </w:tcPr>
          <w:p w:rsidR="0067709C"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sz w:val="22"/>
                <w:szCs w:val="22"/>
                <w:lang w:val="en-IN" w:eastAsia="en-IN"/>
              </w:rPr>
              <w:t xml:space="preserve">Approved upon Truing </w:t>
            </w:r>
            <w:r w:rsidR="00C2017B">
              <w:rPr>
                <w:rFonts w:asciiTheme="minorHAnsi" w:hAnsiTheme="minorHAnsi"/>
                <w:b/>
                <w:sz w:val="22"/>
                <w:szCs w:val="22"/>
                <w:lang w:val="en-IN" w:eastAsia="en-IN"/>
              </w:rPr>
              <w:t>u</w:t>
            </w:r>
            <w:r w:rsidRPr="00E34329">
              <w:rPr>
                <w:rFonts w:asciiTheme="minorHAnsi" w:hAnsiTheme="minorHAnsi"/>
                <w:b/>
                <w:sz w:val="22"/>
                <w:szCs w:val="22"/>
                <w:lang w:val="en-IN" w:eastAsia="en-IN"/>
              </w:rPr>
              <w:t>p</w:t>
            </w:r>
          </w:p>
        </w:tc>
      </w:tr>
      <w:tr w:rsidR="006F1CD6" w:rsidRPr="00E0115C" w:rsidTr="00260B80">
        <w:trPr>
          <w:trHeight w:val="300"/>
        </w:trPr>
        <w:tc>
          <w:tcPr>
            <w:tcW w:w="3266" w:type="dxa"/>
            <w:tcBorders>
              <w:top w:val="nil"/>
              <w:left w:val="dotted" w:sz="4" w:space="0" w:color="auto"/>
              <w:bottom w:val="dotted" w:sz="4" w:space="0" w:color="auto"/>
              <w:right w:val="dotted" w:sz="4" w:space="0" w:color="auto"/>
            </w:tcBorders>
            <w:shd w:val="clear" w:color="auto" w:fill="auto"/>
            <w:noWrap/>
            <w:vAlign w:val="bottom"/>
            <w:hideMark/>
          </w:tcPr>
          <w:p w:rsidR="006F1CD6" w:rsidRPr="00E0115C" w:rsidRDefault="00E34329" w:rsidP="00C60AD1">
            <w:pPr>
              <w:spacing w:before="0" w:line="240" w:lineRule="auto"/>
              <w:jc w:val="left"/>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Depreciation</w:t>
            </w:r>
          </w:p>
        </w:tc>
        <w:tc>
          <w:tcPr>
            <w:tcW w:w="1376" w:type="dxa"/>
            <w:tcBorders>
              <w:top w:val="nil"/>
              <w:left w:val="nil"/>
              <w:bottom w:val="dotted" w:sz="4" w:space="0" w:color="auto"/>
              <w:right w:val="dotted" w:sz="4" w:space="0" w:color="auto"/>
            </w:tcBorders>
            <w:shd w:val="clear" w:color="000000" w:fill="FFFFFF"/>
            <w:noWrap/>
            <w:vAlign w:val="center"/>
            <w:hideMark/>
          </w:tcPr>
          <w:p w:rsidR="006F1CD6" w:rsidRPr="00E0115C" w:rsidRDefault="00E34329" w:rsidP="00C60AD1">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386.14</w:t>
            </w:r>
          </w:p>
        </w:tc>
        <w:tc>
          <w:tcPr>
            <w:tcW w:w="1380" w:type="dxa"/>
            <w:tcBorders>
              <w:top w:val="nil"/>
              <w:left w:val="nil"/>
              <w:bottom w:val="dotted" w:sz="4" w:space="0" w:color="auto"/>
              <w:right w:val="dotted" w:sz="4" w:space="0" w:color="auto"/>
            </w:tcBorders>
            <w:shd w:val="clear" w:color="000000" w:fill="FFFFFF"/>
            <w:noWrap/>
            <w:vAlign w:val="center"/>
            <w:hideMark/>
          </w:tcPr>
          <w:p w:rsidR="006F1CD6" w:rsidRPr="00E0115C" w:rsidRDefault="00E34329" w:rsidP="00C60AD1">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227.88</w:t>
            </w:r>
          </w:p>
        </w:tc>
        <w:tc>
          <w:tcPr>
            <w:tcW w:w="1380" w:type="dxa"/>
            <w:tcBorders>
              <w:top w:val="nil"/>
              <w:left w:val="nil"/>
              <w:bottom w:val="dotted" w:sz="4" w:space="0" w:color="auto"/>
              <w:right w:val="dotted" w:sz="4" w:space="0" w:color="auto"/>
            </w:tcBorders>
            <w:shd w:val="clear" w:color="auto" w:fill="auto"/>
            <w:noWrap/>
            <w:vAlign w:val="center"/>
            <w:hideMark/>
          </w:tcPr>
          <w:p w:rsidR="006F1CD6" w:rsidRPr="00E0115C" w:rsidRDefault="00E34329" w:rsidP="00C60AD1">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379.22</w:t>
            </w:r>
          </w:p>
        </w:tc>
        <w:tc>
          <w:tcPr>
            <w:tcW w:w="1380" w:type="dxa"/>
            <w:tcBorders>
              <w:top w:val="nil"/>
              <w:left w:val="nil"/>
              <w:bottom w:val="dotted" w:sz="4" w:space="0" w:color="auto"/>
              <w:right w:val="dotted" w:sz="4" w:space="0" w:color="auto"/>
            </w:tcBorders>
            <w:shd w:val="clear" w:color="auto" w:fill="auto"/>
            <w:noWrap/>
            <w:vAlign w:val="center"/>
            <w:hideMark/>
          </w:tcPr>
          <w:p w:rsidR="006F1CD6" w:rsidRPr="00E0115C" w:rsidRDefault="00E34329" w:rsidP="00C60AD1">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379.24</w:t>
            </w:r>
          </w:p>
        </w:tc>
      </w:tr>
      <w:tr w:rsidR="006F1CD6" w:rsidRPr="00E0115C" w:rsidTr="00260B80">
        <w:trPr>
          <w:trHeight w:val="1200"/>
        </w:trPr>
        <w:tc>
          <w:tcPr>
            <w:tcW w:w="3266" w:type="dxa"/>
            <w:tcBorders>
              <w:top w:val="nil"/>
              <w:left w:val="dotted" w:sz="4" w:space="0" w:color="auto"/>
              <w:bottom w:val="dotted" w:sz="4" w:space="0" w:color="auto"/>
              <w:right w:val="dotted" w:sz="4" w:space="0" w:color="auto"/>
            </w:tcBorders>
            <w:shd w:val="clear" w:color="auto" w:fill="auto"/>
            <w:vAlign w:val="bottom"/>
            <w:hideMark/>
          </w:tcPr>
          <w:p w:rsidR="006F1CD6" w:rsidRPr="00E0115C" w:rsidRDefault="00E34329" w:rsidP="00C60AD1">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Less: Equivalent amount of depreciation on assets acquired out of the consumer contribution and GoUP Subsidy</w:t>
            </w:r>
          </w:p>
        </w:tc>
        <w:tc>
          <w:tcPr>
            <w:tcW w:w="1376" w:type="dxa"/>
            <w:tcBorders>
              <w:top w:val="nil"/>
              <w:left w:val="nil"/>
              <w:bottom w:val="dotted" w:sz="4" w:space="0" w:color="auto"/>
              <w:right w:val="dotted" w:sz="4" w:space="0" w:color="auto"/>
            </w:tcBorders>
            <w:shd w:val="clear" w:color="000000" w:fill="FFFFFF"/>
            <w:noWrap/>
            <w:vAlign w:val="center"/>
            <w:hideMark/>
          </w:tcPr>
          <w:p w:rsidR="006F1CD6" w:rsidRPr="00E0115C" w:rsidRDefault="00E34329" w:rsidP="00C60AD1">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67.04</w:t>
            </w:r>
          </w:p>
        </w:tc>
        <w:tc>
          <w:tcPr>
            <w:tcW w:w="1380" w:type="dxa"/>
            <w:tcBorders>
              <w:top w:val="nil"/>
              <w:left w:val="nil"/>
              <w:bottom w:val="dotted" w:sz="4" w:space="0" w:color="auto"/>
              <w:right w:val="dotted" w:sz="4" w:space="0" w:color="auto"/>
            </w:tcBorders>
            <w:shd w:val="clear" w:color="000000" w:fill="FFFFFF"/>
            <w:noWrap/>
            <w:vAlign w:val="center"/>
            <w:hideMark/>
          </w:tcPr>
          <w:p w:rsidR="006F1CD6" w:rsidRPr="00E0115C" w:rsidRDefault="00E34329" w:rsidP="00C60AD1">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52.20</w:t>
            </w:r>
          </w:p>
        </w:tc>
        <w:tc>
          <w:tcPr>
            <w:tcW w:w="1380" w:type="dxa"/>
            <w:tcBorders>
              <w:top w:val="nil"/>
              <w:left w:val="nil"/>
              <w:bottom w:val="dotted" w:sz="4" w:space="0" w:color="auto"/>
              <w:right w:val="dotted" w:sz="4" w:space="0" w:color="auto"/>
            </w:tcBorders>
            <w:shd w:val="clear" w:color="auto" w:fill="auto"/>
            <w:noWrap/>
            <w:vAlign w:val="center"/>
            <w:hideMark/>
          </w:tcPr>
          <w:p w:rsidR="006F1CD6" w:rsidRPr="00E0115C" w:rsidRDefault="00E34329" w:rsidP="00C60AD1">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52.20</w:t>
            </w:r>
          </w:p>
        </w:tc>
        <w:tc>
          <w:tcPr>
            <w:tcW w:w="1380" w:type="dxa"/>
            <w:tcBorders>
              <w:top w:val="nil"/>
              <w:left w:val="nil"/>
              <w:bottom w:val="dotted" w:sz="4" w:space="0" w:color="auto"/>
              <w:right w:val="dotted" w:sz="4" w:space="0" w:color="auto"/>
            </w:tcBorders>
            <w:shd w:val="clear" w:color="auto" w:fill="auto"/>
            <w:noWrap/>
            <w:vAlign w:val="center"/>
            <w:hideMark/>
          </w:tcPr>
          <w:p w:rsidR="006F1CD6" w:rsidRPr="00E0115C" w:rsidRDefault="00E34329" w:rsidP="00C60AD1">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52.20</w:t>
            </w:r>
          </w:p>
        </w:tc>
      </w:tr>
      <w:tr w:rsidR="00260B80" w:rsidRPr="00E0115C" w:rsidTr="00260B80">
        <w:trPr>
          <w:trHeight w:val="263"/>
        </w:trPr>
        <w:tc>
          <w:tcPr>
            <w:tcW w:w="3266" w:type="dxa"/>
            <w:tcBorders>
              <w:top w:val="nil"/>
              <w:left w:val="dotted" w:sz="4" w:space="0" w:color="auto"/>
              <w:bottom w:val="dotted" w:sz="4" w:space="0" w:color="auto"/>
              <w:right w:val="dotted" w:sz="4" w:space="0" w:color="auto"/>
            </w:tcBorders>
            <w:shd w:val="clear" w:color="auto" w:fill="auto"/>
            <w:hideMark/>
          </w:tcPr>
          <w:p w:rsidR="00714676" w:rsidRPr="00E0115C" w:rsidRDefault="00E34329">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Gross Allowable Depreciation</w:t>
            </w:r>
          </w:p>
        </w:tc>
        <w:tc>
          <w:tcPr>
            <w:tcW w:w="1376" w:type="dxa"/>
            <w:tcBorders>
              <w:top w:val="nil"/>
              <w:left w:val="nil"/>
              <w:bottom w:val="dotted" w:sz="4" w:space="0" w:color="auto"/>
              <w:right w:val="dotted" w:sz="4" w:space="0" w:color="auto"/>
            </w:tcBorders>
            <w:shd w:val="clear" w:color="000000" w:fill="FFFFFF"/>
            <w:noWrap/>
            <w:vAlign w:val="center"/>
            <w:hideMark/>
          </w:tcPr>
          <w:p w:rsidR="00260B80" w:rsidRPr="00E0115C" w:rsidRDefault="00E34329" w:rsidP="00C60AD1">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319.10</w:t>
            </w:r>
          </w:p>
        </w:tc>
        <w:tc>
          <w:tcPr>
            <w:tcW w:w="1380" w:type="dxa"/>
            <w:tcBorders>
              <w:top w:val="nil"/>
              <w:left w:val="nil"/>
              <w:bottom w:val="dotted" w:sz="4" w:space="0" w:color="auto"/>
              <w:right w:val="dotted" w:sz="4" w:space="0" w:color="auto"/>
            </w:tcBorders>
            <w:shd w:val="clear" w:color="000000" w:fill="FFFFFF"/>
            <w:noWrap/>
            <w:vAlign w:val="center"/>
            <w:hideMark/>
          </w:tcPr>
          <w:p w:rsidR="00260B80" w:rsidRPr="00E0115C" w:rsidRDefault="00E34329" w:rsidP="00C60AD1">
            <w:pPr>
              <w:spacing w:before="0" w:line="240" w:lineRule="auto"/>
              <w:jc w:val="right"/>
              <w:rPr>
                <w:rFonts w:asciiTheme="minorHAnsi" w:hAnsiTheme="minorHAnsi"/>
                <w:color w:val="000000"/>
                <w:sz w:val="22"/>
                <w:szCs w:val="22"/>
              </w:rPr>
            </w:pPr>
            <w:r w:rsidRPr="00E34329">
              <w:rPr>
                <w:rFonts w:asciiTheme="minorHAnsi" w:hAnsiTheme="minorHAnsi"/>
                <w:b/>
                <w:bCs/>
                <w:color w:val="000000"/>
                <w:sz w:val="22"/>
                <w:szCs w:val="22"/>
              </w:rPr>
              <w:t>175.68</w:t>
            </w:r>
          </w:p>
        </w:tc>
        <w:tc>
          <w:tcPr>
            <w:tcW w:w="1380" w:type="dxa"/>
            <w:tcBorders>
              <w:top w:val="nil"/>
              <w:left w:val="nil"/>
              <w:bottom w:val="dotted" w:sz="4" w:space="0" w:color="auto"/>
              <w:right w:val="dotted" w:sz="4" w:space="0" w:color="auto"/>
            </w:tcBorders>
            <w:shd w:val="clear" w:color="auto" w:fill="auto"/>
            <w:noWrap/>
            <w:vAlign w:val="center"/>
            <w:hideMark/>
          </w:tcPr>
          <w:p w:rsidR="00260B80" w:rsidRPr="00E0115C" w:rsidRDefault="00E34329" w:rsidP="00C60AD1">
            <w:pPr>
              <w:spacing w:before="0" w:line="240" w:lineRule="auto"/>
              <w:jc w:val="right"/>
              <w:rPr>
                <w:rFonts w:asciiTheme="minorHAnsi" w:hAnsiTheme="minorHAnsi"/>
                <w:color w:val="000000"/>
                <w:sz w:val="22"/>
                <w:szCs w:val="22"/>
              </w:rPr>
            </w:pPr>
            <w:r w:rsidRPr="00E34329">
              <w:rPr>
                <w:rFonts w:asciiTheme="minorHAnsi" w:hAnsiTheme="minorHAnsi"/>
                <w:b/>
                <w:bCs/>
                <w:color w:val="000000"/>
                <w:sz w:val="22"/>
                <w:szCs w:val="22"/>
              </w:rPr>
              <w:t>327.02</w:t>
            </w:r>
          </w:p>
        </w:tc>
        <w:tc>
          <w:tcPr>
            <w:tcW w:w="1380" w:type="dxa"/>
            <w:tcBorders>
              <w:top w:val="nil"/>
              <w:left w:val="nil"/>
              <w:bottom w:val="dotted" w:sz="4" w:space="0" w:color="auto"/>
              <w:right w:val="dotted" w:sz="4" w:space="0" w:color="auto"/>
            </w:tcBorders>
            <w:shd w:val="clear" w:color="auto" w:fill="auto"/>
            <w:noWrap/>
            <w:vAlign w:val="center"/>
            <w:hideMark/>
          </w:tcPr>
          <w:p w:rsidR="00260B80" w:rsidRPr="00E0115C" w:rsidRDefault="00E34329" w:rsidP="00C60AD1">
            <w:pPr>
              <w:spacing w:before="0" w:line="240" w:lineRule="auto"/>
              <w:jc w:val="right"/>
              <w:rPr>
                <w:rFonts w:asciiTheme="minorHAnsi" w:hAnsiTheme="minorHAnsi"/>
                <w:color w:val="000000"/>
                <w:sz w:val="22"/>
                <w:szCs w:val="22"/>
              </w:rPr>
            </w:pPr>
            <w:r w:rsidRPr="00E34329">
              <w:rPr>
                <w:rFonts w:asciiTheme="minorHAnsi" w:hAnsiTheme="minorHAnsi"/>
                <w:b/>
                <w:bCs/>
                <w:color w:val="000000"/>
                <w:sz w:val="22"/>
                <w:szCs w:val="22"/>
              </w:rPr>
              <w:t>327.04</w:t>
            </w:r>
          </w:p>
        </w:tc>
      </w:tr>
      <w:tr w:rsidR="008B50F4" w:rsidRPr="00E0115C" w:rsidTr="00260B80">
        <w:trPr>
          <w:trHeight w:val="550"/>
        </w:trPr>
        <w:tc>
          <w:tcPr>
            <w:tcW w:w="3266" w:type="dxa"/>
            <w:tcBorders>
              <w:top w:val="nil"/>
              <w:left w:val="dotted" w:sz="4" w:space="0" w:color="auto"/>
              <w:bottom w:val="dotted" w:sz="4" w:space="0" w:color="auto"/>
              <w:right w:val="dotted" w:sz="4" w:space="0" w:color="auto"/>
            </w:tcBorders>
            <w:shd w:val="clear" w:color="auto" w:fill="auto"/>
            <w:vAlign w:val="bottom"/>
            <w:hideMark/>
          </w:tcPr>
          <w:p w:rsidR="008B50F4" w:rsidRPr="00E0115C" w:rsidRDefault="00E34329" w:rsidP="00C60AD1">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Less: Depreciation withheld due to non-maintenance of Fixed Asset Register @20%</w:t>
            </w:r>
          </w:p>
        </w:tc>
        <w:tc>
          <w:tcPr>
            <w:tcW w:w="1376" w:type="dxa"/>
            <w:tcBorders>
              <w:top w:val="nil"/>
              <w:left w:val="nil"/>
              <w:bottom w:val="dotted" w:sz="4" w:space="0" w:color="auto"/>
              <w:right w:val="dotted" w:sz="4" w:space="0" w:color="auto"/>
            </w:tcBorders>
            <w:shd w:val="clear" w:color="000000" w:fill="FFFFFF"/>
            <w:noWrap/>
            <w:vAlign w:val="center"/>
            <w:hideMark/>
          </w:tcPr>
          <w:p w:rsidR="008B50F4" w:rsidRPr="00E0115C" w:rsidRDefault="00E34329" w:rsidP="00C60AD1">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63.82</w:t>
            </w:r>
          </w:p>
        </w:tc>
        <w:tc>
          <w:tcPr>
            <w:tcW w:w="1380" w:type="dxa"/>
            <w:tcBorders>
              <w:top w:val="nil"/>
              <w:left w:val="nil"/>
              <w:bottom w:val="dotted" w:sz="4" w:space="0" w:color="auto"/>
              <w:right w:val="dotted" w:sz="4" w:space="0" w:color="auto"/>
            </w:tcBorders>
            <w:shd w:val="clear" w:color="000000" w:fill="FFFFFF"/>
            <w:noWrap/>
            <w:vAlign w:val="center"/>
            <w:hideMark/>
          </w:tcPr>
          <w:p w:rsidR="008B50F4" w:rsidRPr="00E0115C" w:rsidRDefault="00E34329" w:rsidP="00C60AD1">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w:t>
            </w:r>
          </w:p>
        </w:tc>
        <w:tc>
          <w:tcPr>
            <w:tcW w:w="1380" w:type="dxa"/>
            <w:tcBorders>
              <w:top w:val="nil"/>
              <w:left w:val="nil"/>
              <w:bottom w:val="dotted" w:sz="4" w:space="0" w:color="auto"/>
              <w:right w:val="dotted" w:sz="4" w:space="0" w:color="auto"/>
            </w:tcBorders>
            <w:shd w:val="clear" w:color="auto" w:fill="auto"/>
            <w:noWrap/>
            <w:vAlign w:val="center"/>
            <w:hideMark/>
          </w:tcPr>
          <w:p w:rsidR="008B50F4" w:rsidRPr="00E0115C" w:rsidRDefault="00E34329" w:rsidP="00C60AD1">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w:t>
            </w:r>
          </w:p>
        </w:tc>
        <w:tc>
          <w:tcPr>
            <w:tcW w:w="1380" w:type="dxa"/>
            <w:tcBorders>
              <w:top w:val="nil"/>
              <w:left w:val="nil"/>
              <w:bottom w:val="dotted" w:sz="4" w:space="0" w:color="auto"/>
              <w:right w:val="dotted" w:sz="4" w:space="0" w:color="auto"/>
            </w:tcBorders>
            <w:shd w:val="clear" w:color="auto" w:fill="auto"/>
            <w:noWrap/>
            <w:vAlign w:val="center"/>
            <w:hideMark/>
          </w:tcPr>
          <w:p w:rsidR="008B50F4" w:rsidRPr="00E0115C" w:rsidRDefault="00E34329" w:rsidP="00C60AD1">
            <w:pPr>
              <w:spacing w:before="0" w:line="240" w:lineRule="auto"/>
              <w:jc w:val="right"/>
              <w:rPr>
                <w:rFonts w:asciiTheme="minorHAnsi" w:hAnsiTheme="minorHAnsi"/>
                <w:color w:val="000000"/>
                <w:sz w:val="22"/>
                <w:szCs w:val="22"/>
              </w:rPr>
            </w:pPr>
            <w:r w:rsidRPr="00E34329">
              <w:rPr>
                <w:rFonts w:asciiTheme="minorHAnsi" w:hAnsiTheme="minorHAnsi" w:cs="Calibri"/>
                <w:color w:val="000000"/>
                <w:sz w:val="22"/>
                <w:szCs w:val="22"/>
              </w:rPr>
              <w:t xml:space="preserve">             65.41 </w:t>
            </w:r>
          </w:p>
        </w:tc>
      </w:tr>
      <w:tr w:rsidR="008B50F4" w:rsidRPr="00E0115C" w:rsidTr="00260B80">
        <w:trPr>
          <w:trHeight w:val="300"/>
        </w:trPr>
        <w:tc>
          <w:tcPr>
            <w:tcW w:w="3266" w:type="dxa"/>
            <w:tcBorders>
              <w:top w:val="nil"/>
              <w:left w:val="dotted" w:sz="4" w:space="0" w:color="auto"/>
              <w:bottom w:val="dotted" w:sz="4" w:space="0" w:color="auto"/>
              <w:right w:val="dotted" w:sz="4" w:space="0" w:color="auto"/>
            </w:tcBorders>
            <w:shd w:val="clear" w:color="auto" w:fill="auto"/>
            <w:noWrap/>
            <w:vAlign w:val="bottom"/>
            <w:hideMark/>
          </w:tcPr>
          <w:p w:rsidR="008B50F4" w:rsidRPr="00E0115C" w:rsidRDefault="00E34329" w:rsidP="00C60AD1">
            <w:pPr>
              <w:spacing w:before="0" w:line="240" w:lineRule="auto"/>
              <w:jc w:val="left"/>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Net Allowable Depreciation</w:t>
            </w:r>
          </w:p>
        </w:tc>
        <w:tc>
          <w:tcPr>
            <w:tcW w:w="1376" w:type="dxa"/>
            <w:tcBorders>
              <w:top w:val="nil"/>
              <w:left w:val="nil"/>
              <w:bottom w:val="dotted" w:sz="4" w:space="0" w:color="auto"/>
              <w:right w:val="dotted" w:sz="4" w:space="0" w:color="auto"/>
            </w:tcBorders>
            <w:shd w:val="clear" w:color="auto" w:fill="auto"/>
            <w:noWrap/>
            <w:vAlign w:val="center"/>
            <w:hideMark/>
          </w:tcPr>
          <w:p w:rsidR="008B50F4" w:rsidRPr="00E0115C" w:rsidRDefault="00E34329" w:rsidP="00C60AD1">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255.28</w:t>
            </w:r>
          </w:p>
        </w:tc>
        <w:tc>
          <w:tcPr>
            <w:tcW w:w="1380" w:type="dxa"/>
            <w:tcBorders>
              <w:top w:val="nil"/>
              <w:left w:val="nil"/>
              <w:bottom w:val="dotted" w:sz="4" w:space="0" w:color="auto"/>
              <w:right w:val="dotted" w:sz="4" w:space="0" w:color="auto"/>
            </w:tcBorders>
            <w:shd w:val="clear" w:color="auto" w:fill="auto"/>
            <w:noWrap/>
            <w:vAlign w:val="center"/>
            <w:hideMark/>
          </w:tcPr>
          <w:p w:rsidR="008B50F4" w:rsidRPr="00E0115C" w:rsidRDefault="00E34329" w:rsidP="00C60AD1">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175.68</w:t>
            </w:r>
          </w:p>
        </w:tc>
        <w:tc>
          <w:tcPr>
            <w:tcW w:w="1380" w:type="dxa"/>
            <w:tcBorders>
              <w:top w:val="nil"/>
              <w:left w:val="nil"/>
              <w:bottom w:val="dotted" w:sz="4" w:space="0" w:color="auto"/>
              <w:right w:val="dotted" w:sz="4" w:space="0" w:color="auto"/>
            </w:tcBorders>
            <w:shd w:val="clear" w:color="auto" w:fill="auto"/>
            <w:noWrap/>
            <w:vAlign w:val="center"/>
            <w:hideMark/>
          </w:tcPr>
          <w:p w:rsidR="008B50F4" w:rsidRPr="00E0115C" w:rsidRDefault="00E34329" w:rsidP="00C60AD1">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327.02</w:t>
            </w:r>
          </w:p>
        </w:tc>
        <w:tc>
          <w:tcPr>
            <w:tcW w:w="1380" w:type="dxa"/>
            <w:tcBorders>
              <w:top w:val="nil"/>
              <w:left w:val="nil"/>
              <w:bottom w:val="dotted" w:sz="4" w:space="0" w:color="auto"/>
              <w:right w:val="dotted" w:sz="4" w:space="0" w:color="auto"/>
            </w:tcBorders>
            <w:shd w:val="clear" w:color="auto" w:fill="auto"/>
            <w:noWrap/>
            <w:vAlign w:val="center"/>
            <w:hideMark/>
          </w:tcPr>
          <w:p w:rsidR="008B50F4" w:rsidRPr="00E0115C" w:rsidRDefault="00E34329" w:rsidP="00C60AD1">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cs="Calibri"/>
                <w:b/>
                <w:bCs/>
                <w:color w:val="000000"/>
                <w:sz w:val="22"/>
                <w:szCs w:val="22"/>
              </w:rPr>
              <w:t>261.63</w:t>
            </w:r>
          </w:p>
        </w:tc>
      </w:tr>
    </w:tbl>
    <w:p w:rsidR="000A4645" w:rsidRPr="00E0115C" w:rsidRDefault="000A4645" w:rsidP="00C60AD1">
      <w:pPr>
        <w:spacing w:before="0" w:line="240" w:lineRule="auto"/>
        <w:jc w:val="left"/>
        <w:rPr>
          <w:rFonts w:asciiTheme="minorHAnsi" w:hAnsiTheme="minorHAnsi" w:cs="Calibri"/>
          <w:b/>
          <w:bCs/>
          <w:color w:val="000000"/>
          <w:szCs w:val="26"/>
          <w:lang w:val="en-US"/>
        </w:rPr>
      </w:pPr>
      <w:bookmarkStart w:id="280" w:name="_Toc352568754"/>
      <w:bookmarkStart w:id="281" w:name="_Toc356913003"/>
    </w:p>
    <w:p w:rsidR="000A4645" w:rsidRDefault="000A4645" w:rsidP="00C60AD1">
      <w:pPr>
        <w:spacing w:before="0" w:line="240" w:lineRule="auto"/>
        <w:jc w:val="left"/>
        <w:rPr>
          <w:rFonts w:asciiTheme="minorHAnsi" w:hAnsiTheme="minorHAnsi" w:cs="Calibri"/>
          <w:b/>
          <w:bCs/>
          <w:color w:val="000000"/>
          <w:szCs w:val="26"/>
          <w:lang w:val="en-US"/>
        </w:rPr>
      </w:pPr>
    </w:p>
    <w:p w:rsidR="00812CD1" w:rsidRDefault="00812CD1" w:rsidP="00C60AD1">
      <w:pPr>
        <w:spacing w:before="0" w:line="240" w:lineRule="auto"/>
        <w:jc w:val="left"/>
        <w:rPr>
          <w:rFonts w:asciiTheme="minorHAnsi" w:hAnsiTheme="minorHAnsi" w:cs="Calibri"/>
          <w:b/>
          <w:bCs/>
          <w:color w:val="000000"/>
          <w:szCs w:val="26"/>
          <w:lang w:val="en-US"/>
        </w:rPr>
      </w:pPr>
    </w:p>
    <w:p w:rsidR="00812CD1" w:rsidRPr="00E0115C" w:rsidRDefault="00812CD1" w:rsidP="00C60AD1">
      <w:pPr>
        <w:spacing w:before="0" w:line="240" w:lineRule="auto"/>
        <w:jc w:val="left"/>
        <w:rPr>
          <w:rFonts w:asciiTheme="minorHAnsi" w:hAnsiTheme="minorHAnsi" w:cs="Calibri"/>
          <w:b/>
          <w:bCs/>
          <w:color w:val="000000"/>
          <w:szCs w:val="26"/>
          <w:lang w:val="en-US"/>
        </w:rPr>
      </w:pPr>
    </w:p>
    <w:p w:rsidR="003147B8" w:rsidRPr="00947CC1" w:rsidRDefault="00E34329" w:rsidP="00C60AD1">
      <w:pPr>
        <w:pStyle w:val="Heading2"/>
        <w:rPr>
          <w:rFonts w:ascii="Calibri" w:hAnsi="Calibri" w:cs="Calibri"/>
          <w:szCs w:val="26"/>
          <w:lang w:val="en-US"/>
        </w:rPr>
      </w:pPr>
      <w:bookmarkStart w:id="282" w:name="_Toc457603928"/>
      <w:r w:rsidRPr="00E34329">
        <w:rPr>
          <w:rFonts w:ascii="Calibri" w:hAnsi="Calibri" w:cs="Calibri"/>
          <w:szCs w:val="26"/>
          <w:lang w:val="en-US"/>
        </w:rPr>
        <w:t>PRIOR PERIOD EXPENSES</w:t>
      </w:r>
      <w:bookmarkEnd w:id="280"/>
      <w:bookmarkEnd w:id="281"/>
      <w:bookmarkEnd w:id="282"/>
    </w:p>
    <w:p w:rsidR="003147B8" w:rsidRPr="00947CC1" w:rsidRDefault="00E34329" w:rsidP="00C60AD1">
      <w:pPr>
        <w:pStyle w:val="Heading3"/>
        <w:tabs>
          <w:tab w:val="clear" w:pos="720"/>
        </w:tabs>
        <w:spacing w:after="240"/>
        <w:ind w:left="993" w:hanging="993"/>
      </w:pPr>
      <w:r w:rsidRPr="00E34329">
        <w:t xml:space="preserve">The Petitioner submitted that the financial statements of the Petitioner are prepared in compliance with Generally Accepted Accounting Principles (GAAP) and Accounting Standards issued by Accounting Standards Board of Institute </w:t>
      </w:r>
      <w:r w:rsidRPr="00E34329">
        <w:lastRenderedPageBreak/>
        <w:t>of Chartered Accountants of India. There are certain prior period items, which have been identified and incorporated in the audited financial statements for FY 2013-14. Accounting Standard (AS 5) (Revised) on ‘Net Profit or Loss for the Period, Prior Period Items and Changes in Accounting Policies’ states:</w:t>
      </w:r>
    </w:p>
    <w:p w:rsidR="00D5771F" w:rsidRDefault="00E34329">
      <w:pPr>
        <w:spacing w:before="240" w:after="200"/>
        <w:ind w:left="1440"/>
        <w:rPr>
          <w:i/>
          <w:szCs w:val="22"/>
          <w:lang w:val="en-US"/>
        </w:rPr>
      </w:pPr>
      <w:r w:rsidRPr="00E34329">
        <w:rPr>
          <w:i/>
          <w:szCs w:val="22"/>
          <w:lang w:val="en-US"/>
        </w:rPr>
        <w:t>“Prior period items are income or expenses which arise in the current period as a result of errors or omissions in the preparation of the financial statements of one or more prior periods”</w:t>
      </w:r>
    </w:p>
    <w:p w:rsidR="00B35D63" w:rsidRPr="00947CC1" w:rsidRDefault="00E34329" w:rsidP="00C60AD1">
      <w:pPr>
        <w:pStyle w:val="Heading3"/>
        <w:tabs>
          <w:tab w:val="clear" w:pos="720"/>
        </w:tabs>
        <w:spacing w:after="240"/>
        <w:ind w:left="993" w:hanging="993"/>
      </w:pPr>
      <w:r w:rsidRPr="00E34329">
        <w:t>The Petitioner has submitted that it has recognized Rs. 0.01 Core of prior period income and Rs. 27.53 Crore of prior period expense thereby amounting to a net of Rs. 27.53 Crore of prior period expense in the audited financial statements for FY 2013-14.</w:t>
      </w:r>
    </w:p>
    <w:p w:rsidR="002B7562" w:rsidRPr="00947CC1" w:rsidRDefault="00E34329" w:rsidP="00C60AD1">
      <w:pPr>
        <w:pStyle w:val="Heading3"/>
        <w:tabs>
          <w:tab w:val="clear" w:pos="720"/>
        </w:tabs>
        <w:spacing w:after="240"/>
        <w:ind w:left="993" w:hanging="993"/>
        <w:rPr>
          <w:color w:val="FF0000"/>
        </w:rPr>
      </w:pPr>
      <w:bookmarkStart w:id="283" w:name="_Toc396898520"/>
      <w:bookmarkStart w:id="284" w:name="_Toc396946201"/>
      <w:bookmarkStart w:id="285" w:name="_Toc396946382"/>
      <w:bookmarkStart w:id="286" w:name="_Toc397291275"/>
      <w:bookmarkStart w:id="287" w:name="_Toc397291454"/>
      <w:bookmarkEnd w:id="283"/>
      <w:bookmarkEnd w:id="284"/>
      <w:bookmarkEnd w:id="285"/>
      <w:bookmarkEnd w:id="286"/>
      <w:bookmarkEnd w:id="287"/>
      <w:r w:rsidRPr="00E34329">
        <w:t xml:space="preserve">As regards the prior period expenses, the Commission in its Order dated October 1, 2014 has directed the Licensee to file a separate Petition for approval of prior period expenses / income for FY 2008-09 to FY 2011-12 which should clearly indicate the head wise and year wise bifurcation of prior period expenses / income clearly indicating the impact of such expenses or incomes on various ARR components and such impact should not exceed the normative expenses for any particular year. </w:t>
      </w:r>
      <w:r w:rsidRPr="00E34329">
        <w:rPr>
          <w:bCs w:val="0"/>
        </w:rPr>
        <w:t>Further, the Commission in its deficiency note had asked the Petitioner to submit the relevant information for FY 2012-13 and FY 2013-14 as well.</w:t>
      </w:r>
    </w:p>
    <w:p w:rsidR="003147B8" w:rsidRPr="00947CC1" w:rsidRDefault="00E34329" w:rsidP="00C60AD1">
      <w:pPr>
        <w:pStyle w:val="Heading3"/>
        <w:tabs>
          <w:tab w:val="clear" w:pos="720"/>
        </w:tabs>
        <w:spacing w:after="240"/>
        <w:ind w:left="993" w:hanging="993"/>
        <w:rPr>
          <w:color w:val="FF0000"/>
        </w:rPr>
      </w:pPr>
      <w:r w:rsidRPr="00E34329">
        <w:rPr>
          <w:bCs w:val="0"/>
        </w:rPr>
        <w:t>The Petitioner in its reply to the query sought by the Commission submitted that the prior period expenses / incomes are recognised in the financial statements in compliance with the Accounting Standards (AS 5) (Revised) on ‘Net Profit or Loss for the Period, Prior Period Items and Changes in Accounting Policies’ which does not require year wise classification of prior period items. As there was no statutory requirement of classifying the prior items with respect to the each year to which they pertain, such information was not specifically depicted in the audited accounts. Considering this the expenses and incomes which are omitted to be accounted for in one or more financial years are accounted for as and when such omissions or errors are detected. It requested that the prior period expenses may be allowed as stated in the audited accounts which has also received the approval of the CAG.</w:t>
      </w:r>
    </w:p>
    <w:p w:rsidR="00711C52" w:rsidRPr="00947CC1" w:rsidRDefault="00E34329" w:rsidP="00C60AD1">
      <w:pPr>
        <w:pStyle w:val="Heading3"/>
        <w:tabs>
          <w:tab w:val="clear" w:pos="720"/>
        </w:tabs>
        <w:spacing w:after="240"/>
        <w:ind w:left="993" w:hanging="993"/>
        <w:rPr>
          <w:bCs w:val="0"/>
        </w:rPr>
      </w:pPr>
      <w:bookmarkStart w:id="288" w:name="_Ref396208945"/>
      <w:r w:rsidRPr="00E34329">
        <w:rPr>
          <w:bCs w:val="0"/>
        </w:rPr>
        <w:lastRenderedPageBreak/>
        <w:t xml:space="preserve">The State Discoms viz. DVVNL, MVVNL, PuVVNL, PVVNL and UPPCL had filed an appeal with appeal no. 128 of 2014 before the Hon’ble APTEL in the matter of truing up of ARR requirement for the FY 2000-01 to FY 2007-08 with regard to the prior period expenses wherein the Licensees gave the same explanation as mentioned above for non submission of details of the prior period expenses to which Hon’ble APTEL in its Judgment dated November 23, 2015 gave the following decision. </w:t>
      </w:r>
    </w:p>
    <w:p w:rsidR="00BE1724" w:rsidRPr="00947CC1" w:rsidRDefault="00E34329">
      <w:pPr>
        <w:pStyle w:val="Heading3"/>
        <w:numPr>
          <w:ilvl w:val="0"/>
          <w:numId w:val="0"/>
        </w:numPr>
        <w:tabs>
          <w:tab w:val="clear" w:pos="720"/>
        </w:tabs>
        <w:spacing w:after="240"/>
        <w:ind w:left="1440"/>
        <w:rPr>
          <w:bCs w:val="0"/>
          <w:i/>
          <w:sz w:val="22"/>
          <w:szCs w:val="22"/>
        </w:rPr>
      </w:pPr>
      <w:r w:rsidRPr="00E34329">
        <w:rPr>
          <w:bCs w:val="0"/>
          <w:i/>
          <w:szCs w:val="22"/>
        </w:rPr>
        <w:t>“</w:t>
      </w:r>
      <w:r w:rsidRPr="00E34329">
        <w:rPr>
          <w:i/>
          <w:szCs w:val="22"/>
        </w:rPr>
        <w:t xml:space="preserve">The record further depicts that the learned State Commission through letter dated 20.12.2012 raised the queries regarding appellants’ claim of prior period expenses. The appellants/DISCOMs, without giving correct reply to the above query of the State Commission simply stated that year-wise classification could not be given as there was neither any statutory requirements to year-wise classify prior period expenses nor the Accounting Standard 5 (Revised) required any such classification. Thus the appellants failed to reply to the exact query made by the State Commission to the aforesaid letter and skipping true reply said that the year-wise classification could not be given as there was no statutory requirement nor Accounting Standard requiring such year-wise classification of prior period expenses. </w:t>
      </w:r>
      <w:r w:rsidRPr="00E34329">
        <w:rPr>
          <w:b/>
          <w:i/>
          <w:szCs w:val="22"/>
        </w:rPr>
        <w:t>Thus the appellants instead of replying to the queries correctly and properly tried to take some excuse and ultimately failed to properly respond to the query of the State Commission</w:t>
      </w:r>
      <w:r w:rsidRPr="00E34329">
        <w:rPr>
          <w:i/>
          <w:szCs w:val="22"/>
        </w:rPr>
        <w:t xml:space="preserve">. The learned State Commission while passing the Impugned Order has disallowed the prior period expenses on the legal and correct ground that year-wise break up of prior period expenses was not given by the appellants. </w:t>
      </w:r>
      <w:r w:rsidRPr="00E34329">
        <w:rPr>
          <w:b/>
          <w:i/>
          <w:szCs w:val="22"/>
        </w:rPr>
        <w:t>It is true that prior period expenses claimed by the appellants were duly audited expenses allowed in the statutory audit of the appellants but the word “</w:t>
      </w:r>
      <w:r w:rsidRPr="00E34329">
        <w:rPr>
          <w:b/>
          <w:i/>
          <w:iCs/>
          <w:szCs w:val="22"/>
        </w:rPr>
        <w:t>audited</w:t>
      </w:r>
      <w:r w:rsidRPr="00E34329">
        <w:rPr>
          <w:b/>
          <w:i/>
          <w:szCs w:val="22"/>
        </w:rPr>
        <w:t>” only means that the expenditure has been vouched for and the State Commission is further required to consider or check whether such expenses have been prudently incurred on whether the consumer has received any benefit from such expenditure. We are of the opinion, that in these circumstances and in the absence of non-furnishing of the details sought by the Commission, the State Commission has rightly disallowed the prior period expenses.</w:t>
      </w:r>
      <w:r w:rsidRPr="00E34329">
        <w:rPr>
          <w:i/>
          <w:szCs w:val="22"/>
        </w:rPr>
        <w:t xml:space="preserve"> After all the State Commission is required to use prudent check whether the expenses have been properly incurred or whether the licensee or the consumer has actually received any benefit from such expenditure. It is </w:t>
      </w:r>
      <w:r w:rsidRPr="00E34329">
        <w:rPr>
          <w:i/>
          <w:szCs w:val="22"/>
        </w:rPr>
        <w:lastRenderedPageBreak/>
        <w:t>clear from the facts and other material on record that in the absence of the details to be provided by the appellants herein, the State Commission could not have conducted the prudence check of such items. The law as settled by this Appellate Tribunal on this point is that the State Commission is not bound by the audited accounts of the licensee because the State Commission being the regulator is required to apply prudence check to such expenses or expenditure to see whether such expenses or expenditure were really required to be made for the benefit of the consumers. On our careful scrutiny we do not find any illegality or perversity in the Impugned Order passed by the State Commission on this issue No.(b). Consequently, this issue is also decided against the appellants. “[</w:t>
      </w:r>
      <w:r w:rsidRPr="00E34329">
        <w:rPr>
          <w:b/>
          <w:i/>
          <w:szCs w:val="22"/>
        </w:rPr>
        <w:t>Emphasis supplied]</w:t>
      </w:r>
    </w:p>
    <w:p w:rsidR="003147B8" w:rsidRPr="00947CC1" w:rsidRDefault="00E34329" w:rsidP="00C60AD1">
      <w:pPr>
        <w:pStyle w:val="Heading3"/>
        <w:tabs>
          <w:tab w:val="clear" w:pos="720"/>
        </w:tabs>
        <w:spacing w:after="240"/>
        <w:ind w:left="993" w:hanging="993"/>
        <w:rPr>
          <w:bCs w:val="0"/>
        </w:rPr>
      </w:pPr>
      <w:r w:rsidRPr="00E34329">
        <w:rPr>
          <w:bCs w:val="0"/>
        </w:rPr>
        <w:t>Thus, in line with the approach adopted by the Commission in its earlier True up Orders and Judgment of the Hon’ble APTEL, the Petitioner is again directed to file a separate Petition for approval of prior period expenses / incomes. The Petition should clearly indicate the head-wise year-wise bifurcation of prior period expenses / incomes clearly indicating the impact of such expenses / incomes on various ARR components, and such impact should not exceed the normative expenses for any particular year. Based on the data submitted by the Petitioner, the Commission after scrutiny and prudence check shall consider the expenses under the above head as it deems fit.</w:t>
      </w:r>
      <w:bookmarkEnd w:id="288"/>
    </w:p>
    <w:p w:rsidR="003147B8" w:rsidRPr="00E0115C" w:rsidRDefault="00E34329" w:rsidP="00C60AD1">
      <w:pPr>
        <w:pStyle w:val="Heading3"/>
        <w:tabs>
          <w:tab w:val="clear" w:pos="720"/>
        </w:tabs>
        <w:spacing w:after="240"/>
        <w:ind w:left="993" w:hanging="993"/>
        <w:rPr>
          <w:rFonts w:asciiTheme="minorHAnsi" w:hAnsiTheme="minorHAnsi"/>
          <w:bCs w:val="0"/>
        </w:rPr>
      </w:pPr>
      <w:r w:rsidRPr="00E34329">
        <w:rPr>
          <w:bCs w:val="0"/>
        </w:rPr>
        <w:t xml:space="preserve">The summary of the prior period expenses approved in the Tariff Order, claimed by the Petitioner and that approved by the Commission in this Order for Truing up of FY 2013-14 is shown in the Table below: </w:t>
      </w:r>
    </w:p>
    <w:p w:rsidR="003147B8" w:rsidRPr="00E0115C" w:rsidRDefault="00E34329" w:rsidP="00C60AD1">
      <w:pPr>
        <w:spacing w:before="0"/>
        <w:jc w:val="center"/>
        <w:rPr>
          <w:rFonts w:asciiTheme="minorHAnsi" w:hAnsiTheme="minorHAnsi" w:cs="Calibri"/>
          <w:b/>
          <w:sz w:val="22"/>
          <w:szCs w:val="22"/>
          <w:lang w:val="en-US"/>
        </w:rPr>
      </w:pPr>
      <w:bookmarkStart w:id="289" w:name="_Toc394490649"/>
      <w:bookmarkStart w:id="290" w:name="_Toc457604012"/>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20</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PRIOR PERIOD EXPENSES FOR FY 2013-14(Rs. Crore)</w:t>
      </w:r>
      <w:bookmarkEnd w:id="289"/>
      <w:bookmarkEnd w:id="290"/>
    </w:p>
    <w:tbl>
      <w:tblPr>
        <w:tblW w:w="8500" w:type="dxa"/>
        <w:tblInd w:w="103" w:type="dxa"/>
        <w:tblLook w:val="04A0"/>
      </w:tblPr>
      <w:tblGrid>
        <w:gridCol w:w="3620"/>
        <w:gridCol w:w="1220"/>
        <w:gridCol w:w="1220"/>
        <w:gridCol w:w="1220"/>
        <w:gridCol w:w="1220"/>
      </w:tblGrid>
      <w:tr w:rsidR="003147B8" w:rsidRPr="00E0115C" w:rsidTr="004B0510">
        <w:trPr>
          <w:trHeight w:val="900"/>
          <w:tblHeader/>
        </w:trPr>
        <w:tc>
          <w:tcPr>
            <w:tcW w:w="3620" w:type="dxa"/>
            <w:tcBorders>
              <w:top w:val="dotted" w:sz="4" w:space="0" w:color="auto"/>
              <w:left w:val="dotted" w:sz="4" w:space="0" w:color="auto"/>
              <w:bottom w:val="dotted" w:sz="4" w:space="0" w:color="auto"/>
              <w:right w:val="dotted" w:sz="4" w:space="0" w:color="auto"/>
            </w:tcBorders>
            <w:shd w:val="clear" w:color="000000" w:fill="DBE5F1"/>
            <w:noWrap/>
            <w:hideMark/>
          </w:tcPr>
          <w:p w:rsidR="003147B8" w:rsidRPr="00E0115C" w:rsidRDefault="00E34329" w:rsidP="00C60AD1">
            <w:pPr>
              <w:spacing w:before="0" w:line="240" w:lineRule="auto"/>
              <w:jc w:val="center"/>
              <w:rPr>
                <w:rFonts w:asciiTheme="minorHAnsi" w:hAnsiTheme="minorHAnsi" w:cs="Calibri"/>
                <w:b/>
                <w:color w:val="000000"/>
                <w:sz w:val="22"/>
                <w:szCs w:val="22"/>
                <w:lang w:val="en-US"/>
              </w:rPr>
            </w:pPr>
            <w:r w:rsidRPr="00E34329">
              <w:rPr>
                <w:rFonts w:asciiTheme="minorHAnsi" w:hAnsiTheme="minorHAnsi" w:cs="Calibri"/>
                <w:b/>
                <w:color w:val="000000"/>
                <w:sz w:val="22"/>
                <w:szCs w:val="22"/>
                <w:lang w:val="en-US"/>
              </w:rPr>
              <w:t>Particulars</w:t>
            </w:r>
          </w:p>
        </w:tc>
        <w:tc>
          <w:tcPr>
            <w:tcW w:w="1220" w:type="dxa"/>
            <w:tcBorders>
              <w:top w:val="dotted" w:sz="4" w:space="0" w:color="auto"/>
              <w:left w:val="nil"/>
              <w:bottom w:val="dotted" w:sz="4" w:space="0" w:color="auto"/>
              <w:right w:val="dotted" w:sz="4" w:space="0" w:color="auto"/>
            </w:tcBorders>
            <w:shd w:val="clear" w:color="000000" w:fill="DBE5F1"/>
            <w:hideMark/>
          </w:tcPr>
          <w:p w:rsidR="003147B8" w:rsidRPr="00E0115C" w:rsidRDefault="00E34329" w:rsidP="00C60AD1">
            <w:pPr>
              <w:spacing w:before="0" w:line="240" w:lineRule="auto"/>
              <w:jc w:val="center"/>
              <w:rPr>
                <w:rFonts w:asciiTheme="minorHAnsi" w:hAnsiTheme="minorHAnsi" w:cs="Calibri"/>
                <w:b/>
                <w:color w:val="000000"/>
                <w:sz w:val="22"/>
                <w:szCs w:val="22"/>
                <w:lang w:val="en-US"/>
              </w:rPr>
            </w:pPr>
            <w:r w:rsidRPr="00E34329">
              <w:rPr>
                <w:rFonts w:asciiTheme="minorHAnsi" w:hAnsiTheme="minorHAnsi" w:cs="Calibri"/>
                <w:b/>
                <w:color w:val="000000"/>
                <w:sz w:val="22"/>
                <w:szCs w:val="22"/>
                <w:lang w:val="en-US"/>
              </w:rPr>
              <w:t>Tariff Order</w:t>
            </w:r>
          </w:p>
        </w:tc>
        <w:tc>
          <w:tcPr>
            <w:tcW w:w="1220" w:type="dxa"/>
            <w:tcBorders>
              <w:top w:val="dotted" w:sz="4" w:space="0" w:color="auto"/>
              <w:left w:val="nil"/>
              <w:bottom w:val="dotted" w:sz="4" w:space="0" w:color="auto"/>
              <w:right w:val="dotted" w:sz="4" w:space="0" w:color="auto"/>
            </w:tcBorders>
            <w:shd w:val="clear" w:color="000000" w:fill="DBE5F1"/>
            <w:hideMark/>
          </w:tcPr>
          <w:p w:rsidR="003147B8" w:rsidRPr="00E0115C" w:rsidRDefault="00E34329" w:rsidP="00C60AD1">
            <w:pPr>
              <w:spacing w:before="0" w:line="240" w:lineRule="auto"/>
              <w:jc w:val="center"/>
              <w:rPr>
                <w:rFonts w:asciiTheme="minorHAnsi" w:hAnsiTheme="minorHAnsi" w:cs="Calibri"/>
                <w:b/>
                <w:color w:val="000000"/>
                <w:sz w:val="22"/>
                <w:szCs w:val="22"/>
                <w:lang w:val="en-US"/>
              </w:rPr>
            </w:pPr>
            <w:r w:rsidRPr="00E34329">
              <w:rPr>
                <w:rFonts w:asciiTheme="minorHAnsi" w:hAnsiTheme="minorHAnsi" w:cs="Calibri"/>
                <w:b/>
                <w:color w:val="000000"/>
                <w:sz w:val="22"/>
                <w:szCs w:val="22"/>
                <w:lang w:val="en-US"/>
              </w:rPr>
              <w:t>Actual as per audited accounts</w:t>
            </w:r>
          </w:p>
        </w:tc>
        <w:tc>
          <w:tcPr>
            <w:tcW w:w="1220" w:type="dxa"/>
            <w:tcBorders>
              <w:top w:val="dotted" w:sz="4" w:space="0" w:color="auto"/>
              <w:left w:val="nil"/>
              <w:bottom w:val="dotted" w:sz="4" w:space="0" w:color="auto"/>
              <w:right w:val="dotted" w:sz="4" w:space="0" w:color="auto"/>
            </w:tcBorders>
            <w:shd w:val="clear" w:color="000000" w:fill="DBE5F1"/>
            <w:hideMark/>
          </w:tcPr>
          <w:p w:rsidR="003147B8" w:rsidRPr="00E0115C" w:rsidRDefault="00E34329" w:rsidP="00C60AD1">
            <w:pPr>
              <w:spacing w:before="0" w:line="240" w:lineRule="auto"/>
              <w:jc w:val="center"/>
              <w:rPr>
                <w:rFonts w:asciiTheme="minorHAnsi" w:hAnsiTheme="minorHAnsi" w:cs="Calibri"/>
                <w:b/>
                <w:color w:val="000000"/>
                <w:sz w:val="22"/>
                <w:szCs w:val="22"/>
                <w:lang w:val="en-US"/>
              </w:rPr>
            </w:pPr>
            <w:r w:rsidRPr="00E34329">
              <w:rPr>
                <w:rFonts w:asciiTheme="minorHAnsi" w:hAnsiTheme="minorHAnsi" w:cs="Calibri"/>
                <w:b/>
                <w:color w:val="000000"/>
                <w:sz w:val="22"/>
                <w:szCs w:val="22"/>
                <w:lang w:val="en-US"/>
              </w:rPr>
              <w:t>True-up Petition</w:t>
            </w:r>
          </w:p>
        </w:tc>
        <w:tc>
          <w:tcPr>
            <w:tcW w:w="1220" w:type="dxa"/>
            <w:tcBorders>
              <w:top w:val="dotted" w:sz="4" w:space="0" w:color="auto"/>
              <w:left w:val="nil"/>
              <w:bottom w:val="dotted" w:sz="4" w:space="0" w:color="auto"/>
              <w:right w:val="dotted" w:sz="4" w:space="0" w:color="auto"/>
            </w:tcBorders>
            <w:shd w:val="clear" w:color="000000" w:fill="DBE5F1"/>
            <w:hideMark/>
          </w:tcPr>
          <w:p w:rsidR="003147B8" w:rsidRPr="00E0115C" w:rsidRDefault="00E34329" w:rsidP="00C60AD1">
            <w:pPr>
              <w:spacing w:before="0" w:line="240" w:lineRule="auto"/>
              <w:jc w:val="center"/>
              <w:rPr>
                <w:rFonts w:asciiTheme="minorHAnsi" w:hAnsiTheme="minorHAnsi" w:cs="Calibri"/>
                <w:b/>
                <w:color w:val="000000"/>
                <w:sz w:val="22"/>
                <w:szCs w:val="22"/>
                <w:lang w:val="en-US"/>
              </w:rPr>
            </w:pPr>
            <w:r w:rsidRPr="00E34329">
              <w:rPr>
                <w:rFonts w:asciiTheme="minorHAnsi" w:hAnsiTheme="minorHAnsi"/>
                <w:b/>
                <w:sz w:val="22"/>
                <w:szCs w:val="22"/>
                <w:lang w:val="en-IN" w:eastAsia="en-IN"/>
              </w:rPr>
              <w:t xml:space="preserve">Approved upon Truing </w:t>
            </w:r>
            <w:r w:rsidR="00C2017B">
              <w:rPr>
                <w:rFonts w:asciiTheme="minorHAnsi" w:hAnsiTheme="minorHAnsi"/>
                <w:b/>
                <w:sz w:val="22"/>
                <w:szCs w:val="22"/>
                <w:lang w:val="en-IN" w:eastAsia="en-IN"/>
              </w:rPr>
              <w:t>u</w:t>
            </w:r>
            <w:r w:rsidRPr="00E34329">
              <w:rPr>
                <w:rFonts w:asciiTheme="minorHAnsi" w:hAnsiTheme="minorHAnsi"/>
                <w:b/>
                <w:sz w:val="22"/>
                <w:szCs w:val="22"/>
                <w:lang w:val="en-IN" w:eastAsia="en-IN"/>
              </w:rPr>
              <w:t>p</w:t>
            </w:r>
          </w:p>
        </w:tc>
      </w:tr>
      <w:tr w:rsidR="007A57DE" w:rsidRPr="00E0115C" w:rsidTr="004B0510">
        <w:trPr>
          <w:trHeight w:val="300"/>
        </w:trPr>
        <w:tc>
          <w:tcPr>
            <w:tcW w:w="3620" w:type="dxa"/>
            <w:tcBorders>
              <w:top w:val="nil"/>
              <w:left w:val="dotted" w:sz="4" w:space="0" w:color="auto"/>
              <w:bottom w:val="dotted" w:sz="4" w:space="0" w:color="auto"/>
              <w:right w:val="dotted" w:sz="4" w:space="0" w:color="auto"/>
            </w:tcBorders>
            <w:shd w:val="clear" w:color="auto" w:fill="auto"/>
            <w:noWrap/>
            <w:vAlign w:val="bottom"/>
            <w:hideMark/>
          </w:tcPr>
          <w:p w:rsidR="007A57DE" w:rsidRPr="00E0115C" w:rsidRDefault="00E34329" w:rsidP="00DF3FA7">
            <w:pPr>
              <w:spacing w:before="0" w:line="240" w:lineRule="auto"/>
              <w:jc w:val="left"/>
              <w:rPr>
                <w:rFonts w:asciiTheme="minorHAnsi" w:hAnsiTheme="minorHAnsi" w:cs="Calibri"/>
                <w:color w:val="000000"/>
                <w:sz w:val="22"/>
                <w:szCs w:val="22"/>
                <w:lang w:val="en-US"/>
              </w:rPr>
            </w:pPr>
            <w:r w:rsidRPr="00E34329">
              <w:rPr>
                <w:rFonts w:asciiTheme="minorHAnsi" w:hAnsiTheme="minorHAnsi" w:cs="Calibri"/>
                <w:color w:val="000000"/>
                <w:sz w:val="22"/>
                <w:szCs w:val="22"/>
                <w:lang w:val="en-US"/>
              </w:rPr>
              <w:t>Prior Period Expense</w:t>
            </w:r>
          </w:p>
        </w:tc>
        <w:tc>
          <w:tcPr>
            <w:tcW w:w="1220" w:type="dxa"/>
            <w:tcBorders>
              <w:top w:val="nil"/>
              <w:left w:val="nil"/>
              <w:bottom w:val="dotted" w:sz="4" w:space="0" w:color="auto"/>
              <w:right w:val="dotted" w:sz="4" w:space="0" w:color="auto"/>
            </w:tcBorders>
            <w:shd w:val="clear" w:color="auto" w:fill="auto"/>
            <w:noWrap/>
            <w:vAlign w:val="center"/>
            <w:hideMark/>
          </w:tcPr>
          <w:p w:rsidR="007A57DE" w:rsidRPr="00E0115C" w:rsidRDefault="00E34329" w:rsidP="00C60AD1">
            <w:pPr>
              <w:spacing w:before="0" w:line="240" w:lineRule="auto"/>
              <w:jc w:val="right"/>
              <w:rPr>
                <w:rFonts w:asciiTheme="minorHAnsi" w:hAnsiTheme="minorHAnsi" w:cs="Calibri"/>
                <w:color w:val="000000"/>
                <w:sz w:val="22"/>
                <w:szCs w:val="22"/>
                <w:lang w:val="en-US"/>
              </w:rPr>
            </w:pPr>
            <w:r w:rsidRPr="00E34329">
              <w:rPr>
                <w:rFonts w:asciiTheme="minorHAnsi" w:hAnsiTheme="minorHAnsi"/>
                <w:color w:val="000000"/>
                <w:sz w:val="22"/>
                <w:szCs w:val="22"/>
              </w:rPr>
              <w:t>0.00</w:t>
            </w:r>
          </w:p>
        </w:tc>
        <w:tc>
          <w:tcPr>
            <w:tcW w:w="1220" w:type="dxa"/>
            <w:tcBorders>
              <w:top w:val="nil"/>
              <w:left w:val="nil"/>
              <w:bottom w:val="dotted" w:sz="4" w:space="0" w:color="auto"/>
              <w:right w:val="dotted" w:sz="4" w:space="0" w:color="auto"/>
            </w:tcBorders>
            <w:shd w:val="clear" w:color="auto" w:fill="auto"/>
            <w:noWrap/>
            <w:vAlign w:val="center"/>
            <w:hideMark/>
          </w:tcPr>
          <w:p w:rsidR="007A57DE" w:rsidRPr="00E0115C" w:rsidRDefault="00E34329" w:rsidP="00C60AD1">
            <w:pPr>
              <w:spacing w:before="0" w:line="240" w:lineRule="auto"/>
              <w:jc w:val="right"/>
              <w:rPr>
                <w:rFonts w:asciiTheme="minorHAnsi" w:hAnsiTheme="minorHAnsi" w:cs="Calibri"/>
                <w:color w:val="000000"/>
                <w:sz w:val="22"/>
                <w:szCs w:val="22"/>
                <w:lang w:val="en-US"/>
              </w:rPr>
            </w:pPr>
            <w:r w:rsidRPr="00E34329">
              <w:rPr>
                <w:rFonts w:asciiTheme="minorHAnsi" w:hAnsiTheme="minorHAnsi"/>
                <w:color w:val="000000"/>
                <w:sz w:val="22"/>
                <w:szCs w:val="22"/>
              </w:rPr>
              <w:t>855.94</w:t>
            </w:r>
          </w:p>
        </w:tc>
        <w:tc>
          <w:tcPr>
            <w:tcW w:w="1220" w:type="dxa"/>
            <w:tcBorders>
              <w:top w:val="nil"/>
              <w:left w:val="nil"/>
              <w:bottom w:val="dotted" w:sz="4" w:space="0" w:color="auto"/>
              <w:right w:val="dotted" w:sz="4" w:space="0" w:color="auto"/>
            </w:tcBorders>
            <w:shd w:val="clear" w:color="auto" w:fill="auto"/>
            <w:noWrap/>
            <w:vAlign w:val="center"/>
            <w:hideMark/>
          </w:tcPr>
          <w:p w:rsidR="007A57DE" w:rsidRPr="00E0115C" w:rsidRDefault="00E34329" w:rsidP="00C60AD1">
            <w:pPr>
              <w:spacing w:before="0" w:line="240" w:lineRule="auto"/>
              <w:jc w:val="right"/>
              <w:rPr>
                <w:rFonts w:asciiTheme="minorHAnsi" w:hAnsiTheme="minorHAnsi" w:cs="Calibri"/>
                <w:color w:val="000000"/>
                <w:sz w:val="22"/>
                <w:szCs w:val="22"/>
                <w:lang w:val="en-US"/>
              </w:rPr>
            </w:pPr>
            <w:r w:rsidRPr="00E34329">
              <w:rPr>
                <w:rFonts w:asciiTheme="minorHAnsi" w:hAnsiTheme="minorHAnsi"/>
                <w:color w:val="000000"/>
                <w:sz w:val="22"/>
                <w:szCs w:val="22"/>
              </w:rPr>
              <w:t>27.53</w:t>
            </w:r>
          </w:p>
        </w:tc>
        <w:tc>
          <w:tcPr>
            <w:tcW w:w="1220" w:type="dxa"/>
            <w:tcBorders>
              <w:top w:val="nil"/>
              <w:left w:val="nil"/>
              <w:bottom w:val="dotted" w:sz="4" w:space="0" w:color="auto"/>
              <w:right w:val="dotted" w:sz="4" w:space="0" w:color="auto"/>
            </w:tcBorders>
            <w:shd w:val="clear" w:color="auto" w:fill="auto"/>
            <w:noWrap/>
            <w:vAlign w:val="center"/>
            <w:hideMark/>
          </w:tcPr>
          <w:p w:rsidR="007A57DE" w:rsidRPr="00E0115C" w:rsidRDefault="00E34329" w:rsidP="00C60AD1">
            <w:pPr>
              <w:spacing w:before="0" w:line="240" w:lineRule="auto"/>
              <w:jc w:val="right"/>
              <w:rPr>
                <w:rFonts w:asciiTheme="minorHAnsi" w:hAnsiTheme="minorHAnsi" w:cs="Calibri"/>
                <w:color w:val="000000"/>
                <w:sz w:val="22"/>
                <w:szCs w:val="22"/>
                <w:lang w:val="en-US"/>
              </w:rPr>
            </w:pPr>
            <w:r w:rsidRPr="00E34329">
              <w:rPr>
                <w:rFonts w:asciiTheme="minorHAnsi" w:hAnsiTheme="minorHAnsi"/>
                <w:color w:val="000000"/>
                <w:sz w:val="22"/>
                <w:szCs w:val="22"/>
              </w:rPr>
              <w:t>0.00</w:t>
            </w:r>
          </w:p>
        </w:tc>
      </w:tr>
    </w:tbl>
    <w:p w:rsidR="00F70DA9" w:rsidRPr="00E0115C" w:rsidRDefault="00F70DA9" w:rsidP="00C60AD1">
      <w:pPr>
        <w:pStyle w:val="Heading2"/>
        <w:numPr>
          <w:ilvl w:val="0"/>
          <w:numId w:val="0"/>
        </w:numPr>
        <w:spacing w:after="240"/>
        <w:ind w:left="780"/>
        <w:rPr>
          <w:rFonts w:cs="Calibri"/>
          <w:bCs w:val="0"/>
          <w:szCs w:val="26"/>
          <w:lang w:val="en-US"/>
        </w:rPr>
      </w:pPr>
      <w:bookmarkStart w:id="291" w:name="_Toc419641580"/>
      <w:bookmarkStart w:id="292" w:name="_Toc420005505"/>
      <w:bookmarkStart w:id="293" w:name="_Toc420016196"/>
      <w:bookmarkStart w:id="294" w:name="_Toc420020971"/>
      <w:bookmarkStart w:id="295" w:name="_Toc356137615"/>
      <w:bookmarkEnd w:id="291"/>
      <w:bookmarkEnd w:id="292"/>
      <w:bookmarkEnd w:id="293"/>
      <w:bookmarkEnd w:id="294"/>
    </w:p>
    <w:p w:rsidR="003147B8" w:rsidRPr="00947CC1" w:rsidRDefault="00E34329" w:rsidP="00C60AD1">
      <w:pPr>
        <w:pStyle w:val="Heading2"/>
        <w:rPr>
          <w:rFonts w:ascii="Calibri" w:hAnsi="Calibri" w:cs="Calibri"/>
          <w:bCs w:val="0"/>
          <w:szCs w:val="26"/>
          <w:lang w:val="en-US"/>
        </w:rPr>
      </w:pPr>
      <w:bookmarkStart w:id="296" w:name="_Toc457603929"/>
      <w:r w:rsidRPr="00E34329">
        <w:rPr>
          <w:rFonts w:ascii="Calibri" w:hAnsi="Calibri" w:cs="Calibri"/>
          <w:bCs w:val="0"/>
          <w:szCs w:val="26"/>
          <w:lang w:val="en-US"/>
        </w:rPr>
        <w:t>PROVISION FOR BAD AND DOUBTFUL DEBTS</w:t>
      </w:r>
      <w:bookmarkEnd w:id="295"/>
      <w:bookmarkEnd w:id="296"/>
    </w:p>
    <w:p w:rsidR="00B94C76" w:rsidRPr="00947CC1" w:rsidRDefault="00E34329" w:rsidP="00C60AD1">
      <w:pPr>
        <w:pStyle w:val="Heading3"/>
        <w:tabs>
          <w:tab w:val="clear" w:pos="720"/>
        </w:tabs>
        <w:spacing w:after="240"/>
        <w:ind w:left="993" w:hanging="993"/>
        <w:rPr>
          <w:bCs w:val="0"/>
        </w:rPr>
      </w:pPr>
      <w:bookmarkStart w:id="297" w:name="_Toc419939899"/>
      <w:bookmarkStart w:id="298" w:name="_Toc419940069"/>
      <w:bookmarkStart w:id="299" w:name="_Toc419940237"/>
      <w:bookmarkStart w:id="300" w:name="_Toc419940403"/>
      <w:bookmarkStart w:id="301" w:name="_Toc419940514"/>
      <w:bookmarkEnd w:id="297"/>
      <w:bookmarkEnd w:id="298"/>
      <w:bookmarkEnd w:id="299"/>
      <w:bookmarkEnd w:id="300"/>
      <w:bookmarkEnd w:id="301"/>
      <w:r w:rsidRPr="00E34329">
        <w:rPr>
          <w:bCs w:val="0"/>
        </w:rPr>
        <w:t xml:space="preserve">The Petitioner submitted that the Commission has not allowed any amounts towards Provision for Bad and Doubtful Debts in the Tariff Order for FY 2013-14. The Petitioner submitted that such expenses are legitimate business </w:t>
      </w:r>
      <w:r w:rsidRPr="00E34329">
        <w:rPr>
          <w:bCs w:val="0"/>
        </w:rPr>
        <w:lastRenderedPageBreak/>
        <w:t>expenses and are accepted accounting principle even in a sector like banking where the provisioning of un-collectable dues is considered as a normal commercial practice.</w:t>
      </w:r>
    </w:p>
    <w:p w:rsidR="003147B8" w:rsidRPr="00947CC1" w:rsidRDefault="00E34329" w:rsidP="00C60AD1">
      <w:pPr>
        <w:pStyle w:val="Heading3"/>
        <w:tabs>
          <w:tab w:val="clear" w:pos="720"/>
        </w:tabs>
        <w:spacing w:after="240"/>
        <w:ind w:left="993" w:hanging="993"/>
      </w:pPr>
      <w:r w:rsidRPr="00E34329">
        <w:rPr>
          <w:bCs w:val="0"/>
        </w:rPr>
        <w:t>The Petitioner submitted that it has computed the entitlement towards provision for bad and doubtful debts</w:t>
      </w:r>
      <w:r w:rsidRPr="00E34329">
        <w:t xml:space="preserve"> as 2% of the closing revenue receivables as per audited accounts of the relevant financial year for Distribution business. </w:t>
      </w:r>
    </w:p>
    <w:p w:rsidR="003147B8" w:rsidRPr="00947CC1" w:rsidRDefault="00E34329" w:rsidP="00C60AD1">
      <w:pPr>
        <w:pStyle w:val="Heading3"/>
        <w:tabs>
          <w:tab w:val="clear" w:pos="720"/>
        </w:tabs>
        <w:spacing w:after="240"/>
        <w:ind w:left="993" w:hanging="993"/>
      </w:pPr>
      <w:r w:rsidRPr="00E34329">
        <w:t>The Petitioner has claimed Rs. 91.66 Crore towards provision for bad and doubtful debts for FY 2013-14.</w:t>
      </w:r>
    </w:p>
    <w:p w:rsidR="003147B8" w:rsidRPr="00947CC1" w:rsidRDefault="00E34329" w:rsidP="00C60AD1">
      <w:pPr>
        <w:pStyle w:val="Heading3"/>
        <w:tabs>
          <w:tab w:val="clear" w:pos="720"/>
        </w:tabs>
        <w:spacing w:after="240"/>
        <w:ind w:left="993" w:hanging="993"/>
      </w:pPr>
      <w:r w:rsidRPr="00E34329">
        <w:t>As regards provision for bad and doubtful debts, the Commission in its previous Orders had directed as follows:</w:t>
      </w:r>
    </w:p>
    <w:p w:rsidR="003147B8" w:rsidRPr="00947CC1" w:rsidRDefault="00E34329" w:rsidP="00C60AD1">
      <w:pPr>
        <w:tabs>
          <w:tab w:val="left" w:pos="0"/>
          <w:tab w:val="left" w:pos="720"/>
        </w:tabs>
        <w:spacing w:after="240"/>
        <w:ind w:left="936" w:hanging="936"/>
        <w:outlineLvl w:val="2"/>
        <w:rPr>
          <w:rFonts w:cs="Arial"/>
          <w:b/>
          <w:bCs/>
          <w:szCs w:val="26"/>
        </w:rPr>
      </w:pPr>
      <w:r w:rsidRPr="00E34329">
        <w:rPr>
          <w:rFonts w:cs="Arial"/>
          <w:b/>
          <w:bCs/>
          <w:szCs w:val="26"/>
        </w:rPr>
        <w:tab/>
      </w:r>
      <w:r w:rsidRPr="00E34329">
        <w:rPr>
          <w:rFonts w:cs="Arial"/>
          <w:b/>
          <w:bCs/>
          <w:szCs w:val="26"/>
        </w:rPr>
        <w:tab/>
        <w:t>True up Order for FY 2000-01 to FY 2007-08 dated 21</w:t>
      </w:r>
      <w:r w:rsidRPr="00E34329">
        <w:rPr>
          <w:rFonts w:cs="Arial"/>
          <w:b/>
          <w:bCs/>
          <w:szCs w:val="26"/>
          <w:vertAlign w:val="superscript"/>
        </w:rPr>
        <w:t>st</w:t>
      </w:r>
      <w:r w:rsidRPr="00E34329">
        <w:rPr>
          <w:rFonts w:cs="Arial"/>
          <w:b/>
          <w:bCs/>
          <w:szCs w:val="26"/>
        </w:rPr>
        <w:t xml:space="preserve"> May, 2013</w:t>
      </w:r>
    </w:p>
    <w:p w:rsidR="003147B8" w:rsidRPr="00947CC1" w:rsidRDefault="00E34329" w:rsidP="00C60AD1">
      <w:pPr>
        <w:tabs>
          <w:tab w:val="left" w:pos="0"/>
          <w:tab w:val="left" w:pos="720"/>
        </w:tabs>
        <w:spacing w:after="240"/>
        <w:ind w:left="1440"/>
        <w:outlineLvl w:val="2"/>
        <w:rPr>
          <w:rFonts w:cs="Arial"/>
          <w:bCs/>
          <w:szCs w:val="26"/>
        </w:rPr>
      </w:pPr>
      <w:r w:rsidRPr="00E34329">
        <w:rPr>
          <w:rFonts w:cs="Arial"/>
          <w:bCs/>
          <w:i/>
          <w:szCs w:val="26"/>
        </w:rPr>
        <w:t xml:space="preserve">“The Commission directs the Petitioner to formulate a policy for identifying and writing off fictitious arrears and submit a copy of such report before the Commission.” </w:t>
      </w:r>
      <w:r w:rsidRPr="00E34329">
        <w:rPr>
          <w:rFonts w:cs="Arial"/>
          <w:bCs/>
          <w:szCs w:val="26"/>
        </w:rPr>
        <w:t>(within six months from the date of issue of True-up Order).</w:t>
      </w:r>
    </w:p>
    <w:p w:rsidR="003147B8" w:rsidRPr="00947CC1" w:rsidRDefault="00E34329" w:rsidP="00C60AD1">
      <w:pPr>
        <w:tabs>
          <w:tab w:val="left" w:pos="0"/>
          <w:tab w:val="left" w:pos="720"/>
        </w:tabs>
        <w:spacing w:after="240"/>
        <w:ind w:left="936" w:hanging="936"/>
        <w:outlineLvl w:val="2"/>
        <w:rPr>
          <w:rFonts w:cs="Arial"/>
          <w:b/>
          <w:bCs/>
          <w:szCs w:val="26"/>
        </w:rPr>
      </w:pPr>
      <w:r w:rsidRPr="00E34329">
        <w:rPr>
          <w:rFonts w:cs="Arial"/>
          <w:b/>
          <w:bCs/>
          <w:szCs w:val="26"/>
        </w:rPr>
        <w:tab/>
      </w:r>
      <w:r w:rsidRPr="00E34329">
        <w:rPr>
          <w:rFonts w:cs="Arial"/>
          <w:b/>
          <w:bCs/>
          <w:szCs w:val="26"/>
        </w:rPr>
        <w:tab/>
        <w:t>Tariff Order for FY 2013-14 dated 31</w:t>
      </w:r>
      <w:r w:rsidRPr="00E34329">
        <w:rPr>
          <w:rFonts w:cs="Arial"/>
          <w:b/>
          <w:bCs/>
          <w:szCs w:val="26"/>
          <w:vertAlign w:val="superscript"/>
        </w:rPr>
        <w:t>st</w:t>
      </w:r>
      <w:r w:rsidRPr="00E34329">
        <w:rPr>
          <w:rFonts w:cs="Arial"/>
          <w:b/>
          <w:bCs/>
          <w:szCs w:val="26"/>
        </w:rPr>
        <w:t xml:space="preserve"> May, 2013</w:t>
      </w:r>
    </w:p>
    <w:p w:rsidR="00F70DA9" w:rsidRPr="00947CC1" w:rsidRDefault="00E34329" w:rsidP="00C60AD1">
      <w:pPr>
        <w:tabs>
          <w:tab w:val="left" w:pos="0"/>
          <w:tab w:val="left" w:pos="720"/>
        </w:tabs>
        <w:spacing w:after="240"/>
        <w:ind w:left="1440"/>
        <w:outlineLvl w:val="2"/>
        <w:rPr>
          <w:rFonts w:cs="Arial"/>
          <w:b/>
          <w:sz w:val="28"/>
          <w:szCs w:val="26"/>
        </w:rPr>
      </w:pPr>
      <w:r w:rsidRPr="00E34329">
        <w:rPr>
          <w:rFonts w:cs="Arial"/>
          <w:bCs/>
          <w:i/>
          <w:szCs w:val="26"/>
        </w:rPr>
        <w:t xml:space="preserve">“As lack of approved transparent policy on identifying and writing off bad debts is hindering allowance of bad debts as an ARR component; the Commission directs the Licensee to submit ten sample cases of LT &amp; HT consumers where orders have been issued for writing off bad debts, clearly depicting the procedure adopted for writing off bad debts along with policy framework for managing bad debts for the Commission’s perusal.” </w:t>
      </w:r>
      <w:r w:rsidRPr="00E34329">
        <w:rPr>
          <w:rFonts w:cs="Arial"/>
          <w:bCs/>
          <w:szCs w:val="26"/>
        </w:rPr>
        <w:t>(within one month from the date of issuance of the Order.)</w:t>
      </w:r>
    </w:p>
    <w:p w:rsidR="00F70DA9" w:rsidRPr="00947CC1" w:rsidRDefault="00E34329" w:rsidP="00C60AD1">
      <w:pPr>
        <w:pStyle w:val="Heading3"/>
        <w:numPr>
          <w:ilvl w:val="0"/>
          <w:numId w:val="0"/>
        </w:numPr>
        <w:tabs>
          <w:tab w:val="clear" w:pos="720"/>
        </w:tabs>
        <w:spacing w:after="240"/>
        <w:ind w:left="993"/>
      </w:pPr>
      <w:r w:rsidRPr="00E34329">
        <w:rPr>
          <w:b/>
          <w:bCs w:val="0"/>
        </w:rPr>
        <w:t>Tariff Order for FY 2014-15 dated October 1, 2014</w:t>
      </w:r>
    </w:p>
    <w:p w:rsidR="008B0C65" w:rsidRPr="00947CC1" w:rsidRDefault="00E34329" w:rsidP="008B0C65">
      <w:pPr>
        <w:pStyle w:val="Heading3"/>
        <w:numPr>
          <w:ilvl w:val="0"/>
          <w:numId w:val="0"/>
        </w:numPr>
        <w:tabs>
          <w:tab w:val="clear" w:pos="720"/>
        </w:tabs>
        <w:spacing w:after="240"/>
        <w:ind w:left="1440"/>
        <w:rPr>
          <w:i/>
        </w:rPr>
      </w:pPr>
      <w:r w:rsidRPr="00E34329">
        <w:rPr>
          <w:i/>
        </w:rPr>
        <w:t xml:space="preserve">“The Commission, further in its deficiency note, has enquired from the Petitioner about the policy followed by it to identify and write off bad debts. In its reply, the Petitioner has submitted that the entitlement towards provision for bad and doubtful debts has been computed at 2% of the closing revenue receivables as per audited accounts of FY 2008-09. </w:t>
      </w:r>
      <w:r w:rsidRPr="00E34329">
        <w:rPr>
          <w:b/>
          <w:i/>
        </w:rPr>
        <w:t xml:space="preserve">However, it was observed that the Petitioner has submitted the </w:t>
      </w:r>
      <w:r w:rsidRPr="00E34329">
        <w:rPr>
          <w:b/>
          <w:i/>
        </w:rPr>
        <w:lastRenderedPageBreak/>
        <w:t>approach for creation of provision of bad debts instead of the policy followed by it for identification of actual bad debts and writing off the same.</w:t>
      </w:r>
      <w:r w:rsidRPr="00E34329">
        <w:rPr>
          <w:i/>
        </w:rPr>
        <w:t xml:space="preserve"> The Commission, in its additional queries, reiterated that the Petitioner is required to submit the policy followed by it for identification and writing off actual bad debts at the earliest. In reply to the same, the Petitioner submitted that it has recently framed a policy for identifying and writing off old arrears, which has been provided to the Commission along with the replies and appropriate directions have been issued to the field units to compile the sample cases based on this recently issued order of the licensee. However, from the Regulations it is amply clear that the Petitioner is required to submit its policy for identifying and writing off doubtful debts to the Commission for prior approval, which the Petitioner has not done.”(Emphasis added)</w:t>
      </w:r>
    </w:p>
    <w:p w:rsidR="005809BE" w:rsidRPr="00947CC1" w:rsidRDefault="00E34329" w:rsidP="005809BE">
      <w:pPr>
        <w:pStyle w:val="Heading3"/>
        <w:numPr>
          <w:ilvl w:val="0"/>
          <w:numId w:val="0"/>
        </w:numPr>
        <w:tabs>
          <w:tab w:val="clear" w:pos="720"/>
        </w:tabs>
        <w:spacing w:after="240"/>
        <w:ind w:left="993"/>
      </w:pPr>
      <w:r w:rsidRPr="00E34329">
        <w:rPr>
          <w:b/>
          <w:bCs w:val="0"/>
        </w:rPr>
        <w:t>Tariff Order for FY 2015-16 dated June 18, 2015</w:t>
      </w:r>
    </w:p>
    <w:p w:rsidR="00D5771F" w:rsidRDefault="00E34329">
      <w:pPr>
        <w:pStyle w:val="Heading3"/>
        <w:numPr>
          <w:ilvl w:val="0"/>
          <w:numId w:val="0"/>
        </w:numPr>
        <w:tabs>
          <w:tab w:val="clear" w:pos="720"/>
        </w:tabs>
        <w:spacing w:after="240"/>
        <w:ind w:left="1440"/>
        <w:rPr>
          <w:i/>
        </w:rPr>
      </w:pPr>
      <w:r w:rsidRPr="00E34329">
        <w:rPr>
          <w:i/>
        </w:rPr>
        <w:t>“4.8.8 Thus, in accordance with the Distribution Tariff Regulations, 2006 proper guidelines and procedures for identifying, physically verifying and writing off the bad debts is a must for approval of provision for bad debts. Since, the Petitioner is yet to satisfy the Commission of the sincere and concerted efforts to comply with the Commission’s directives; the Commission is not giving any allowance for bad debts for FY 2012-13 during the final truing up exercise for FY 2012-13.</w:t>
      </w:r>
    </w:p>
    <w:p w:rsidR="00D5771F" w:rsidRDefault="00E34329">
      <w:pPr>
        <w:pStyle w:val="Heading3"/>
        <w:numPr>
          <w:ilvl w:val="0"/>
          <w:numId w:val="0"/>
        </w:numPr>
        <w:tabs>
          <w:tab w:val="clear" w:pos="720"/>
        </w:tabs>
        <w:spacing w:after="240"/>
        <w:ind w:left="1560"/>
        <w:rPr>
          <w:i/>
        </w:rPr>
      </w:pPr>
      <w:r w:rsidRPr="00E34329">
        <w:rPr>
          <w:i/>
        </w:rPr>
        <w:t>4.8.9 Therefore, in the absence of proper policy in place for identifying and writing off receivables and non submission of sample cases of LT &amp; HT consumer where orders have been issued for writing off debts, the Commission disallows the claims towards provision for bad and doubtful debts.”</w:t>
      </w:r>
    </w:p>
    <w:p w:rsidR="003147B8" w:rsidRPr="00947CC1" w:rsidRDefault="00E34329" w:rsidP="00C60AD1">
      <w:pPr>
        <w:pStyle w:val="Heading3"/>
        <w:tabs>
          <w:tab w:val="clear" w:pos="720"/>
        </w:tabs>
        <w:spacing w:after="240"/>
        <w:ind w:left="993" w:hanging="993"/>
      </w:pPr>
      <w:r w:rsidRPr="00E34329">
        <w:t xml:space="preserve">In reply to the query raised by the Commission regarding provision for bad and doubtful debts, the Petitioner has submitted that it has framed a policy for identifying and writing off old arrears and a copy of the same was submitted to the Commission during the proceedings in respect of ARR and Tariff Petition for FY 2014-15. It is also submitted by the Licensee that appropriate directions have been issued to the field units to compile the sample cases based on such order. The Commission, in its deficiency note, reiterated that the Petitioner has not submitted any such sample data of the </w:t>
      </w:r>
      <w:r w:rsidRPr="00E34329">
        <w:lastRenderedPageBreak/>
        <w:t xml:space="preserve">consumer indicating the policy framework for managing bad debts for the Commission’s perusal. Further, in reply to the query the Petitioner requested the Commission to approve the policy it has framed for identifying and writing off old arrears which it has submitted during the proceedings of ARR and Tariff for FY 2014-15 and also during the current proceedings. </w:t>
      </w:r>
    </w:p>
    <w:p w:rsidR="003147B8" w:rsidRPr="00947CC1" w:rsidRDefault="00E34329" w:rsidP="00C60AD1">
      <w:pPr>
        <w:pStyle w:val="Heading3"/>
        <w:tabs>
          <w:tab w:val="clear" w:pos="720"/>
        </w:tabs>
        <w:spacing w:after="240"/>
        <w:ind w:left="993" w:hanging="993"/>
      </w:pPr>
      <w:r w:rsidRPr="00E34329">
        <w:t>Regulation 4.4 of the Distribution Tariff Regulations, 2006 specifies as follows:</w:t>
      </w:r>
    </w:p>
    <w:p w:rsidR="003147B8" w:rsidRPr="00947CC1" w:rsidRDefault="00E34329" w:rsidP="00C60AD1">
      <w:pPr>
        <w:tabs>
          <w:tab w:val="left" w:pos="0"/>
          <w:tab w:val="left" w:pos="720"/>
        </w:tabs>
        <w:spacing w:after="240"/>
        <w:ind w:left="2376" w:hanging="936"/>
        <w:outlineLvl w:val="2"/>
        <w:rPr>
          <w:rFonts w:cs="Arial"/>
          <w:b/>
          <w:bCs/>
          <w:i/>
          <w:szCs w:val="26"/>
        </w:rPr>
      </w:pPr>
      <w:r w:rsidRPr="00E34329">
        <w:rPr>
          <w:rFonts w:cs="Arial"/>
          <w:b/>
          <w:bCs/>
          <w:i/>
          <w:szCs w:val="26"/>
        </w:rPr>
        <w:t>“4.4 Bad and Doubtful Debts:</w:t>
      </w:r>
    </w:p>
    <w:p w:rsidR="003147B8" w:rsidRPr="00947CC1" w:rsidRDefault="00E34329" w:rsidP="00C60AD1">
      <w:pPr>
        <w:tabs>
          <w:tab w:val="left" w:pos="0"/>
          <w:tab w:val="left" w:pos="720"/>
        </w:tabs>
        <w:spacing w:after="240"/>
        <w:ind w:left="1440"/>
        <w:outlineLvl w:val="2"/>
        <w:rPr>
          <w:rFonts w:cs="Arial"/>
          <w:bCs/>
          <w:i/>
          <w:szCs w:val="26"/>
        </w:rPr>
      </w:pPr>
      <w:r w:rsidRPr="00E34329">
        <w:rPr>
          <w:rFonts w:cs="Arial"/>
          <w:bCs/>
          <w:i/>
          <w:szCs w:val="26"/>
        </w:rPr>
        <w:t xml:space="preserve">Bad and Doubtful Debts shall be allowed as a legitimate business expense with the ceiling limit of 2% of the revenue receivables provided the distribution licensee actually identifies and writes off bad debts </w:t>
      </w:r>
      <w:r w:rsidRPr="00E34329">
        <w:rPr>
          <w:rFonts w:cs="Arial"/>
          <w:b/>
          <w:bCs/>
          <w:i/>
          <w:szCs w:val="26"/>
        </w:rPr>
        <w:t>as per the transparent policy approved by the Commission</w:t>
      </w:r>
      <w:r w:rsidRPr="00E34329">
        <w:rPr>
          <w:rFonts w:cs="Arial"/>
          <w:bCs/>
          <w:i/>
          <w:szCs w:val="26"/>
        </w:rPr>
        <w:t>. In case there is any recovery of bad debts already written off, the recovered bad debt will be treated as other income.”(</w:t>
      </w:r>
      <w:r w:rsidRPr="00E34329">
        <w:rPr>
          <w:rFonts w:cs="Arial"/>
          <w:b/>
          <w:bCs/>
          <w:i/>
          <w:szCs w:val="26"/>
        </w:rPr>
        <w:t>Emphasis supplied</w:t>
      </w:r>
      <w:r w:rsidRPr="00E34329">
        <w:rPr>
          <w:rFonts w:cs="Arial"/>
          <w:bCs/>
          <w:i/>
          <w:szCs w:val="26"/>
        </w:rPr>
        <w:t>)</w:t>
      </w:r>
    </w:p>
    <w:p w:rsidR="003147B8" w:rsidRPr="00947CC1" w:rsidRDefault="00E34329" w:rsidP="00C60AD1">
      <w:pPr>
        <w:pStyle w:val="Heading3"/>
        <w:tabs>
          <w:tab w:val="clear" w:pos="720"/>
        </w:tabs>
        <w:spacing w:after="240"/>
        <w:ind w:left="993" w:hanging="993"/>
      </w:pPr>
      <w:bookmarkStart w:id="302" w:name="_Ref396209324"/>
      <w:r w:rsidRPr="00E34329">
        <w:t xml:space="preserve">The submission made by Petitioner comprises of the approach for creation of provision of bad debts instead of the policy followed by it for identification of actual bad debts and writing off the same. Further, the Commission in the Tariff Order for FY 2013-14 had disallowed the claims towards provision for bad and doubtful debts due to the absence of a clear policy and procedure for identifying and writing off receivables. Any provisioning towards bad and doubtful debts needs to be backed up with processes to identify consumers who are not paying up and then making adequate attempts to collect from such consumers. </w:t>
      </w:r>
      <w:bookmarkEnd w:id="302"/>
    </w:p>
    <w:p w:rsidR="003147B8" w:rsidRPr="00947CC1" w:rsidRDefault="00E34329" w:rsidP="00C60AD1">
      <w:pPr>
        <w:pStyle w:val="Heading3"/>
        <w:tabs>
          <w:tab w:val="clear" w:pos="720"/>
        </w:tabs>
        <w:spacing w:after="240"/>
        <w:ind w:left="993" w:hanging="993"/>
      </w:pPr>
      <w:r w:rsidRPr="00E34329">
        <w:t>Thus, in accordance with the Distribution Tariff Regulations, 2006 proper guidelines and procedures for identifying, physically verifying and writing off the bad debts is a must for approval of provision for bad debts. Since, the Petitioner is yet to satisfy the Commission of the sincere and concerted efforts to comply with the Commission’s directives; the Commission is not giving any allowance for bad debts for FY 2013-14 during the final truing up exercise for FY 2013-14.</w:t>
      </w:r>
    </w:p>
    <w:p w:rsidR="003147B8" w:rsidRPr="00947CC1" w:rsidRDefault="00E34329" w:rsidP="00C60AD1">
      <w:pPr>
        <w:pStyle w:val="Heading3"/>
        <w:tabs>
          <w:tab w:val="clear" w:pos="720"/>
        </w:tabs>
        <w:spacing w:after="240"/>
        <w:ind w:left="993" w:hanging="993"/>
      </w:pPr>
      <w:bookmarkStart w:id="303" w:name="_Ref396209221"/>
      <w:r w:rsidRPr="00E34329">
        <w:t xml:space="preserve">Therefore, in the absence of proper policy in place for identifying and writing off receivables and non submission of sample cases of LT &amp; HT consumer </w:t>
      </w:r>
      <w:r w:rsidRPr="00E34329">
        <w:lastRenderedPageBreak/>
        <w:t>where orders have been issued for writing off debts, the Commission disallows the claims towards provision for bad and doubtful debts.</w:t>
      </w:r>
      <w:bookmarkEnd w:id="303"/>
    </w:p>
    <w:p w:rsidR="003147B8" w:rsidRPr="00E0115C" w:rsidRDefault="00E34329" w:rsidP="00C60AD1">
      <w:pPr>
        <w:spacing w:before="0"/>
        <w:jc w:val="center"/>
        <w:rPr>
          <w:rFonts w:asciiTheme="minorHAnsi" w:hAnsiTheme="minorHAnsi" w:cs="Calibri"/>
          <w:b/>
          <w:sz w:val="22"/>
          <w:szCs w:val="22"/>
          <w:lang w:val="en-US"/>
        </w:rPr>
      </w:pPr>
      <w:bookmarkStart w:id="304" w:name="_Toc394490650"/>
      <w:bookmarkStart w:id="305" w:name="_Toc457604013"/>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21</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PROVISION FOR BAD AND DOUBTFUL DEBT FOR FY 2013-14 (Rs. Crore)</w:t>
      </w:r>
      <w:bookmarkEnd w:id="304"/>
      <w:bookmarkEnd w:id="305"/>
    </w:p>
    <w:tbl>
      <w:tblPr>
        <w:tblW w:w="8940" w:type="dxa"/>
        <w:jc w:val="center"/>
        <w:tblInd w:w="103" w:type="dxa"/>
        <w:tblLook w:val="04A0"/>
      </w:tblPr>
      <w:tblGrid>
        <w:gridCol w:w="4060"/>
        <w:gridCol w:w="1220"/>
        <w:gridCol w:w="1220"/>
        <w:gridCol w:w="1220"/>
        <w:gridCol w:w="1220"/>
      </w:tblGrid>
      <w:tr w:rsidR="003147B8" w:rsidRPr="00680AFE" w:rsidTr="00680AFE">
        <w:trPr>
          <w:trHeight w:val="900"/>
          <w:tblHeader/>
          <w:jc w:val="center"/>
        </w:trPr>
        <w:tc>
          <w:tcPr>
            <w:tcW w:w="4060" w:type="dxa"/>
            <w:tcBorders>
              <w:top w:val="dotted" w:sz="4" w:space="0" w:color="auto"/>
              <w:left w:val="dotted" w:sz="4" w:space="0" w:color="auto"/>
              <w:bottom w:val="dotted" w:sz="4" w:space="0" w:color="auto"/>
              <w:right w:val="dotted" w:sz="4" w:space="0" w:color="auto"/>
            </w:tcBorders>
            <w:shd w:val="clear" w:color="000000" w:fill="DBE5F1"/>
            <w:noWrap/>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US"/>
              </w:rPr>
              <w:t>Particulars</w:t>
            </w:r>
          </w:p>
        </w:tc>
        <w:tc>
          <w:tcPr>
            <w:tcW w:w="1220" w:type="dxa"/>
            <w:tcBorders>
              <w:top w:val="dotted" w:sz="4" w:space="0" w:color="auto"/>
              <w:left w:val="nil"/>
              <w:bottom w:val="dotted" w:sz="4" w:space="0" w:color="auto"/>
              <w:right w:val="dotted" w:sz="4" w:space="0" w:color="auto"/>
            </w:tcBorders>
            <w:shd w:val="clear" w:color="000000" w:fill="DBE5F1"/>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US"/>
              </w:rPr>
              <w:t>Tariff Order</w:t>
            </w:r>
          </w:p>
        </w:tc>
        <w:tc>
          <w:tcPr>
            <w:tcW w:w="1220" w:type="dxa"/>
            <w:tcBorders>
              <w:top w:val="dotted" w:sz="4" w:space="0" w:color="auto"/>
              <w:left w:val="nil"/>
              <w:bottom w:val="dotted" w:sz="4" w:space="0" w:color="auto"/>
              <w:right w:val="dotted" w:sz="4" w:space="0" w:color="auto"/>
            </w:tcBorders>
            <w:shd w:val="clear" w:color="000000" w:fill="DBE5F1"/>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US"/>
              </w:rPr>
              <w:t>Actual as per audited accounts</w:t>
            </w:r>
          </w:p>
        </w:tc>
        <w:tc>
          <w:tcPr>
            <w:tcW w:w="1220" w:type="dxa"/>
            <w:tcBorders>
              <w:top w:val="dotted" w:sz="4" w:space="0" w:color="auto"/>
              <w:left w:val="nil"/>
              <w:bottom w:val="dotted" w:sz="4" w:space="0" w:color="auto"/>
              <w:right w:val="dotted" w:sz="4" w:space="0" w:color="auto"/>
            </w:tcBorders>
            <w:shd w:val="clear" w:color="000000" w:fill="DBE5F1"/>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US"/>
              </w:rPr>
              <w:t>True-up Petition</w:t>
            </w:r>
          </w:p>
        </w:tc>
        <w:tc>
          <w:tcPr>
            <w:tcW w:w="1220" w:type="dxa"/>
            <w:tcBorders>
              <w:top w:val="dotted" w:sz="4" w:space="0" w:color="auto"/>
              <w:left w:val="nil"/>
              <w:bottom w:val="dotted" w:sz="4" w:space="0" w:color="auto"/>
              <w:right w:val="dotted" w:sz="4" w:space="0" w:color="auto"/>
            </w:tcBorders>
            <w:shd w:val="clear" w:color="000000" w:fill="DBE5F1"/>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IN" w:eastAsia="en-IN"/>
              </w:rPr>
              <w:t>Approved upon Truing up</w:t>
            </w:r>
          </w:p>
        </w:tc>
      </w:tr>
      <w:tr w:rsidR="00E7371F" w:rsidRPr="00680AFE" w:rsidTr="004B0510">
        <w:trPr>
          <w:trHeight w:val="300"/>
          <w:jc w:val="center"/>
        </w:trPr>
        <w:tc>
          <w:tcPr>
            <w:tcW w:w="4060" w:type="dxa"/>
            <w:tcBorders>
              <w:top w:val="nil"/>
              <w:left w:val="dotted" w:sz="4" w:space="0" w:color="auto"/>
              <w:bottom w:val="dotted" w:sz="4" w:space="0" w:color="auto"/>
              <w:right w:val="dotted" w:sz="4" w:space="0" w:color="auto"/>
            </w:tcBorders>
            <w:shd w:val="clear" w:color="auto" w:fill="auto"/>
            <w:noWrap/>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Provision for Bad and Doubtful Debts</w:t>
            </w:r>
          </w:p>
        </w:tc>
        <w:tc>
          <w:tcPr>
            <w:tcW w:w="122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0.00</w:t>
            </w:r>
          </w:p>
        </w:tc>
        <w:tc>
          <w:tcPr>
            <w:tcW w:w="122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31.10</w:t>
            </w:r>
          </w:p>
        </w:tc>
        <w:tc>
          <w:tcPr>
            <w:tcW w:w="122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91.66</w:t>
            </w:r>
          </w:p>
        </w:tc>
        <w:tc>
          <w:tcPr>
            <w:tcW w:w="1220" w:type="dxa"/>
            <w:tcBorders>
              <w:top w:val="nil"/>
              <w:left w:val="nil"/>
              <w:bottom w:val="dotted" w:sz="4" w:space="0" w:color="auto"/>
              <w:right w:val="dotted" w:sz="4" w:space="0" w:color="auto"/>
            </w:tcBorders>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0.00</w:t>
            </w:r>
          </w:p>
        </w:tc>
      </w:tr>
    </w:tbl>
    <w:p w:rsidR="00603835" w:rsidRDefault="00603835">
      <w:pPr>
        <w:spacing w:before="0" w:after="200"/>
        <w:jc w:val="left"/>
        <w:rPr>
          <w:rFonts w:asciiTheme="minorHAnsi" w:hAnsiTheme="minorHAnsi"/>
          <w:sz w:val="22"/>
          <w:szCs w:val="22"/>
          <w:lang w:val="en-US"/>
        </w:rPr>
      </w:pPr>
    </w:p>
    <w:p w:rsidR="003147B8" w:rsidRPr="00947CC1" w:rsidRDefault="00E34329" w:rsidP="00C60AD1">
      <w:pPr>
        <w:pStyle w:val="Heading2"/>
        <w:rPr>
          <w:rFonts w:ascii="Calibri" w:hAnsi="Calibri" w:cs="Calibri"/>
          <w:szCs w:val="26"/>
          <w:lang w:val="en-US"/>
        </w:rPr>
      </w:pPr>
      <w:bookmarkStart w:id="306" w:name="_Toc394435924"/>
      <w:bookmarkStart w:id="307" w:name="_Toc457603930"/>
      <w:bookmarkStart w:id="308" w:name="_Toc352568757"/>
      <w:bookmarkStart w:id="309" w:name="_Toc356913006"/>
      <w:r w:rsidRPr="00E34329">
        <w:rPr>
          <w:rFonts w:ascii="Calibri" w:hAnsi="Calibri" w:cs="Calibri"/>
          <w:szCs w:val="26"/>
          <w:lang w:val="en-US"/>
        </w:rPr>
        <w:t>RETURN ON EQUITY</w:t>
      </w:r>
      <w:bookmarkEnd w:id="306"/>
      <w:bookmarkEnd w:id="307"/>
    </w:p>
    <w:p w:rsidR="003147B8" w:rsidRPr="00947CC1" w:rsidRDefault="00E34329" w:rsidP="00C60AD1">
      <w:pPr>
        <w:pStyle w:val="Heading3"/>
        <w:tabs>
          <w:tab w:val="clear" w:pos="720"/>
        </w:tabs>
        <w:spacing w:after="240"/>
        <w:ind w:left="993" w:hanging="993"/>
      </w:pPr>
      <w:bookmarkStart w:id="310" w:name="_Toc357349099"/>
      <w:bookmarkStart w:id="311" w:name="_Toc357356158"/>
      <w:r w:rsidRPr="00E34329">
        <w:t>The Petitioner has not claimed any return on equity for the year under review. Hence, the Commission has also not allowed any amount towards return on equity for FY 2013-14.</w:t>
      </w:r>
      <w:bookmarkEnd w:id="310"/>
      <w:bookmarkEnd w:id="311"/>
    </w:p>
    <w:p w:rsidR="003147B8" w:rsidRPr="00947CC1" w:rsidRDefault="00E34329" w:rsidP="00C60AD1">
      <w:pPr>
        <w:pStyle w:val="Heading2"/>
        <w:rPr>
          <w:rFonts w:ascii="Calibri" w:hAnsi="Calibri" w:cs="Calibri"/>
          <w:szCs w:val="26"/>
          <w:lang w:val="en-US"/>
        </w:rPr>
      </w:pPr>
      <w:bookmarkStart w:id="312" w:name="_Toc457603931"/>
      <w:r w:rsidRPr="00E34329">
        <w:rPr>
          <w:rFonts w:ascii="Calibri" w:hAnsi="Calibri" w:cs="Calibri"/>
          <w:szCs w:val="26"/>
          <w:lang w:val="en-US"/>
        </w:rPr>
        <w:t>REVENUE SUBSIDY FROM GOUP</w:t>
      </w:r>
      <w:bookmarkEnd w:id="308"/>
      <w:bookmarkEnd w:id="309"/>
      <w:bookmarkEnd w:id="312"/>
    </w:p>
    <w:p w:rsidR="003147B8" w:rsidRPr="00947CC1" w:rsidRDefault="00E34329" w:rsidP="00C60AD1">
      <w:pPr>
        <w:pStyle w:val="Heading3"/>
        <w:tabs>
          <w:tab w:val="clear" w:pos="720"/>
        </w:tabs>
        <w:spacing w:after="240"/>
        <w:ind w:left="993" w:hanging="993"/>
      </w:pPr>
      <w:r w:rsidRPr="00E34329">
        <w:t>The Petitioner has submitted that the actual revenue subsidy received from GoUP was Rs. 917.88 Crore during FY 2013-14 as against Rs. 877.68 Crore approved in the Tariff Order.</w:t>
      </w:r>
    </w:p>
    <w:p w:rsidR="003147B8" w:rsidRPr="00947CC1" w:rsidRDefault="00E34329" w:rsidP="00C60AD1">
      <w:pPr>
        <w:pStyle w:val="Heading3"/>
        <w:tabs>
          <w:tab w:val="clear" w:pos="720"/>
        </w:tabs>
        <w:spacing w:after="240"/>
        <w:ind w:left="993" w:hanging="993"/>
      </w:pPr>
      <w:r w:rsidRPr="00E34329">
        <w:t>The Commission has accepted the submission of the Petitioner under this head.</w:t>
      </w:r>
    </w:p>
    <w:p w:rsidR="003147B8" w:rsidRPr="00947CC1" w:rsidRDefault="00E34329" w:rsidP="00C60AD1">
      <w:pPr>
        <w:pStyle w:val="Heading2"/>
        <w:rPr>
          <w:rFonts w:ascii="Calibri" w:hAnsi="Calibri" w:cs="Calibri"/>
          <w:szCs w:val="26"/>
          <w:lang w:val="en-US"/>
        </w:rPr>
      </w:pPr>
      <w:bookmarkStart w:id="313" w:name="_Toc356913007"/>
      <w:bookmarkStart w:id="314" w:name="_Toc457603932"/>
      <w:r w:rsidRPr="00E34329">
        <w:rPr>
          <w:rFonts w:ascii="Calibri" w:hAnsi="Calibri" w:cs="Calibri"/>
          <w:szCs w:val="26"/>
          <w:lang w:val="en-US"/>
        </w:rPr>
        <w:t>ADDITIONAL SUSBIDY REQUIREMENT</w:t>
      </w:r>
      <w:bookmarkEnd w:id="313"/>
      <w:bookmarkEnd w:id="314"/>
    </w:p>
    <w:p w:rsidR="003147B8" w:rsidRPr="00947CC1" w:rsidRDefault="00E34329" w:rsidP="00C60AD1">
      <w:pPr>
        <w:pStyle w:val="Heading3"/>
        <w:tabs>
          <w:tab w:val="clear" w:pos="720"/>
        </w:tabs>
        <w:spacing w:after="240"/>
        <w:ind w:left="993" w:hanging="993"/>
      </w:pPr>
      <w:r w:rsidRPr="00E34329">
        <w:t>The Distribution Tariff Regulations, 2006 are effective from FY 2007-08. Clause 6.10 of the Distribution Tariff Regulations, 2006 specifies:</w:t>
      </w:r>
    </w:p>
    <w:p w:rsidR="003147B8" w:rsidRPr="00947CC1" w:rsidRDefault="00E34329" w:rsidP="00C60AD1">
      <w:pPr>
        <w:spacing w:before="240" w:after="200"/>
        <w:ind w:left="720" w:firstLine="540"/>
        <w:rPr>
          <w:i/>
          <w:szCs w:val="22"/>
          <w:lang w:val="en-US"/>
        </w:rPr>
      </w:pPr>
      <w:r w:rsidRPr="00E34329">
        <w:rPr>
          <w:i/>
          <w:szCs w:val="22"/>
          <w:lang w:val="en-US"/>
        </w:rPr>
        <w:t>“</w:t>
      </w:r>
      <w:r w:rsidRPr="00E34329">
        <w:rPr>
          <w:b/>
          <w:i/>
          <w:szCs w:val="22"/>
          <w:lang w:val="en-US"/>
        </w:rPr>
        <w:t>6.10 Provision of Subsidy</w:t>
      </w:r>
    </w:p>
    <w:p w:rsidR="003147B8" w:rsidRPr="00947CC1" w:rsidRDefault="00E34329" w:rsidP="00C60AD1">
      <w:pPr>
        <w:spacing w:before="240" w:after="200"/>
        <w:ind w:left="1260"/>
        <w:rPr>
          <w:i/>
          <w:szCs w:val="22"/>
          <w:lang w:val="en-US"/>
        </w:rPr>
      </w:pPr>
      <w:r w:rsidRPr="00E34329">
        <w:rPr>
          <w:i/>
          <w:szCs w:val="22"/>
          <w:lang w:val="en-US"/>
        </w:rPr>
        <w:t>1. The Commission, while determining the tariff, shall see that the tariff progressively reflects the cost of supply of electricity and the cross subsidy is reduced or eliminated.</w:t>
      </w:r>
    </w:p>
    <w:p w:rsidR="003147B8" w:rsidRPr="00947CC1" w:rsidRDefault="00E34329" w:rsidP="00C60AD1">
      <w:pPr>
        <w:spacing w:before="240" w:after="200"/>
        <w:ind w:left="1260"/>
        <w:rPr>
          <w:i/>
          <w:szCs w:val="22"/>
          <w:lang w:val="en-US"/>
        </w:rPr>
      </w:pPr>
      <w:r w:rsidRPr="00E34329">
        <w:rPr>
          <w:i/>
          <w:szCs w:val="22"/>
          <w:lang w:val="en-US"/>
        </w:rPr>
        <w:t xml:space="preserve">2. If the State Government decides to subsidize any consumer or class of consumers, the State Government shall pay the amount to compensate the affected licensee by grant of such subsidy in advance. </w:t>
      </w:r>
    </w:p>
    <w:p w:rsidR="003147B8" w:rsidRPr="00947CC1" w:rsidRDefault="00E34329" w:rsidP="00C60AD1">
      <w:pPr>
        <w:spacing w:before="240" w:after="200"/>
        <w:ind w:left="1260"/>
        <w:rPr>
          <w:i/>
          <w:szCs w:val="22"/>
          <w:lang w:val="en-US"/>
        </w:rPr>
      </w:pPr>
      <w:r w:rsidRPr="00E34329">
        <w:rPr>
          <w:i/>
          <w:szCs w:val="22"/>
          <w:lang w:val="en-US"/>
        </w:rPr>
        <w:t xml:space="preserve">Provided that no such direction of the State Government to grant subsidy shall be operative if the payment is not made in accordance with the </w:t>
      </w:r>
      <w:r w:rsidRPr="00E34329">
        <w:rPr>
          <w:i/>
          <w:szCs w:val="22"/>
          <w:lang w:val="en-US"/>
        </w:rPr>
        <w:lastRenderedPageBreak/>
        <w:t>relevant provisions contained in these Regulations and the Act. In such a case, the tariff of the applicable categories may be revised excluding the subsidy.</w:t>
      </w:r>
    </w:p>
    <w:p w:rsidR="003147B8" w:rsidRPr="00947CC1" w:rsidRDefault="00E34329" w:rsidP="00C60AD1">
      <w:pPr>
        <w:spacing w:before="240" w:after="200"/>
        <w:ind w:left="1260"/>
        <w:rPr>
          <w:i/>
          <w:szCs w:val="22"/>
          <w:lang w:val="en-US"/>
        </w:rPr>
      </w:pPr>
      <w:r w:rsidRPr="00E34329">
        <w:rPr>
          <w:i/>
          <w:szCs w:val="22"/>
          <w:lang w:val="en-US"/>
        </w:rPr>
        <w:t xml:space="preserve">3. The Government shall, by notification, declare the consumers or class of consumers to be subsidized. </w:t>
      </w:r>
    </w:p>
    <w:p w:rsidR="003147B8" w:rsidRPr="00947CC1" w:rsidRDefault="00E34329" w:rsidP="00C60AD1">
      <w:pPr>
        <w:spacing w:before="240" w:after="200"/>
        <w:ind w:left="1260"/>
        <w:rPr>
          <w:b/>
          <w:i/>
          <w:szCs w:val="22"/>
          <w:lang w:val="en-US"/>
        </w:rPr>
      </w:pPr>
      <w:r w:rsidRPr="00E34329">
        <w:rPr>
          <w:b/>
          <w:i/>
          <w:szCs w:val="22"/>
          <w:lang w:val="en-US"/>
        </w:rPr>
        <w:t>4. Tariff of the subsidized category shall be designed taking into account the subsidy allocated to that category.</w:t>
      </w:r>
    </w:p>
    <w:p w:rsidR="003147B8" w:rsidRPr="00947CC1" w:rsidRDefault="00E34329" w:rsidP="00C60AD1">
      <w:pPr>
        <w:spacing w:before="240" w:after="200"/>
        <w:ind w:left="1260"/>
        <w:rPr>
          <w:b/>
          <w:i/>
          <w:szCs w:val="22"/>
          <w:lang w:val="en-US"/>
        </w:rPr>
      </w:pPr>
      <w:r w:rsidRPr="00E34329">
        <w:rPr>
          <w:b/>
          <w:i/>
          <w:szCs w:val="22"/>
          <w:lang w:val="en-US"/>
        </w:rPr>
        <w:t>5. The Distribution Licensee shall furnish details of power consumed by the subsidized category to the State Government and the Commission.</w:t>
      </w:r>
      <w:r w:rsidRPr="00E34329">
        <w:rPr>
          <w:i/>
          <w:szCs w:val="22"/>
          <w:lang w:val="en-US"/>
        </w:rPr>
        <w:t xml:space="preserve"> The Distribution Licensee shall provide meters on all rural distribution transformers and shall also furnish the power consumption details in respect of agricultural and rural domestic consumption based on readings from such meters and normative distribution losses on a monthly basis.” </w:t>
      </w:r>
      <w:r w:rsidRPr="00E34329">
        <w:rPr>
          <w:b/>
          <w:i/>
          <w:szCs w:val="22"/>
          <w:lang w:val="en-US"/>
        </w:rPr>
        <w:t>(Emphasis supplied)</w:t>
      </w:r>
    </w:p>
    <w:p w:rsidR="003147B8" w:rsidRPr="00947CC1" w:rsidRDefault="00E34329" w:rsidP="00C60AD1">
      <w:pPr>
        <w:pStyle w:val="Heading3"/>
        <w:tabs>
          <w:tab w:val="clear" w:pos="720"/>
        </w:tabs>
        <w:spacing w:after="240"/>
        <w:ind w:left="993" w:hanging="993"/>
      </w:pPr>
      <w:r w:rsidRPr="00E34329">
        <w:t>The Commission, in its Tariff Orders for FY 2013-14 and FY 2014-15, regarding additional subsidy requirement has stipulated as under:</w:t>
      </w:r>
    </w:p>
    <w:p w:rsidR="003147B8" w:rsidRPr="00947CC1" w:rsidRDefault="00E34329" w:rsidP="00C60AD1">
      <w:pPr>
        <w:spacing w:before="240" w:after="200"/>
        <w:ind w:left="1440"/>
        <w:rPr>
          <w:rFonts w:cs="Arial"/>
          <w:bCs/>
          <w:szCs w:val="26"/>
          <w:lang w:val="en-US"/>
        </w:rPr>
      </w:pPr>
      <w:r w:rsidRPr="00E34329">
        <w:rPr>
          <w:rFonts w:cs="Arial"/>
          <w:bCs/>
          <w:i/>
          <w:iCs/>
          <w:szCs w:val="26"/>
        </w:rPr>
        <w:t>“The Commission in the true up Order dated 21st May, 2013 had computed the additional subsidy requirement from GoUP as the difference between actual cost of sales to subsidised categories and the revenue assessment to the subsidised categories of LMV-1 (a): Consumer getting supply as per "Rural Schedule" and LMV-5: Private Tube wells (PTW). Similarly, the Commission in this Order also, has computed the additional subsidy requirement from GoUP which ensures that commensurate subsidy from GoUP is factored in the ARR being approved for FY 2013-14.”</w:t>
      </w:r>
    </w:p>
    <w:p w:rsidR="00193210" w:rsidRPr="00947CC1" w:rsidRDefault="00E34329" w:rsidP="00193210">
      <w:pPr>
        <w:pStyle w:val="Heading3"/>
        <w:tabs>
          <w:tab w:val="clear" w:pos="720"/>
        </w:tabs>
        <w:spacing w:after="240"/>
        <w:ind w:left="993" w:hanging="993"/>
        <w:rPr>
          <w:bCs w:val="0"/>
        </w:rPr>
      </w:pPr>
      <w:bookmarkStart w:id="315" w:name="_Ref396209579"/>
      <w:r w:rsidRPr="00E34329">
        <w:t>With regard to the above matter, the Distribution Licensees have filed an Appeal before the Hon’ble APTEL on applicability of additional subsidy. The matter has been</w:t>
      </w:r>
      <w:bookmarkEnd w:id="315"/>
      <w:r w:rsidRPr="00E34329">
        <w:t xml:space="preserve"> decided </w:t>
      </w:r>
      <w:r w:rsidRPr="00E34329">
        <w:rPr>
          <w:bCs w:val="0"/>
        </w:rPr>
        <w:t xml:space="preserve">by the Hon’ble APTEL in its Judgment dated November 23, 2015 which is in line with the approach followed by the Commission in its earlier Tariff Orders and wherein it gave the following decision. </w:t>
      </w:r>
    </w:p>
    <w:p w:rsidR="00BE1724" w:rsidRPr="00947CC1" w:rsidRDefault="00E34329">
      <w:pPr>
        <w:pStyle w:val="Heading3"/>
        <w:numPr>
          <w:ilvl w:val="0"/>
          <w:numId w:val="0"/>
        </w:numPr>
        <w:tabs>
          <w:tab w:val="clear" w:pos="720"/>
        </w:tabs>
        <w:spacing w:after="240"/>
        <w:ind w:left="1440"/>
        <w:rPr>
          <w:i/>
          <w:szCs w:val="24"/>
        </w:rPr>
      </w:pPr>
      <w:r w:rsidRPr="00E34329">
        <w:rPr>
          <w:i/>
          <w:szCs w:val="24"/>
        </w:rPr>
        <w:t>“</w:t>
      </w:r>
      <w:r w:rsidRPr="00E34329">
        <w:rPr>
          <w:b/>
          <w:i/>
          <w:szCs w:val="24"/>
        </w:rPr>
        <w:t xml:space="preserve">In case the amount of subsidy assured by the State Government for a particular class of consumers is not released, then it may lead to cross </w:t>
      </w:r>
      <w:r w:rsidRPr="00E34329">
        <w:rPr>
          <w:b/>
          <w:i/>
          <w:szCs w:val="24"/>
        </w:rPr>
        <w:lastRenderedPageBreak/>
        <w:t>subsidizing that particular class of consumers by another class of consumers</w:t>
      </w:r>
      <w:r w:rsidRPr="00E34329">
        <w:rPr>
          <w:i/>
          <w:szCs w:val="24"/>
        </w:rPr>
        <w:t xml:space="preserve"> as the tariff is fixed by the State Commission for different class of consumers taking into account the amount of subsidy assured by the State Government for that particular class of consumers which would be against the principles of law laid down by this Appellate Tribunal. We, after considering these rival contentions of the parties do not find force in the contentions of the appellants. The contentions raised by the respondent Commission appear to be reasonable, legal and correct one. It appears from the Impugned Order and other material on record that the State Commission has been consistent in its approach on the said issue because the State Commission has approved the amount of subsidy in a just and legal way. The State Commission has trued up the amount of subsidy given by the State Government on taking into consideration the amount of subsidy approved in the tariff order of the respective FY and actual amount of subsidy received as per audited accounts in the respective FY and as claimed in the true up petitions for the respective FYs. </w:t>
      </w:r>
      <w:r w:rsidRPr="00E34329">
        <w:rPr>
          <w:b/>
          <w:i/>
          <w:szCs w:val="24"/>
        </w:rPr>
        <w:t>Further, the State Commission has correctly and legally allowed the subsidy approved in the respective tariff order</w:t>
      </w:r>
      <w:r w:rsidRPr="00E34329">
        <w:rPr>
          <w:i/>
          <w:szCs w:val="24"/>
        </w:rPr>
        <w:t xml:space="preserve"> where the actual subsidy received from the State Government was less and in some years the actual subsidy where the amount received from the Government was more…</w:t>
      </w:r>
    </w:p>
    <w:p w:rsidR="00BE1724" w:rsidRPr="00947CC1" w:rsidRDefault="00E34329">
      <w:pPr>
        <w:pStyle w:val="Heading3"/>
        <w:numPr>
          <w:ilvl w:val="0"/>
          <w:numId w:val="0"/>
        </w:numPr>
        <w:tabs>
          <w:tab w:val="clear" w:pos="720"/>
        </w:tabs>
        <w:spacing w:after="240"/>
        <w:ind w:left="1440"/>
        <w:rPr>
          <w:i/>
        </w:rPr>
      </w:pPr>
      <w:r w:rsidRPr="00E34329">
        <w:rPr>
          <w:i/>
          <w:szCs w:val="23"/>
        </w:rPr>
        <w:t xml:space="preserve">8.8) </w:t>
      </w:r>
      <w:r w:rsidRPr="00E34329">
        <w:rPr>
          <w:b/>
          <w:i/>
          <w:szCs w:val="23"/>
        </w:rPr>
        <w:t>Hence, we hold that the State Commission is legally justified in directing the appellants to recover the subsidy/additional subsidy from Government of Uttar Pradesh instead of giving the same as a pass through in the appellants aggregate revenue requirement.</w:t>
      </w:r>
      <w:r w:rsidRPr="00E34329">
        <w:rPr>
          <w:i/>
          <w:szCs w:val="23"/>
        </w:rPr>
        <w:t xml:space="preserve"> If proper datas and details in true sense were not available with the appellants, then for that lapse or failure of the appellants, the consumers cannot be allowed to suffer. Hence, this issue is decided against the appellants.”</w:t>
      </w:r>
      <w:r w:rsidRPr="00E34329">
        <w:rPr>
          <w:b/>
          <w:i/>
          <w:szCs w:val="23"/>
        </w:rPr>
        <w:t>[Emphasis supplied]</w:t>
      </w:r>
    </w:p>
    <w:p w:rsidR="003147B8" w:rsidRPr="00947CC1" w:rsidRDefault="00E34329" w:rsidP="00C60AD1">
      <w:pPr>
        <w:pStyle w:val="Heading3"/>
        <w:tabs>
          <w:tab w:val="clear" w:pos="720"/>
        </w:tabs>
        <w:spacing w:after="240"/>
        <w:ind w:left="993" w:hanging="993"/>
      </w:pPr>
      <w:bookmarkStart w:id="316" w:name="_Ref396209419"/>
      <w:r w:rsidRPr="00E34329">
        <w:t xml:space="preserve">The Commission has considered the actual sales of the subsidised categories, namely LMV-1 (a): Consumer getting supply as per "Rural Schedule" and LMV-5: Private Tube wells (PTW) for computing the actual subsidy requirement, which is also same as submitted by the Petitioner. Further, the through rate for the LMV-1 (a) Consumer getting supply as per "Rural Schedule" and LMV-5: Private Tube wells (PTW) has been considered as submitted by the Petitioner. </w:t>
      </w:r>
      <w:bookmarkEnd w:id="316"/>
    </w:p>
    <w:p w:rsidR="003147B8" w:rsidRPr="00E0115C" w:rsidRDefault="00E34329" w:rsidP="00C60AD1">
      <w:pPr>
        <w:pStyle w:val="Heading3"/>
        <w:tabs>
          <w:tab w:val="clear" w:pos="720"/>
        </w:tabs>
        <w:spacing w:after="240"/>
        <w:ind w:left="993" w:hanging="993"/>
        <w:rPr>
          <w:rFonts w:asciiTheme="minorHAnsi" w:hAnsiTheme="minorHAnsi"/>
        </w:rPr>
      </w:pPr>
      <w:r w:rsidRPr="00E34329">
        <w:lastRenderedPageBreak/>
        <w:t>As per the table provided below, the additional subsidy has been considered for reduction from the ARR being trued up.</w:t>
      </w:r>
    </w:p>
    <w:p w:rsidR="003147B8" w:rsidRPr="00E0115C" w:rsidRDefault="00E34329" w:rsidP="00C60AD1">
      <w:pPr>
        <w:spacing w:before="0"/>
        <w:jc w:val="center"/>
        <w:rPr>
          <w:rFonts w:asciiTheme="minorHAnsi" w:hAnsiTheme="minorHAnsi" w:cs="Calibri"/>
          <w:b/>
          <w:sz w:val="22"/>
          <w:szCs w:val="22"/>
          <w:lang w:val="en-US"/>
        </w:rPr>
      </w:pPr>
      <w:bookmarkStart w:id="317" w:name="_Toc356913203"/>
      <w:bookmarkStart w:id="318" w:name="_Toc394490651"/>
      <w:bookmarkStart w:id="319" w:name="_Toc457604014"/>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22</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COMPUTATION OF SUBSIDY REQUIREMENT FOR FY 2013-14 (Rs Crore)</w:t>
      </w:r>
      <w:bookmarkEnd w:id="317"/>
      <w:bookmarkEnd w:id="318"/>
      <w:bookmarkEnd w:id="319"/>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898"/>
        <w:gridCol w:w="1171"/>
        <w:gridCol w:w="1169"/>
        <w:gridCol w:w="1262"/>
        <w:gridCol w:w="933"/>
        <w:gridCol w:w="1452"/>
      </w:tblGrid>
      <w:tr w:rsidR="00D6621C" w:rsidRPr="00680AFE" w:rsidTr="00680AFE">
        <w:trPr>
          <w:trHeight w:val="600"/>
          <w:tblHeader/>
          <w:jc w:val="center"/>
        </w:trPr>
        <w:tc>
          <w:tcPr>
            <w:tcW w:w="1631" w:type="pct"/>
            <w:vMerge w:val="restart"/>
            <w:shd w:val="clear" w:color="000000" w:fill="DBE5F1"/>
            <w:noWrap/>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US"/>
              </w:rPr>
              <w:t>Particulars</w:t>
            </w:r>
          </w:p>
        </w:tc>
        <w:tc>
          <w:tcPr>
            <w:tcW w:w="659" w:type="pct"/>
            <w:shd w:val="clear" w:color="000000" w:fill="DBE5F1"/>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US"/>
              </w:rPr>
              <w:t>Sales</w:t>
            </w:r>
          </w:p>
        </w:tc>
        <w:tc>
          <w:tcPr>
            <w:tcW w:w="658" w:type="pct"/>
            <w:shd w:val="clear" w:color="000000" w:fill="DBE5F1"/>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US"/>
              </w:rPr>
              <w:t>Cost of Service</w:t>
            </w:r>
          </w:p>
        </w:tc>
        <w:tc>
          <w:tcPr>
            <w:tcW w:w="710" w:type="pct"/>
            <w:shd w:val="clear" w:color="000000" w:fill="DBE5F1"/>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US"/>
              </w:rPr>
              <w:t>Thru Rate</w:t>
            </w:r>
          </w:p>
        </w:tc>
        <w:tc>
          <w:tcPr>
            <w:tcW w:w="525" w:type="pct"/>
            <w:shd w:val="clear" w:color="000000" w:fill="DBE5F1"/>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US"/>
              </w:rPr>
              <w:t>Loss</w:t>
            </w:r>
          </w:p>
        </w:tc>
        <w:tc>
          <w:tcPr>
            <w:tcW w:w="817" w:type="pct"/>
            <w:shd w:val="clear" w:color="000000" w:fill="DBE5F1"/>
            <w:hideMark/>
          </w:tcPr>
          <w:p w:rsidR="00603835" w:rsidRPr="00603835" w:rsidRDefault="00337C98">
            <w:pPr>
              <w:spacing w:before="0" w:line="240" w:lineRule="auto"/>
              <w:jc w:val="center"/>
              <w:rPr>
                <w:rFonts w:asciiTheme="minorHAnsi" w:hAnsiTheme="minorHAnsi"/>
                <w:b/>
                <w:sz w:val="22"/>
                <w:lang w:val="en-US"/>
              </w:rPr>
            </w:pPr>
            <w:r w:rsidRPr="00337C98">
              <w:rPr>
                <w:rFonts w:asciiTheme="minorHAnsi" w:hAnsiTheme="minorHAnsi"/>
                <w:b/>
                <w:sz w:val="22"/>
                <w:lang w:val="en-US"/>
              </w:rPr>
              <w:t>Loss</w:t>
            </w:r>
          </w:p>
        </w:tc>
      </w:tr>
      <w:tr w:rsidR="00D6621C" w:rsidRPr="00680AFE" w:rsidTr="00680AFE">
        <w:trPr>
          <w:trHeight w:val="300"/>
          <w:tblHeader/>
          <w:jc w:val="center"/>
        </w:trPr>
        <w:tc>
          <w:tcPr>
            <w:tcW w:w="1631" w:type="pct"/>
            <w:vMerge/>
            <w:hideMark/>
          </w:tcPr>
          <w:p w:rsidR="00337C98" w:rsidRPr="00337C98" w:rsidRDefault="00337C98" w:rsidP="00337C98">
            <w:pPr>
              <w:spacing w:before="0" w:line="240" w:lineRule="auto"/>
              <w:jc w:val="center"/>
              <w:rPr>
                <w:rFonts w:asciiTheme="minorHAnsi" w:hAnsiTheme="minorHAnsi"/>
                <w:b/>
                <w:sz w:val="22"/>
                <w:lang w:val="en-US"/>
              </w:rPr>
            </w:pPr>
          </w:p>
        </w:tc>
        <w:tc>
          <w:tcPr>
            <w:tcW w:w="659" w:type="pct"/>
            <w:shd w:val="clear" w:color="000000" w:fill="DBE5F1"/>
            <w:hideMark/>
          </w:tcPr>
          <w:p w:rsidR="00603835" w:rsidRPr="00603835" w:rsidRDefault="00337C98">
            <w:pPr>
              <w:spacing w:before="0" w:line="240" w:lineRule="auto"/>
              <w:ind w:left="-720" w:right="29" w:firstLine="720"/>
              <w:jc w:val="center"/>
              <w:rPr>
                <w:rFonts w:asciiTheme="minorHAnsi" w:hAnsiTheme="minorHAnsi"/>
                <w:b/>
                <w:sz w:val="22"/>
                <w:lang w:val="en-US"/>
              </w:rPr>
            </w:pPr>
            <w:r w:rsidRPr="00337C98">
              <w:rPr>
                <w:rFonts w:asciiTheme="minorHAnsi" w:hAnsiTheme="minorHAnsi"/>
                <w:b/>
                <w:sz w:val="22"/>
                <w:lang w:val="en-US"/>
              </w:rPr>
              <w:t>(MU)</w:t>
            </w:r>
          </w:p>
        </w:tc>
        <w:tc>
          <w:tcPr>
            <w:tcW w:w="658" w:type="pct"/>
            <w:shd w:val="clear" w:color="000000" w:fill="DBE5F1"/>
            <w:hideMark/>
          </w:tcPr>
          <w:p w:rsidR="00603835" w:rsidRPr="00603835" w:rsidRDefault="00337C98">
            <w:pPr>
              <w:spacing w:before="0" w:line="240" w:lineRule="auto"/>
              <w:ind w:left="-720" w:right="29" w:firstLine="720"/>
              <w:jc w:val="center"/>
              <w:rPr>
                <w:rFonts w:asciiTheme="minorHAnsi" w:hAnsiTheme="minorHAnsi"/>
                <w:b/>
                <w:sz w:val="22"/>
                <w:lang w:val="en-US"/>
              </w:rPr>
            </w:pPr>
            <w:r w:rsidRPr="00337C98">
              <w:rPr>
                <w:rFonts w:asciiTheme="minorHAnsi" w:hAnsiTheme="minorHAnsi"/>
                <w:b/>
                <w:sz w:val="22"/>
                <w:lang w:val="en-US"/>
              </w:rPr>
              <w:t>(Rs/kWh)</w:t>
            </w:r>
          </w:p>
        </w:tc>
        <w:tc>
          <w:tcPr>
            <w:tcW w:w="710" w:type="pct"/>
            <w:shd w:val="clear" w:color="000000" w:fill="DBE5F1"/>
            <w:hideMark/>
          </w:tcPr>
          <w:p w:rsidR="00603835" w:rsidRPr="00603835" w:rsidRDefault="00337C98">
            <w:pPr>
              <w:spacing w:before="0" w:line="240" w:lineRule="auto"/>
              <w:ind w:left="-720" w:right="29" w:firstLine="720"/>
              <w:jc w:val="center"/>
              <w:rPr>
                <w:rFonts w:asciiTheme="minorHAnsi" w:hAnsiTheme="minorHAnsi"/>
                <w:b/>
                <w:sz w:val="22"/>
                <w:lang w:val="en-US"/>
              </w:rPr>
            </w:pPr>
            <w:r w:rsidRPr="00337C98">
              <w:rPr>
                <w:rFonts w:asciiTheme="minorHAnsi" w:hAnsiTheme="minorHAnsi"/>
                <w:b/>
                <w:sz w:val="22"/>
                <w:lang w:val="en-US"/>
              </w:rPr>
              <w:t>(Rs/kWh)</w:t>
            </w:r>
          </w:p>
        </w:tc>
        <w:tc>
          <w:tcPr>
            <w:tcW w:w="525" w:type="pct"/>
            <w:shd w:val="clear" w:color="000000" w:fill="DBE5F1"/>
            <w:hideMark/>
          </w:tcPr>
          <w:p w:rsidR="00603835" w:rsidRPr="00603835" w:rsidRDefault="00337C98">
            <w:pPr>
              <w:spacing w:before="0" w:line="240" w:lineRule="auto"/>
              <w:ind w:left="-720" w:right="29" w:firstLine="720"/>
              <w:jc w:val="center"/>
              <w:rPr>
                <w:rFonts w:asciiTheme="minorHAnsi" w:hAnsiTheme="minorHAnsi"/>
                <w:b/>
                <w:sz w:val="22"/>
                <w:lang w:val="en-US"/>
              </w:rPr>
            </w:pPr>
            <w:r w:rsidRPr="00337C98">
              <w:rPr>
                <w:rFonts w:asciiTheme="minorHAnsi" w:hAnsiTheme="minorHAnsi"/>
                <w:b/>
                <w:sz w:val="22"/>
                <w:lang w:val="en-US"/>
              </w:rPr>
              <w:t>(Rs/ kWh)</w:t>
            </w:r>
          </w:p>
        </w:tc>
        <w:tc>
          <w:tcPr>
            <w:tcW w:w="817" w:type="pct"/>
            <w:shd w:val="clear" w:color="000000" w:fill="DBE5F1"/>
            <w:hideMark/>
          </w:tcPr>
          <w:p w:rsidR="00603835" w:rsidRPr="00603835" w:rsidRDefault="00337C98">
            <w:pPr>
              <w:spacing w:before="0" w:line="240" w:lineRule="auto"/>
              <w:ind w:left="-720" w:right="29" w:firstLine="720"/>
              <w:jc w:val="center"/>
              <w:rPr>
                <w:rFonts w:asciiTheme="minorHAnsi" w:hAnsiTheme="minorHAnsi"/>
                <w:b/>
                <w:sz w:val="22"/>
                <w:lang w:val="en-US"/>
              </w:rPr>
            </w:pPr>
            <w:r w:rsidRPr="00337C98">
              <w:rPr>
                <w:rFonts w:asciiTheme="minorHAnsi" w:hAnsiTheme="minorHAnsi"/>
                <w:b/>
                <w:sz w:val="22"/>
                <w:lang w:val="en-US"/>
              </w:rPr>
              <w:t>(Rs Crore)</w:t>
            </w:r>
          </w:p>
        </w:tc>
      </w:tr>
      <w:tr w:rsidR="00D6621C" w:rsidRPr="00680AFE" w:rsidTr="00680AFE">
        <w:trPr>
          <w:trHeight w:val="600"/>
          <w:jc w:val="center"/>
        </w:trPr>
        <w:tc>
          <w:tcPr>
            <w:tcW w:w="1631" w:type="pct"/>
            <w:shd w:val="clear" w:color="000000" w:fill="FFFFFF"/>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LMV-1: (a) Consumer getting supply as per "Rural Schedule"</w:t>
            </w:r>
          </w:p>
        </w:tc>
        <w:tc>
          <w:tcPr>
            <w:tcW w:w="659"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1858.89</w:t>
            </w:r>
          </w:p>
        </w:tc>
        <w:tc>
          <w:tcPr>
            <w:tcW w:w="658"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6.89</w:t>
            </w:r>
          </w:p>
        </w:tc>
        <w:tc>
          <w:tcPr>
            <w:tcW w:w="710"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2.42</w:t>
            </w:r>
          </w:p>
        </w:tc>
        <w:tc>
          <w:tcPr>
            <w:tcW w:w="525"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4.48</w:t>
            </w:r>
          </w:p>
        </w:tc>
        <w:tc>
          <w:tcPr>
            <w:tcW w:w="817"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832.07</w:t>
            </w:r>
          </w:p>
        </w:tc>
      </w:tr>
      <w:tr w:rsidR="00D6621C" w:rsidRPr="00680AFE" w:rsidTr="00680AFE">
        <w:trPr>
          <w:trHeight w:val="300"/>
          <w:jc w:val="center"/>
        </w:trPr>
        <w:tc>
          <w:tcPr>
            <w:tcW w:w="1631" w:type="pct"/>
            <w:shd w:val="clear" w:color="000000" w:fill="FFFFFF"/>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LMV-5: PTW</w:t>
            </w:r>
          </w:p>
        </w:tc>
        <w:tc>
          <w:tcPr>
            <w:tcW w:w="659"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2313.67</w:t>
            </w:r>
          </w:p>
        </w:tc>
        <w:tc>
          <w:tcPr>
            <w:tcW w:w="658"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6.89</w:t>
            </w:r>
          </w:p>
        </w:tc>
        <w:tc>
          <w:tcPr>
            <w:tcW w:w="710"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1.24</w:t>
            </w:r>
          </w:p>
        </w:tc>
        <w:tc>
          <w:tcPr>
            <w:tcW w:w="525"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5.65</w:t>
            </w:r>
          </w:p>
        </w:tc>
        <w:tc>
          <w:tcPr>
            <w:tcW w:w="817"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1306.84</w:t>
            </w:r>
          </w:p>
        </w:tc>
      </w:tr>
      <w:tr w:rsidR="00D6621C" w:rsidRPr="00680AFE" w:rsidTr="00680AFE">
        <w:trPr>
          <w:trHeight w:val="300"/>
          <w:jc w:val="center"/>
        </w:trPr>
        <w:tc>
          <w:tcPr>
            <w:tcW w:w="1631" w:type="pct"/>
            <w:shd w:val="clear" w:color="000000" w:fill="FFFFFF"/>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Total Loss</w:t>
            </w:r>
          </w:p>
        </w:tc>
        <w:tc>
          <w:tcPr>
            <w:tcW w:w="659"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4,172.56</w:t>
            </w:r>
          </w:p>
        </w:tc>
        <w:tc>
          <w:tcPr>
            <w:tcW w:w="658"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710"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525"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817"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2,138.91</w:t>
            </w:r>
          </w:p>
        </w:tc>
      </w:tr>
      <w:tr w:rsidR="00D6621C" w:rsidRPr="00680AFE" w:rsidTr="00680AFE">
        <w:trPr>
          <w:trHeight w:val="300"/>
          <w:jc w:val="center"/>
        </w:trPr>
        <w:tc>
          <w:tcPr>
            <w:tcW w:w="1631" w:type="pct"/>
            <w:shd w:val="clear" w:color="000000" w:fill="FFFFFF"/>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Subsidy Available</w:t>
            </w:r>
          </w:p>
        </w:tc>
        <w:tc>
          <w:tcPr>
            <w:tcW w:w="659"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658"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710"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525"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817" w:type="pct"/>
            <w:shd w:val="clear" w:color="auto" w:fill="auto"/>
            <w:noWrap/>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917.88</w:t>
            </w:r>
          </w:p>
        </w:tc>
      </w:tr>
      <w:tr w:rsidR="00D6621C" w:rsidRPr="00680AFE" w:rsidTr="00680AFE">
        <w:trPr>
          <w:trHeight w:val="600"/>
          <w:jc w:val="center"/>
        </w:trPr>
        <w:tc>
          <w:tcPr>
            <w:tcW w:w="1631" w:type="pct"/>
            <w:shd w:val="clear" w:color="000000" w:fill="FFFFFF"/>
            <w:vAlign w:val="bottom"/>
            <w:hideMark/>
          </w:tcPr>
          <w:p w:rsidR="00337C98" w:rsidRPr="00337C98" w:rsidRDefault="00337C98" w:rsidP="00337C98">
            <w:pPr>
              <w:spacing w:before="0" w:line="240" w:lineRule="auto"/>
              <w:rPr>
                <w:rFonts w:asciiTheme="minorHAnsi" w:hAnsiTheme="minorHAnsi"/>
                <w:sz w:val="22"/>
                <w:lang w:val="en-US"/>
              </w:rPr>
            </w:pPr>
            <w:r w:rsidRPr="00337C98">
              <w:rPr>
                <w:rFonts w:asciiTheme="minorHAnsi" w:hAnsiTheme="minorHAnsi"/>
                <w:sz w:val="22"/>
                <w:lang w:val="en-US"/>
              </w:rPr>
              <w:t>Additional Subsidy Requirement</w:t>
            </w:r>
          </w:p>
        </w:tc>
        <w:tc>
          <w:tcPr>
            <w:tcW w:w="659"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658"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710"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525"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 </w:t>
            </w:r>
          </w:p>
        </w:tc>
        <w:tc>
          <w:tcPr>
            <w:tcW w:w="817" w:type="pct"/>
            <w:shd w:val="clear" w:color="000000" w:fill="FFFFFF"/>
            <w:vAlign w:val="center"/>
            <w:hideMark/>
          </w:tcPr>
          <w:p w:rsidR="00337C98" w:rsidRPr="00337C98" w:rsidRDefault="00337C98" w:rsidP="00337C98">
            <w:pPr>
              <w:spacing w:before="0" w:line="240" w:lineRule="auto"/>
              <w:jc w:val="right"/>
              <w:rPr>
                <w:rFonts w:asciiTheme="minorHAnsi" w:hAnsiTheme="minorHAnsi"/>
                <w:sz w:val="22"/>
                <w:lang w:val="en-US"/>
              </w:rPr>
            </w:pPr>
            <w:r w:rsidRPr="00337C98">
              <w:rPr>
                <w:rFonts w:asciiTheme="minorHAnsi" w:hAnsiTheme="minorHAnsi"/>
                <w:sz w:val="22"/>
              </w:rPr>
              <w:t>1221.03</w:t>
            </w:r>
          </w:p>
        </w:tc>
      </w:tr>
    </w:tbl>
    <w:p w:rsidR="00337C98" w:rsidRDefault="00337C98" w:rsidP="00337C98">
      <w:pPr>
        <w:pStyle w:val="Heading2"/>
        <w:numPr>
          <w:ilvl w:val="0"/>
          <w:numId w:val="0"/>
        </w:numPr>
        <w:spacing w:before="0"/>
        <w:ind w:left="780"/>
        <w:rPr>
          <w:rFonts w:cs="Calibri"/>
          <w:szCs w:val="26"/>
          <w:lang w:val="en-US"/>
        </w:rPr>
      </w:pPr>
      <w:bookmarkStart w:id="320" w:name="_Toc419553115"/>
      <w:bookmarkStart w:id="321" w:name="_Toc419623695"/>
      <w:bookmarkStart w:id="322" w:name="_Toc419641620"/>
      <w:bookmarkStart w:id="323" w:name="_Toc420005531"/>
      <w:bookmarkStart w:id="324" w:name="_Toc420016241"/>
      <w:bookmarkStart w:id="325" w:name="_Toc420016285"/>
      <w:bookmarkStart w:id="326" w:name="_Toc420196319"/>
      <w:bookmarkStart w:id="327" w:name="_Toc420196401"/>
      <w:bookmarkStart w:id="328" w:name="_Toc420197570"/>
      <w:bookmarkEnd w:id="320"/>
      <w:bookmarkEnd w:id="321"/>
      <w:bookmarkEnd w:id="322"/>
      <w:bookmarkEnd w:id="323"/>
      <w:bookmarkEnd w:id="324"/>
      <w:bookmarkEnd w:id="325"/>
      <w:bookmarkEnd w:id="326"/>
      <w:bookmarkEnd w:id="327"/>
      <w:bookmarkEnd w:id="328"/>
    </w:p>
    <w:p w:rsidR="002127C6" w:rsidRPr="00947CC1" w:rsidRDefault="00E34329">
      <w:pPr>
        <w:pStyle w:val="Heading2"/>
        <w:rPr>
          <w:rFonts w:ascii="Calibri" w:hAnsi="Calibri" w:cs="Calibri"/>
          <w:szCs w:val="26"/>
          <w:lang w:val="en-US"/>
        </w:rPr>
      </w:pPr>
      <w:bookmarkStart w:id="329" w:name="_Toc457603933"/>
      <w:r w:rsidRPr="00E34329">
        <w:rPr>
          <w:rFonts w:ascii="Calibri" w:hAnsi="Calibri" w:cs="Calibri"/>
          <w:szCs w:val="26"/>
          <w:lang w:val="en-US"/>
        </w:rPr>
        <w:t>REVENUE SIDE TRUING UP</w:t>
      </w:r>
      <w:bookmarkEnd w:id="329"/>
    </w:p>
    <w:p w:rsidR="002F128D" w:rsidRPr="00947CC1" w:rsidRDefault="002F128D" w:rsidP="002F128D">
      <w:pPr>
        <w:spacing w:before="0" w:line="240" w:lineRule="auto"/>
        <w:jc w:val="left"/>
      </w:pPr>
    </w:p>
    <w:p w:rsidR="002F128D" w:rsidRPr="00947CC1" w:rsidRDefault="00E34329" w:rsidP="002F128D">
      <w:pPr>
        <w:spacing w:before="0" w:line="240" w:lineRule="auto"/>
        <w:jc w:val="left"/>
        <w:rPr>
          <w:b/>
        </w:rPr>
      </w:pPr>
      <w:r w:rsidRPr="00E34329">
        <w:tab/>
      </w:r>
      <w:r w:rsidRPr="00E34329">
        <w:rPr>
          <w:b/>
        </w:rPr>
        <w:t>NON-TARIFF INCOME</w:t>
      </w:r>
    </w:p>
    <w:p w:rsidR="002F128D" w:rsidRPr="00947CC1" w:rsidRDefault="00E34329" w:rsidP="002F128D">
      <w:pPr>
        <w:pStyle w:val="Heading3"/>
        <w:tabs>
          <w:tab w:val="clear" w:pos="720"/>
        </w:tabs>
        <w:spacing w:after="240"/>
        <w:ind w:left="993" w:hanging="993"/>
      </w:pPr>
      <w:r w:rsidRPr="00E34329">
        <w:t>The Petitioner has submitted that the actual non-tariff income during FY 2013-14 was Rs. 18.54 Crore as compared to Rs. 12.77 Crore approved by the Commission in the Tariff Order.</w:t>
      </w:r>
    </w:p>
    <w:p w:rsidR="002F128D" w:rsidRPr="00947CC1" w:rsidRDefault="00E34329" w:rsidP="002F128D">
      <w:pPr>
        <w:pStyle w:val="Heading3"/>
        <w:tabs>
          <w:tab w:val="clear" w:pos="720"/>
        </w:tabs>
        <w:spacing w:after="240"/>
        <w:ind w:left="993" w:hanging="993"/>
      </w:pPr>
      <w:r w:rsidRPr="00E34329">
        <w:t>The Commission has accepted the submission of the Petitioner under this head and has accordingly approved Non-Tariff Income of Rs. 18.54 Crore for FY 2013-14.</w:t>
      </w:r>
    </w:p>
    <w:p w:rsidR="003147B8" w:rsidRPr="00947CC1" w:rsidRDefault="00E34329" w:rsidP="00C60AD1">
      <w:pPr>
        <w:pStyle w:val="Heading2"/>
        <w:rPr>
          <w:rFonts w:ascii="Calibri" w:hAnsi="Calibri" w:cs="Calibri"/>
          <w:szCs w:val="26"/>
          <w:lang w:val="en-US"/>
        </w:rPr>
      </w:pPr>
      <w:bookmarkStart w:id="330" w:name="_Toc457603934"/>
      <w:r w:rsidRPr="00E34329">
        <w:rPr>
          <w:rFonts w:ascii="Calibri" w:hAnsi="Calibri" w:cs="Calibri"/>
          <w:szCs w:val="26"/>
          <w:lang w:val="en-US"/>
        </w:rPr>
        <w:t>REVENUE FROM SALE OF POWER</w:t>
      </w:r>
      <w:bookmarkEnd w:id="330"/>
    </w:p>
    <w:p w:rsidR="003147B8" w:rsidRPr="00947CC1" w:rsidRDefault="00E34329" w:rsidP="00C60AD1">
      <w:pPr>
        <w:pStyle w:val="Heading3"/>
        <w:tabs>
          <w:tab w:val="clear" w:pos="720"/>
        </w:tabs>
        <w:spacing w:after="240"/>
        <w:ind w:left="993" w:hanging="993"/>
      </w:pPr>
      <w:r w:rsidRPr="00E34329">
        <w:t>The Petitioner has submitted that the actual revenue from sale of power during FY 2013-14 is Rs. 4,943.64 Crore (out of which, Rs. 99.91 Crore is towards delayed payment surcharge) towards electricity sales of 13,148.05 MU against Rs. 6,189.82 Crore approved by the Commission in its Tariff Order.</w:t>
      </w:r>
    </w:p>
    <w:p w:rsidR="003147B8" w:rsidRPr="00947CC1" w:rsidRDefault="00E34329" w:rsidP="00C60AD1">
      <w:pPr>
        <w:pStyle w:val="Heading3"/>
        <w:tabs>
          <w:tab w:val="clear" w:pos="720"/>
        </w:tabs>
        <w:spacing w:after="240"/>
        <w:ind w:left="993" w:hanging="993"/>
      </w:pPr>
      <w:r w:rsidRPr="00E34329">
        <w:t xml:space="preserve">The Commission, in its deficiency note, asked the Petitioner to confirm that Delayed Payment Surcharge has not been double accounted in the total revenue and to submit the detailed break-up of revenue from sale of power. In its reply, the Licensee has submitted that “Delayed Payment surcharge” has not been double accounted in the total revenue and it has been added up to </w:t>
      </w:r>
      <w:r w:rsidRPr="00E34329">
        <w:lastRenderedPageBreak/>
        <w:t>the Revenue from Sales. Further, the complete breakup of the total revenue and delayed payment surcharge as per the audited accounts is also submitted by the Petitioner.</w:t>
      </w:r>
    </w:p>
    <w:p w:rsidR="003147B8" w:rsidRPr="00E0115C" w:rsidRDefault="00E34329" w:rsidP="00C60AD1">
      <w:pPr>
        <w:pStyle w:val="Heading3"/>
        <w:tabs>
          <w:tab w:val="clear" w:pos="720"/>
        </w:tabs>
        <w:spacing w:after="240"/>
        <w:ind w:left="993" w:hanging="993"/>
        <w:rPr>
          <w:rFonts w:asciiTheme="minorHAnsi" w:hAnsiTheme="minorHAnsi"/>
        </w:rPr>
      </w:pPr>
      <w:r w:rsidRPr="00E34329">
        <w:t>The Commission has accepted the revenue from sale of power as submitted by the Petitioner and has accordingly approved the actual revenue of Rs. 4,943.64 Crore including delayed payment surcharge as per the audited accounts for FY 2013-14 towards sales of 13,148.05 MU. The summary of revenue approved in the Tariff Order, as claimed by the Petitioner and as approved by the Commission in this Order for Truing up of FY 2013-14 is shown in the Table below:</w:t>
      </w:r>
    </w:p>
    <w:p w:rsidR="003147B8" w:rsidRPr="00E0115C" w:rsidRDefault="00E34329" w:rsidP="00C60AD1">
      <w:pPr>
        <w:spacing w:before="0"/>
        <w:jc w:val="center"/>
        <w:rPr>
          <w:rFonts w:asciiTheme="minorHAnsi" w:hAnsiTheme="minorHAnsi" w:cs="Calibri"/>
          <w:b/>
          <w:sz w:val="22"/>
          <w:szCs w:val="22"/>
          <w:lang w:val="en-US"/>
        </w:rPr>
      </w:pPr>
      <w:bookmarkStart w:id="331" w:name="_Toc394490653"/>
      <w:bookmarkStart w:id="332" w:name="_Toc457604015"/>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23</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REVENUE FOR FY 2013-14 (Rs. Crore)</w:t>
      </w:r>
      <w:bookmarkEnd w:id="331"/>
      <w:bookmarkEnd w:id="332"/>
    </w:p>
    <w:tbl>
      <w:tblPr>
        <w:tblW w:w="8782" w:type="dxa"/>
        <w:tblInd w:w="103" w:type="dxa"/>
        <w:tblLook w:val="04A0"/>
      </w:tblPr>
      <w:tblGrid>
        <w:gridCol w:w="3407"/>
        <w:gridCol w:w="1007"/>
        <w:gridCol w:w="1456"/>
        <w:gridCol w:w="1456"/>
        <w:gridCol w:w="1456"/>
      </w:tblGrid>
      <w:tr w:rsidR="003B3B47" w:rsidRPr="00E0115C" w:rsidTr="005607D3">
        <w:trPr>
          <w:trHeight w:val="900"/>
          <w:tblHeader/>
        </w:trPr>
        <w:tc>
          <w:tcPr>
            <w:tcW w:w="3407" w:type="dxa"/>
            <w:tcBorders>
              <w:top w:val="dotted" w:sz="4" w:space="0" w:color="auto"/>
              <w:left w:val="dotted" w:sz="4" w:space="0" w:color="auto"/>
              <w:bottom w:val="dotted" w:sz="4" w:space="0" w:color="auto"/>
              <w:right w:val="dotted" w:sz="4" w:space="0" w:color="auto"/>
            </w:tcBorders>
            <w:shd w:val="clear" w:color="000000" w:fill="DBE5F1"/>
            <w:noWrap/>
            <w:hideMark/>
          </w:tcPr>
          <w:p w:rsidR="00E8205D"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Particulars</w:t>
            </w:r>
          </w:p>
        </w:tc>
        <w:tc>
          <w:tcPr>
            <w:tcW w:w="1007" w:type="dxa"/>
            <w:tcBorders>
              <w:top w:val="dotted" w:sz="4" w:space="0" w:color="auto"/>
              <w:left w:val="nil"/>
              <w:bottom w:val="dotted" w:sz="4" w:space="0" w:color="auto"/>
              <w:right w:val="dotted" w:sz="4" w:space="0" w:color="auto"/>
            </w:tcBorders>
            <w:shd w:val="clear" w:color="000000" w:fill="DBE5F1"/>
            <w:hideMark/>
          </w:tcPr>
          <w:p w:rsidR="003B3B47"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 xml:space="preserve">Tariff </w:t>
            </w:r>
          </w:p>
          <w:p w:rsidR="00E8205D"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Order</w:t>
            </w:r>
          </w:p>
        </w:tc>
        <w:tc>
          <w:tcPr>
            <w:tcW w:w="1456" w:type="dxa"/>
            <w:tcBorders>
              <w:top w:val="dotted" w:sz="4" w:space="0" w:color="auto"/>
              <w:left w:val="nil"/>
              <w:bottom w:val="dotted" w:sz="4" w:space="0" w:color="auto"/>
              <w:right w:val="dotted" w:sz="4" w:space="0" w:color="auto"/>
            </w:tcBorders>
            <w:shd w:val="clear" w:color="000000" w:fill="DBE5F1"/>
            <w:hideMark/>
          </w:tcPr>
          <w:p w:rsidR="00E8205D"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Actual as per audited accounts</w:t>
            </w:r>
          </w:p>
        </w:tc>
        <w:tc>
          <w:tcPr>
            <w:tcW w:w="1456" w:type="dxa"/>
            <w:tcBorders>
              <w:top w:val="dotted" w:sz="4" w:space="0" w:color="auto"/>
              <w:left w:val="nil"/>
              <w:bottom w:val="dotted" w:sz="4" w:space="0" w:color="auto"/>
              <w:right w:val="dotted" w:sz="4" w:space="0" w:color="auto"/>
            </w:tcBorders>
            <w:shd w:val="clear" w:color="000000" w:fill="DBE5F1"/>
            <w:hideMark/>
          </w:tcPr>
          <w:p w:rsidR="00E8205D"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True-up Petition</w:t>
            </w:r>
          </w:p>
        </w:tc>
        <w:tc>
          <w:tcPr>
            <w:tcW w:w="1456" w:type="dxa"/>
            <w:tcBorders>
              <w:top w:val="dotted" w:sz="4" w:space="0" w:color="auto"/>
              <w:left w:val="nil"/>
              <w:bottom w:val="dotted" w:sz="4" w:space="0" w:color="auto"/>
              <w:right w:val="dotted" w:sz="4" w:space="0" w:color="auto"/>
            </w:tcBorders>
            <w:shd w:val="clear" w:color="000000" w:fill="DBE5F1"/>
            <w:hideMark/>
          </w:tcPr>
          <w:p w:rsidR="00E8205D" w:rsidRPr="00E0115C" w:rsidRDefault="00E34329" w:rsidP="00C60AD1">
            <w:pPr>
              <w:spacing w:before="0" w:line="240" w:lineRule="auto"/>
              <w:jc w:val="center"/>
              <w:rPr>
                <w:rFonts w:asciiTheme="minorHAnsi" w:hAnsiTheme="minorHAnsi"/>
                <w:b/>
                <w:bCs/>
                <w:color w:val="000000"/>
                <w:sz w:val="22"/>
                <w:szCs w:val="22"/>
                <w:lang w:val="en-IN" w:eastAsia="en-IN"/>
              </w:rPr>
            </w:pPr>
            <w:r w:rsidRPr="00E34329">
              <w:rPr>
                <w:rFonts w:asciiTheme="minorHAnsi" w:hAnsiTheme="minorHAnsi"/>
                <w:b/>
                <w:sz w:val="22"/>
                <w:szCs w:val="22"/>
                <w:lang w:val="en-IN" w:eastAsia="en-IN"/>
              </w:rPr>
              <w:t xml:space="preserve">Approved upon Truing </w:t>
            </w:r>
            <w:r w:rsidR="00C2017B">
              <w:rPr>
                <w:rFonts w:asciiTheme="minorHAnsi" w:hAnsiTheme="minorHAnsi"/>
                <w:b/>
                <w:sz w:val="22"/>
                <w:szCs w:val="22"/>
                <w:lang w:val="en-IN" w:eastAsia="en-IN"/>
              </w:rPr>
              <w:t>u</w:t>
            </w:r>
            <w:r w:rsidRPr="00E34329">
              <w:rPr>
                <w:rFonts w:asciiTheme="minorHAnsi" w:hAnsiTheme="minorHAnsi"/>
                <w:b/>
                <w:sz w:val="22"/>
                <w:szCs w:val="22"/>
                <w:lang w:val="en-IN" w:eastAsia="en-IN"/>
              </w:rPr>
              <w:t>p</w:t>
            </w:r>
          </w:p>
        </w:tc>
      </w:tr>
      <w:tr w:rsidR="003B3B47" w:rsidRPr="00E0115C" w:rsidTr="005607D3">
        <w:trPr>
          <w:trHeight w:val="600"/>
        </w:trPr>
        <w:tc>
          <w:tcPr>
            <w:tcW w:w="3407" w:type="dxa"/>
            <w:tcBorders>
              <w:top w:val="nil"/>
              <w:left w:val="dotted" w:sz="4" w:space="0" w:color="auto"/>
              <w:bottom w:val="dotted" w:sz="4" w:space="0" w:color="auto"/>
              <w:right w:val="dotted" w:sz="4" w:space="0" w:color="auto"/>
            </w:tcBorders>
            <w:shd w:val="clear" w:color="auto" w:fill="auto"/>
            <w:hideMark/>
          </w:tcPr>
          <w:p w:rsidR="00556578" w:rsidRPr="00E0115C" w:rsidRDefault="00E34329" w:rsidP="00C60AD1">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Revenue from Tariff including Delayed Payment Surcharge</w:t>
            </w:r>
          </w:p>
        </w:tc>
        <w:tc>
          <w:tcPr>
            <w:tcW w:w="1007"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6189.82</w:t>
            </w:r>
          </w:p>
        </w:tc>
        <w:tc>
          <w:tcPr>
            <w:tcW w:w="1456"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4943.64</w:t>
            </w:r>
          </w:p>
        </w:tc>
        <w:tc>
          <w:tcPr>
            <w:tcW w:w="1456"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4943.64</w:t>
            </w:r>
          </w:p>
        </w:tc>
        <w:tc>
          <w:tcPr>
            <w:tcW w:w="1456"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4943.64</w:t>
            </w:r>
          </w:p>
        </w:tc>
      </w:tr>
      <w:tr w:rsidR="003B3B47" w:rsidRPr="00E0115C" w:rsidTr="005607D3">
        <w:trPr>
          <w:trHeight w:val="300"/>
        </w:trPr>
        <w:tc>
          <w:tcPr>
            <w:tcW w:w="3407" w:type="dxa"/>
            <w:tcBorders>
              <w:top w:val="nil"/>
              <w:left w:val="dotted" w:sz="4" w:space="0" w:color="auto"/>
              <w:bottom w:val="dotted" w:sz="4" w:space="0" w:color="auto"/>
              <w:right w:val="dotted" w:sz="4" w:space="0" w:color="auto"/>
            </w:tcBorders>
            <w:shd w:val="clear" w:color="auto" w:fill="auto"/>
            <w:noWrap/>
            <w:hideMark/>
          </w:tcPr>
          <w:p w:rsidR="00556578" w:rsidRPr="00E0115C" w:rsidRDefault="00E34329" w:rsidP="00C60AD1">
            <w:pPr>
              <w:spacing w:before="0" w:line="240" w:lineRule="auto"/>
              <w:jc w:val="left"/>
              <w:rPr>
                <w:rFonts w:asciiTheme="minorHAnsi" w:hAnsiTheme="minorHAnsi"/>
                <w:color w:val="000000"/>
                <w:sz w:val="22"/>
                <w:szCs w:val="22"/>
                <w:lang w:val="en-IN" w:eastAsia="en-IN"/>
              </w:rPr>
            </w:pPr>
            <w:r w:rsidRPr="00E34329">
              <w:rPr>
                <w:rFonts w:asciiTheme="minorHAnsi" w:hAnsiTheme="minorHAnsi"/>
                <w:color w:val="000000"/>
                <w:sz w:val="22"/>
                <w:szCs w:val="22"/>
                <w:lang w:val="en-IN" w:eastAsia="en-IN"/>
              </w:rPr>
              <w:t>Non tariff items</w:t>
            </w:r>
          </w:p>
        </w:tc>
        <w:tc>
          <w:tcPr>
            <w:tcW w:w="1007"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12.77</w:t>
            </w:r>
          </w:p>
        </w:tc>
        <w:tc>
          <w:tcPr>
            <w:tcW w:w="1456"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18.54</w:t>
            </w:r>
          </w:p>
        </w:tc>
        <w:tc>
          <w:tcPr>
            <w:tcW w:w="1456"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18.54</w:t>
            </w:r>
          </w:p>
        </w:tc>
        <w:tc>
          <w:tcPr>
            <w:tcW w:w="1456"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color w:val="000000"/>
                <w:sz w:val="22"/>
                <w:szCs w:val="22"/>
                <w:lang w:val="en-IN" w:eastAsia="en-IN"/>
              </w:rPr>
            </w:pPr>
            <w:r w:rsidRPr="00E34329">
              <w:rPr>
                <w:rFonts w:asciiTheme="minorHAnsi" w:hAnsiTheme="minorHAnsi"/>
                <w:color w:val="000000"/>
                <w:sz w:val="22"/>
                <w:szCs w:val="22"/>
              </w:rPr>
              <w:t>18.54</w:t>
            </w:r>
          </w:p>
        </w:tc>
      </w:tr>
      <w:tr w:rsidR="003B3B47" w:rsidRPr="00E0115C" w:rsidTr="005607D3">
        <w:trPr>
          <w:trHeight w:val="300"/>
        </w:trPr>
        <w:tc>
          <w:tcPr>
            <w:tcW w:w="3407" w:type="dxa"/>
            <w:tcBorders>
              <w:top w:val="nil"/>
              <w:left w:val="dotted" w:sz="4" w:space="0" w:color="auto"/>
              <w:bottom w:val="dotted" w:sz="4" w:space="0" w:color="auto"/>
              <w:right w:val="dotted" w:sz="4" w:space="0" w:color="auto"/>
            </w:tcBorders>
            <w:shd w:val="clear" w:color="auto" w:fill="auto"/>
            <w:noWrap/>
            <w:hideMark/>
          </w:tcPr>
          <w:p w:rsidR="00556578" w:rsidRPr="00E0115C" w:rsidRDefault="00E34329" w:rsidP="00C60AD1">
            <w:pPr>
              <w:spacing w:before="0" w:line="240" w:lineRule="auto"/>
              <w:jc w:val="left"/>
              <w:rPr>
                <w:rFonts w:asciiTheme="minorHAnsi" w:hAnsiTheme="minorHAnsi"/>
                <w:b/>
                <w:bCs/>
                <w:color w:val="000000"/>
                <w:sz w:val="22"/>
                <w:szCs w:val="22"/>
                <w:lang w:val="en-IN" w:eastAsia="en-IN"/>
              </w:rPr>
            </w:pPr>
            <w:r w:rsidRPr="00E34329">
              <w:rPr>
                <w:rFonts w:asciiTheme="minorHAnsi" w:hAnsiTheme="minorHAnsi"/>
                <w:b/>
                <w:bCs/>
                <w:color w:val="000000"/>
                <w:sz w:val="22"/>
                <w:szCs w:val="22"/>
                <w:lang w:val="en-IN" w:eastAsia="en-IN"/>
              </w:rPr>
              <w:t>Total Revenue</w:t>
            </w:r>
          </w:p>
        </w:tc>
        <w:tc>
          <w:tcPr>
            <w:tcW w:w="1007"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6202.59</w:t>
            </w:r>
          </w:p>
        </w:tc>
        <w:tc>
          <w:tcPr>
            <w:tcW w:w="1456"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4962.18</w:t>
            </w:r>
          </w:p>
        </w:tc>
        <w:tc>
          <w:tcPr>
            <w:tcW w:w="1456"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4962.18</w:t>
            </w:r>
          </w:p>
        </w:tc>
        <w:tc>
          <w:tcPr>
            <w:tcW w:w="1456" w:type="dxa"/>
            <w:tcBorders>
              <w:top w:val="nil"/>
              <w:left w:val="nil"/>
              <w:bottom w:val="dotted" w:sz="4" w:space="0" w:color="auto"/>
              <w:right w:val="dotted" w:sz="4" w:space="0" w:color="auto"/>
            </w:tcBorders>
            <w:shd w:val="clear" w:color="auto" w:fill="auto"/>
            <w:noWrap/>
            <w:vAlign w:val="center"/>
            <w:hideMark/>
          </w:tcPr>
          <w:p w:rsidR="00CF1C10" w:rsidRPr="00E0115C" w:rsidRDefault="00E34329">
            <w:pPr>
              <w:spacing w:before="0" w:line="240" w:lineRule="auto"/>
              <w:jc w:val="right"/>
              <w:rPr>
                <w:rFonts w:asciiTheme="minorHAnsi" w:hAnsiTheme="minorHAnsi"/>
                <w:b/>
                <w:bCs/>
                <w:color w:val="000000"/>
                <w:sz w:val="22"/>
                <w:szCs w:val="22"/>
                <w:lang w:val="en-IN" w:eastAsia="en-IN"/>
              </w:rPr>
            </w:pPr>
            <w:r w:rsidRPr="00E34329">
              <w:rPr>
                <w:rFonts w:asciiTheme="minorHAnsi" w:hAnsiTheme="minorHAnsi"/>
                <w:b/>
                <w:bCs/>
                <w:color w:val="000000"/>
                <w:sz w:val="22"/>
                <w:szCs w:val="22"/>
              </w:rPr>
              <w:t>4962.18</w:t>
            </w:r>
          </w:p>
        </w:tc>
      </w:tr>
    </w:tbl>
    <w:p w:rsidR="006061F7" w:rsidRPr="00E0115C" w:rsidRDefault="006061F7" w:rsidP="00C60AD1">
      <w:pPr>
        <w:spacing w:before="0" w:line="240" w:lineRule="auto"/>
        <w:jc w:val="left"/>
        <w:rPr>
          <w:rFonts w:asciiTheme="minorHAnsi" w:hAnsiTheme="minorHAnsi" w:cs="Calibri"/>
          <w:b/>
          <w:bCs/>
          <w:color w:val="000000"/>
          <w:szCs w:val="26"/>
          <w:lang w:val="en-US"/>
        </w:rPr>
      </w:pPr>
    </w:p>
    <w:p w:rsidR="004339F0" w:rsidRPr="00E0115C" w:rsidRDefault="004339F0" w:rsidP="00C60AD1">
      <w:pPr>
        <w:spacing w:before="0" w:line="240" w:lineRule="auto"/>
        <w:jc w:val="left"/>
        <w:rPr>
          <w:rFonts w:asciiTheme="minorHAnsi" w:hAnsiTheme="minorHAnsi" w:cs="Calibri"/>
          <w:b/>
          <w:bCs/>
          <w:color w:val="000000"/>
          <w:szCs w:val="26"/>
          <w:lang w:val="en-US"/>
        </w:rPr>
      </w:pPr>
    </w:p>
    <w:p w:rsidR="00F70DA9" w:rsidRPr="00947CC1" w:rsidRDefault="00E34329" w:rsidP="00C60AD1">
      <w:pPr>
        <w:pStyle w:val="Heading2"/>
        <w:spacing w:before="0"/>
        <w:rPr>
          <w:rFonts w:ascii="Calibri" w:hAnsi="Calibri" w:cs="Calibri"/>
          <w:b w:val="0"/>
          <w:bCs w:val="0"/>
          <w:szCs w:val="26"/>
          <w:lang w:val="en-US"/>
        </w:rPr>
      </w:pPr>
      <w:bookmarkStart w:id="333" w:name="_Toc457603935"/>
      <w:r w:rsidRPr="00E34329">
        <w:rPr>
          <w:rFonts w:ascii="Calibri" w:hAnsi="Calibri" w:cs="Calibri"/>
          <w:szCs w:val="26"/>
          <w:lang w:val="en-US"/>
        </w:rPr>
        <w:t>ARR AND REVENUE GAP/ (SURPLUS) FOR FY 2013-14 AFTER TRUING UP</w:t>
      </w:r>
      <w:bookmarkEnd w:id="333"/>
    </w:p>
    <w:p w:rsidR="00F70DA9" w:rsidRPr="00947CC1" w:rsidRDefault="00E34329" w:rsidP="00C60AD1">
      <w:pPr>
        <w:pStyle w:val="Heading3"/>
        <w:tabs>
          <w:tab w:val="clear" w:pos="720"/>
        </w:tabs>
        <w:spacing w:after="240" w:line="240" w:lineRule="auto"/>
        <w:ind w:left="993" w:hanging="993"/>
      </w:pPr>
      <w:r w:rsidRPr="00E34329">
        <w:t>The Aggregate Revenue Requirement for FY 2013-14 after final truing up is summarized in the Table below:</w:t>
      </w:r>
    </w:p>
    <w:p w:rsidR="003147B8" w:rsidRPr="00E0115C" w:rsidRDefault="00E34329" w:rsidP="00C60AD1">
      <w:pPr>
        <w:spacing w:before="0"/>
        <w:jc w:val="center"/>
        <w:rPr>
          <w:rFonts w:asciiTheme="minorHAnsi" w:hAnsiTheme="minorHAnsi"/>
          <w:b/>
          <w:sz w:val="22"/>
          <w:szCs w:val="22"/>
          <w:lang w:val="en-US"/>
        </w:rPr>
      </w:pPr>
      <w:bookmarkStart w:id="334" w:name="_Toc394490654"/>
      <w:bookmarkStart w:id="335" w:name="_Toc457604016"/>
      <w:r w:rsidRPr="00E34329">
        <w:rPr>
          <w:rFonts w:asciiTheme="minorHAnsi" w:hAnsiTheme="minorHAnsi"/>
          <w:b/>
          <w:sz w:val="22"/>
          <w:szCs w:val="22"/>
          <w:lang w:val="en-US"/>
        </w:rPr>
        <w:t xml:space="preserve">Table </w:t>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STYLEREF 1 \s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4</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noBreakHyphen/>
      </w:r>
      <w:r w:rsidR="009741CA" w:rsidRPr="00E34329">
        <w:rPr>
          <w:rFonts w:asciiTheme="minorHAnsi" w:hAnsiTheme="minorHAnsi"/>
          <w:b/>
          <w:sz w:val="22"/>
          <w:szCs w:val="22"/>
          <w:lang w:val="en-US"/>
        </w:rPr>
        <w:fldChar w:fldCharType="begin"/>
      </w:r>
      <w:r w:rsidRPr="00E34329">
        <w:rPr>
          <w:rFonts w:asciiTheme="minorHAnsi" w:hAnsiTheme="minorHAnsi"/>
          <w:b/>
          <w:sz w:val="22"/>
          <w:szCs w:val="22"/>
          <w:lang w:val="en-US"/>
        </w:rPr>
        <w:instrText xml:space="preserve"> SEQ Table \* ARABIC \s 1 </w:instrText>
      </w:r>
      <w:r w:rsidR="009741CA" w:rsidRPr="00E34329">
        <w:rPr>
          <w:rFonts w:asciiTheme="minorHAnsi" w:hAnsiTheme="minorHAnsi"/>
          <w:b/>
          <w:sz w:val="22"/>
          <w:szCs w:val="22"/>
          <w:lang w:val="en-US"/>
        </w:rPr>
        <w:fldChar w:fldCharType="separate"/>
      </w:r>
      <w:r w:rsidR="00BA08F0">
        <w:rPr>
          <w:rFonts w:asciiTheme="minorHAnsi" w:hAnsiTheme="minorHAnsi"/>
          <w:b/>
          <w:noProof/>
          <w:sz w:val="22"/>
          <w:szCs w:val="22"/>
          <w:lang w:val="en-US"/>
        </w:rPr>
        <w:t>24</w:t>
      </w:r>
      <w:r w:rsidR="009741CA" w:rsidRPr="00E34329">
        <w:rPr>
          <w:rFonts w:asciiTheme="minorHAnsi" w:hAnsiTheme="minorHAnsi"/>
          <w:b/>
          <w:sz w:val="22"/>
          <w:szCs w:val="22"/>
          <w:lang w:val="en-US"/>
        </w:rPr>
        <w:fldChar w:fldCharType="end"/>
      </w:r>
      <w:r w:rsidRPr="00E34329">
        <w:rPr>
          <w:rFonts w:asciiTheme="minorHAnsi" w:hAnsiTheme="minorHAnsi"/>
          <w:b/>
          <w:sz w:val="22"/>
          <w:szCs w:val="22"/>
          <w:lang w:val="en-US"/>
        </w:rPr>
        <w:t xml:space="preserve">: ARR, REVENUE AND GAP </w:t>
      </w:r>
      <w:r w:rsidRPr="00E34329">
        <w:rPr>
          <w:rFonts w:asciiTheme="minorHAnsi" w:hAnsiTheme="minorHAnsi" w:cs="Calibri"/>
          <w:b/>
          <w:sz w:val="22"/>
          <w:szCs w:val="22"/>
          <w:lang w:val="en-US"/>
        </w:rPr>
        <w:t>SUMMARY</w:t>
      </w:r>
      <w:r w:rsidRPr="00E34329">
        <w:rPr>
          <w:rFonts w:asciiTheme="minorHAnsi" w:hAnsiTheme="minorHAnsi"/>
          <w:b/>
          <w:sz w:val="22"/>
          <w:szCs w:val="22"/>
          <w:lang w:val="en-US"/>
        </w:rPr>
        <w:t xml:space="preserve"> FOR FY 2013-14 (Rs. Crore)</w:t>
      </w:r>
      <w:bookmarkEnd w:id="334"/>
      <w:bookmarkEnd w:id="335"/>
    </w:p>
    <w:tbl>
      <w:tblPr>
        <w:tblW w:w="5000" w:type="pct"/>
        <w:tblLayout w:type="fixed"/>
        <w:tblLook w:val="04A0"/>
      </w:tblPr>
      <w:tblGrid>
        <w:gridCol w:w="4219"/>
        <w:gridCol w:w="1134"/>
        <w:gridCol w:w="1418"/>
        <w:gridCol w:w="993"/>
        <w:gridCol w:w="1121"/>
      </w:tblGrid>
      <w:tr w:rsidR="007F21AA" w:rsidRPr="00E0115C" w:rsidTr="0025730E">
        <w:trPr>
          <w:trHeight w:val="827"/>
          <w:tblHeader/>
        </w:trPr>
        <w:tc>
          <w:tcPr>
            <w:tcW w:w="2374" w:type="pct"/>
            <w:tcBorders>
              <w:top w:val="dotted" w:sz="4" w:space="0" w:color="auto"/>
              <w:left w:val="dotted" w:sz="4" w:space="0" w:color="auto"/>
              <w:bottom w:val="dotted" w:sz="4" w:space="0" w:color="auto"/>
              <w:right w:val="dotted" w:sz="4" w:space="0" w:color="auto"/>
            </w:tcBorders>
            <w:shd w:val="clear" w:color="000000" w:fill="DBE5F1"/>
            <w:hideMark/>
          </w:tcPr>
          <w:p w:rsidR="009A4409" w:rsidRPr="00E0115C" w:rsidRDefault="00E34329" w:rsidP="00947CC1">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Particulars</w:t>
            </w:r>
          </w:p>
        </w:tc>
        <w:tc>
          <w:tcPr>
            <w:tcW w:w="638" w:type="pct"/>
            <w:tcBorders>
              <w:top w:val="dotted" w:sz="4" w:space="0" w:color="auto"/>
              <w:left w:val="nil"/>
              <w:bottom w:val="dotted" w:sz="4" w:space="0" w:color="auto"/>
              <w:right w:val="dotted" w:sz="4" w:space="0" w:color="auto"/>
            </w:tcBorders>
            <w:shd w:val="clear" w:color="000000" w:fill="DBE5F1"/>
            <w:hideMark/>
          </w:tcPr>
          <w:p w:rsidR="009A4409" w:rsidRPr="00E0115C" w:rsidRDefault="00E34329" w:rsidP="00947CC1">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Approved</w:t>
            </w:r>
          </w:p>
        </w:tc>
        <w:tc>
          <w:tcPr>
            <w:tcW w:w="798" w:type="pct"/>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Actual as per audited accounts</w:t>
            </w:r>
          </w:p>
        </w:tc>
        <w:tc>
          <w:tcPr>
            <w:tcW w:w="559" w:type="pct"/>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True-up Petition</w:t>
            </w:r>
          </w:p>
        </w:tc>
        <w:tc>
          <w:tcPr>
            <w:tcW w:w="631" w:type="pct"/>
            <w:tcBorders>
              <w:top w:val="dotted" w:sz="4" w:space="0" w:color="auto"/>
              <w:left w:val="nil"/>
              <w:bottom w:val="dotted" w:sz="4" w:space="0" w:color="auto"/>
              <w:right w:val="dotted" w:sz="4" w:space="0" w:color="auto"/>
            </w:tcBorders>
            <w:shd w:val="clear" w:color="000000" w:fill="DBE5F1"/>
            <w:hideMark/>
          </w:tcPr>
          <w:p w:rsidR="00A33039" w:rsidRDefault="00E34329">
            <w:pPr>
              <w:spacing w:before="0" w:line="240" w:lineRule="auto"/>
              <w:jc w:val="center"/>
              <w:rPr>
                <w:rFonts w:asciiTheme="minorHAnsi" w:hAnsiTheme="minorHAnsi"/>
                <w:b/>
                <w:sz w:val="22"/>
                <w:szCs w:val="22"/>
                <w:lang w:val="en-IN" w:eastAsia="en-IN"/>
              </w:rPr>
            </w:pPr>
            <w:r w:rsidRPr="00E34329">
              <w:rPr>
                <w:rFonts w:asciiTheme="minorHAnsi" w:hAnsiTheme="minorHAnsi"/>
                <w:b/>
                <w:sz w:val="22"/>
                <w:szCs w:val="22"/>
                <w:lang w:val="en-IN" w:eastAsia="en-IN"/>
              </w:rPr>
              <w:t xml:space="preserve">Approved upon Truing </w:t>
            </w:r>
            <w:r w:rsidR="00C2017B">
              <w:rPr>
                <w:rFonts w:asciiTheme="minorHAnsi" w:hAnsiTheme="minorHAnsi"/>
                <w:b/>
                <w:sz w:val="22"/>
                <w:szCs w:val="22"/>
                <w:lang w:val="en-IN" w:eastAsia="en-IN"/>
              </w:rPr>
              <w:t>u</w:t>
            </w:r>
            <w:r w:rsidRPr="00E34329">
              <w:rPr>
                <w:rFonts w:asciiTheme="minorHAnsi" w:hAnsiTheme="minorHAnsi"/>
                <w:b/>
                <w:sz w:val="22"/>
                <w:szCs w:val="22"/>
                <w:lang w:val="en-IN" w:eastAsia="en-IN"/>
              </w:rPr>
              <w:t>p</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auto" w:fill="auto"/>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Power Purchase Expenses (including PGCIL charges)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7115.46</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7980.02</w:t>
            </w:r>
          </w:p>
        </w:tc>
        <w:tc>
          <w:tcPr>
            <w:tcW w:w="559" w:type="pct"/>
            <w:tcBorders>
              <w:top w:val="nil"/>
              <w:left w:val="nil"/>
              <w:bottom w:val="dotted" w:sz="4" w:space="0" w:color="auto"/>
              <w:right w:val="dotted" w:sz="4" w:space="0" w:color="auto"/>
            </w:tcBorders>
            <w:shd w:val="clear" w:color="000000" w:fill="FFFFFF"/>
            <w:noWrap/>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7602.84</w:t>
            </w:r>
          </w:p>
        </w:tc>
        <w:tc>
          <w:tcPr>
            <w:tcW w:w="631" w:type="pct"/>
            <w:tcBorders>
              <w:top w:val="nil"/>
              <w:left w:val="nil"/>
              <w:bottom w:val="dotted" w:sz="4" w:space="0" w:color="auto"/>
              <w:right w:val="dotted" w:sz="4" w:space="0" w:color="auto"/>
            </w:tcBorders>
            <w:shd w:val="clear" w:color="000000" w:fill="FFFFFF"/>
            <w:noWrap/>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7823.58</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auto" w:fill="auto"/>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Apportionment of O&amp;M Expenses of UPPCL#</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37.48</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auto" w:fill="auto"/>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Transmission Charges- Intra State(including SLDC charges)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244.67</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248.89</w:t>
            </w:r>
          </w:p>
        </w:tc>
        <w:tc>
          <w:tcPr>
            <w:tcW w:w="559" w:type="pct"/>
            <w:tcBorders>
              <w:top w:val="nil"/>
              <w:left w:val="nil"/>
              <w:bottom w:val="dotted" w:sz="4" w:space="0" w:color="auto"/>
              <w:right w:val="dotted" w:sz="4" w:space="0" w:color="auto"/>
            </w:tcBorders>
            <w:shd w:val="clear" w:color="000000" w:fill="FFFFFF"/>
            <w:noWrap/>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353.03</w:t>
            </w:r>
          </w:p>
        </w:tc>
        <w:tc>
          <w:tcPr>
            <w:tcW w:w="631" w:type="pct"/>
            <w:tcBorders>
              <w:top w:val="nil"/>
              <w:left w:val="nil"/>
              <w:bottom w:val="dotted" w:sz="4" w:space="0" w:color="auto"/>
              <w:right w:val="dotted" w:sz="4" w:space="0" w:color="auto"/>
            </w:tcBorders>
            <w:shd w:val="clear" w:color="000000" w:fill="FFFFFF"/>
            <w:noWrap/>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227.70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Gross O&amp;M Expenses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610.18</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681.34</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681.34</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624.29</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Gross Interest on Long Term Loans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125.90</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360.06</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179.56</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sz w:val="22"/>
                <w:szCs w:val="22"/>
              </w:rPr>
              <w:t>171.16</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Finance Charges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24.48</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32.44</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32.44</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32.44</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Interest on Working Capital</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96.38</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1166.88</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72.56</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70.60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Discount to Consumers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lastRenderedPageBreak/>
              <w:t>Depreciation</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255.28</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175.68</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327.02</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261.63</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Prior Period Expenses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855.94</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27.53</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Other Misc Expenses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Provision for Bad and Doubtful Debts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31.10</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91.66</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Gross Expenditure</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8472.3</w:t>
            </w:r>
            <w:r w:rsidR="00DC5CE4">
              <w:rPr>
                <w:rFonts w:asciiTheme="minorHAnsi" w:hAnsiTheme="minorHAnsi"/>
                <w:bCs/>
                <w:color w:val="000000"/>
                <w:sz w:val="22"/>
                <w:szCs w:val="22"/>
              </w:rPr>
              <w:t>5</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11532.35</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9405.44</w:t>
            </w:r>
          </w:p>
        </w:tc>
        <w:tc>
          <w:tcPr>
            <w:tcW w:w="631" w:type="pct"/>
            <w:tcBorders>
              <w:top w:val="nil"/>
              <w:left w:val="nil"/>
              <w:bottom w:val="dotted" w:sz="4" w:space="0" w:color="auto"/>
              <w:right w:val="dotted" w:sz="4" w:space="0" w:color="auto"/>
            </w:tcBorders>
            <w:shd w:val="clear" w:color="000000" w:fill="FFFFFF"/>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9211.40</w:t>
            </w:r>
          </w:p>
        </w:tc>
      </w:tr>
      <w:tr w:rsidR="007F21AA" w:rsidRPr="00E0115C" w:rsidTr="005607D3">
        <w:trPr>
          <w:trHeight w:val="339"/>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Less: Employee Capitalisation</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53.13</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102.09</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102.09</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102.09</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Less: A&amp;G Capitalisation</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8.48</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29.20</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29.20</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29.20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Less: Interest Capitalisation</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28.96</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Total Capitalisation</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90.56</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131.29</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131.29</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131.29</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Net Expenditure</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8381.78</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11401.06</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9274.15</w:t>
            </w:r>
          </w:p>
        </w:tc>
        <w:tc>
          <w:tcPr>
            <w:tcW w:w="631" w:type="pct"/>
            <w:tcBorders>
              <w:top w:val="nil"/>
              <w:left w:val="nil"/>
              <w:bottom w:val="dotted" w:sz="4" w:space="0" w:color="auto"/>
              <w:right w:val="dotted" w:sz="4" w:space="0" w:color="auto"/>
            </w:tcBorders>
            <w:shd w:val="clear" w:color="000000" w:fill="FFFFFF"/>
            <w:vAlign w:val="center"/>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9080.11</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Add: Return on Equity</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Less: Non-tariff Income</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12.77</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18.54</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18.54</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18.54</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auto" w:fill="auto"/>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Add: Efficiency Gains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0.00</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b/>
                <w:sz w:val="22"/>
                <w:szCs w:val="22"/>
                <w:lang w:val="en-IN" w:eastAsia="en-IN"/>
              </w:rPr>
            </w:pPr>
            <w:r w:rsidRPr="00E34329">
              <w:rPr>
                <w:rFonts w:asciiTheme="minorHAnsi" w:hAnsiTheme="minorHAnsi"/>
                <w:b/>
                <w:sz w:val="22"/>
                <w:szCs w:val="22"/>
                <w:lang w:val="en-IN" w:eastAsia="en-IN"/>
              </w:rPr>
              <w:t>Annual Revenue Requirement</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b/>
                <w:sz w:val="22"/>
                <w:szCs w:val="22"/>
                <w:lang w:val="en-IN" w:eastAsia="en-IN"/>
              </w:rPr>
            </w:pPr>
            <w:r w:rsidRPr="00E34329">
              <w:rPr>
                <w:rFonts w:asciiTheme="minorHAnsi" w:hAnsiTheme="minorHAnsi" w:cs="Calibri"/>
                <w:b/>
                <w:bCs/>
                <w:color w:val="000000"/>
                <w:sz w:val="22"/>
                <w:szCs w:val="22"/>
              </w:rPr>
              <w:t>8369.02</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b/>
                <w:sz w:val="22"/>
                <w:szCs w:val="22"/>
                <w:lang w:val="en-IN" w:eastAsia="en-IN"/>
              </w:rPr>
            </w:pPr>
            <w:r w:rsidRPr="00E34329">
              <w:rPr>
                <w:rFonts w:asciiTheme="minorHAnsi" w:hAnsiTheme="minorHAnsi" w:cs="Calibri"/>
                <w:b/>
                <w:bCs/>
                <w:color w:val="000000"/>
                <w:sz w:val="22"/>
                <w:szCs w:val="22"/>
              </w:rPr>
              <w:t>11382.52</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b/>
                <w:sz w:val="22"/>
                <w:szCs w:val="22"/>
                <w:lang w:val="en-IN" w:eastAsia="en-IN"/>
              </w:rPr>
            </w:pPr>
            <w:r w:rsidRPr="00E34329">
              <w:rPr>
                <w:rFonts w:asciiTheme="minorHAnsi" w:hAnsiTheme="minorHAnsi"/>
                <w:b/>
                <w:bCs/>
                <w:color w:val="000000"/>
                <w:sz w:val="22"/>
                <w:szCs w:val="22"/>
              </w:rPr>
              <w:t>9255.61</w:t>
            </w:r>
          </w:p>
        </w:tc>
        <w:tc>
          <w:tcPr>
            <w:tcW w:w="631" w:type="pct"/>
            <w:tcBorders>
              <w:top w:val="nil"/>
              <w:left w:val="nil"/>
              <w:bottom w:val="dotted" w:sz="4" w:space="0" w:color="auto"/>
              <w:right w:val="dotted" w:sz="4" w:space="0" w:color="auto"/>
            </w:tcBorders>
            <w:shd w:val="clear" w:color="000000" w:fill="FFFFFF"/>
            <w:vAlign w:val="center"/>
            <w:hideMark/>
          </w:tcPr>
          <w:p w:rsidR="00BE1724" w:rsidRPr="00E0115C"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cs="Calibri"/>
                <w:b/>
                <w:bCs/>
                <w:color w:val="000000"/>
                <w:sz w:val="22"/>
                <w:szCs w:val="22"/>
              </w:rPr>
              <w:t>9061.57</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Revenue from Tariff incl. DPS</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6189.82</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4943.64</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4943.64</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4943.64</w:t>
            </w:r>
          </w:p>
        </w:tc>
      </w:tr>
      <w:tr w:rsidR="007F21AA" w:rsidRPr="00E0115C" w:rsidTr="005607D3">
        <w:trPr>
          <w:trHeight w:val="309"/>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GoUP Subsidy</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877.68</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917.88</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917.88</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917.88</w:t>
            </w:r>
          </w:p>
        </w:tc>
      </w:tr>
      <w:tr w:rsidR="007F21AA" w:rsidRPr="00E0115C" w:rsidTr="005607D3">
        <w:trPr>
          <w:trHeight w:val="309"/>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Net Revenue Gap</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1301.52</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5521.00</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bCs/>
                <w:color w:val="000000"/>
                <w:sz w:val="22"/>
                <w:szCs w:val="22"/>
              </w:rPr>
              <w:t>3394.09</w:t>
            </w:r>
          </w:p>
        </w:tc>
        <w:tc>
          <w:tcPr>
            <w:tcW w:w="631"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s="Calibri"/>
                <w:bCs/>
                <w:color w:val="000000"/>
                <w:sz w:val="22"/>
                <w:szCs w:val="22"/>
              </w:rPr>
              <w:t>3200.05</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auto" w:fill="auto"/>
            <w:vAlign w:val="center"/>
            <w:hideMark/>
          </w:tcPr>
          <w:p w:rsidR="009A4409" w:rsidRPr="00E0115C" w:rsidRDefault="00E34329" w:rsidP="005607D3">
            <w:pPr>
              <w:spacing w:before="0" w:line="240" w:lineRule="auto"/>
              <w:jc w:val="left"/>
              <w:rPr>
                <w:rFonts w:asciiTheme="minorHAnsi" w:hAnsiTheme="minorHAnsi"/>
                <w:sz w:val="22"/>
                <w:szCs w:val="22"/>
                <w:lang w:val="en-IN" w:eastAsia="en-IN"/>
              </w:rPr>
            </w:pPr>
            <w:r w:rsidRPr="00E34329">
              <w:rPr>
                <w:rFonts w:asciiTheme="minorHAnsi" w:hAnsiTheme="minorHAnsi"/>
                <w:sz w:val="22"/>
                <w:szCs w:val="22"/>
                <w:lang w:val="en-IN" w:eastAsia="en-IN"/>
              </w:rPr>
              <w:t>Less: Additional Subsidy Requirement</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883.45 </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559"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sz w:val="22"/>
                <w:szCs w:val="22"/>
                <w:lang w:val="en-IN" w:eastAsia="en-IN"/>
              </w:rPr>
            </w:pPr>
            <w:r w:rsidRPr="00E34329">
              <w:rPr>
                <w:rFonts w:asciiTheme="minorHAnsi" w:hAnsiTheme="minorHAnsi"/>
                <w:color w:val="000000"/>
                <w:sz w:val="22"/>
                <w:szCs w:val="22"/>
              </w:rPr>
              <w:t> </w:t>
            </w:r>
          </w:p>
        </w:tc>
        <w:tc>
          <w:tcPr>
            <w:tcW w:w="631" w:type="pct"/>
            <w:tcBorders>
              <w:top w:val="nil"/>
              <w:left w:val="nil"/>
              <w:bottom w:val="dotted" w:sz="4" w:space="0" w:color="auto"/>
              <w:right w:val="dotted" w:sz="4" w:space="0" w:color="auto"/>
            </w:tcBorders>
            <w:shd w:val="clear" w:color="000000" w:fill="FFFFFF"/>
            <w:vAlign w:val="bottom"/>
            <w:hideMark/>
          </w:tcPr>
          <w:p w:rsidR="00BE1724" w:rsidRPr="00E0115C" w:rsidRDefault="00E34329">
            <w:pPr>
              <w:spacing w:before="0" w:line="240" w:lineRule="auto"/>
              <w:jc w:val="right"/>
              <w:rPr>
                <w:rFonts w:asciiTheme="minorHAnsi" w:hAnsiTheme="minorHAnsi"/>
                <w:sz w:val="22"/>
                <w:szCs w:val="22"/>
                <w:lang w:val="en-IN" w:eastAsia="en-IN"/>
              </w:rPr>
            </w:pPr>
            <w:r w:rsidRPr="00E34329">
              <w:rPr>
                <w:rFonts w:asciiTheme="minorHAnsi" w:hAnsiTheme="minorHAnsi" w:cs="Calibri"/>
                <w:color w:val="000000"/>
                <w:sz w:val="22"/>
                <w:szCs w:val="22"/>
              </w:rPr>
              <w:t>1221.03</w:t>
            </w:r>
          </w:p>
        </w:tc>
      </w:tr>
      <w:tr w:rsidR="007F21AA" w:rsidRPr="00E0115C" w:rsidTr="005607D3">
        <w:trPr>
          <w:trHeight w:val="295"/>
        </w:trPr>
        <w:tc>
          <w:tcPr>
            <w:tcW w:w="2374" w:type="pct"/>
            <w:tcBorders>
              <w:top w:val="nil"/>
              <w:left w:val="dotted" w:sz="4" w:space="0" w:color="auto"/>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left"/>
              <w:rPr>
                <w:rFonts w:asciiTheme="minorHAnsi" w:hAnsiTheme="minorHAnsi"/>
                <w:b/>
                <w:sz w:val="22"/>
                <w:szCs w:val="22"/>
                <w:lang w:val="en-IN" w:eastAsia="en-IN"/>
              </w:rPr>
            </w:pPr>
            <w:r w:rsidRPr="00E34329">
              <w:rPr>
                <w:rFonts w:asciiTheme="minorHAnsi" w:hAnsiTheme="minorHAnsi"/>
                <w:b/>
                <w:sz w:val="22"/>
                <w:szCs w:val="22"/>
                <w:lang w:val="en-IN" w:eastAsia="en-IN"/>
              </w:rPr>
              <w:t>Net Revenue Gap</w:t>
            </w:r>
          </w:p>
        </w:tc>
        <w:tc>
          <w:tcPr>
            <w:tcW w:w="63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5607D3">
            <w:pPr>
              <w:spacing w:before="0" w:line="240" w:lineRule="auto"/>
              <w:jc w:val="right"/>
              <w:rPr>
                <w:rFonts w:asciiTheme="minorHAnsi" w:hAnsiTheme="minorHAnsi"/>
                <w:b/>
                <w:sz w:val="22"/>
                <w:szCs w:val="22"/>
                <w:lang w:val="en-IN" w:eastAsia="en-IN"/>
              </w:rPr>
            </w:pPr>
            <w:r w:rsidRPr="00E34329">
              <w:rPr>
                <w:rFonts w:asciiTheme="minorHAnsi" w:hAnsiTheme="minorHAnsi"/>
                <w:b/>
                <w:bCs/>
                <w:color w:val="000000"/>
                <w:sz w:val="22"/>
                <w:szCs w:val="22"/>
              </w:rPr>
              <w:t>418.07</w:t>
            </w:r>
          </w:p>
        </w:tc>
        <w:tc>
          <w:tcPr>
            <w:tcW w:w="798" w:type="pct"/>
            <w:tcBorders>
              <w:top w:val="nil"/>
              <w:left w:val="nil"/>
              <w:bottom w:val="dotted" w:sz="4" w:space="0" w:color="auto"/>
              <w:right w:val="dotted" w:sz="4" w:space="0" w:color="auto"/>
            </w:tcBorders>
            <w:shd w:val="clear" w:color="000000" w:fill="FFFFFF"/>
            <w:vAlign w:val="center"/>
            <w:hideMark/>
          </w:tcPr>
          <w:p w:rsidR="009A4409" w:rsidRPr="00E0115C" w:rsidRDefault="00E34329" w:rsidP="0004212D">
            <w:pPr>
              <w:spacing w:before="0" w:line="240" w:lineRule="auto"/>
              <w:jc w:val="right"/>
              <w:rPr>
                <w:rFonts w:asciiTheme="minorHAnsi" w:hAnsiTheme="minorHAnsi"/>
                <w:b/>
                <w:sz w:val="22"/>
                <w:szCs w:val="22"/>
                <w:lang w:val="en-IN" w:eastAsia="en-IN"/>
              </w:rPr>
            </w:pPr>
            <w:r w:rsidRPr="00E34329">
              <w:rPr>
                <w:rFonts w:asciiTheme="minorHAnsi" w:hAnsiTheme="minorHAnsi"/>
                <w:b/>
                <w:bCs/>
                <w:color w:val="000000"/>
                <w:sz w:val="22"/>
                <w:szCs w:val="22"/>
              </w:rPr>
              <w:t>5521.00</w:t>
            </w:r>
          </w:p>
        </w:tc>
        <w:tc>
          <w:tcPr>
            <w:tcW w:w="559" w:type="pct"/>
            <w:tcBorders>
              <w:top w:val="nil"/>
              <w:left w:val="nil"/>
              <w:bottom w:val="dotted" w:sz="4" w:space="0" w:color="auto"/>
              <w:right w:val="dotted" w:sz="4" w:space="0" w:color="auto"/>
            </w:tcBorders>
            <w:shd w:val="clear" w:color="000000" w:fill="FFFFFF"/>
            <w:vAlign w:val="center"/>
            <w:hideMark/>
          </w:tcPr>
          <w:p w:rsidR="00BE1724" w:rsidRPr="00E0115C"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b/>
                <w:bCs/>
                <w:color w:val="000000"/>
                <w:sz w:val="22"/>
                <w:szCs w:val="22"/>
              </w:rPr>
              <w:t>3394.09</w:t>
            </w:r>
          </w:p>
        </w:tc>
        <w:tc>
          <w:tcPr>
            <w:tcW w:w="631" w:type="pct"/>
            <w:tcBorders>
              <w:top w:val="nil"/>
              <w:left w:val="nil"/>
              <w:bottom w:val="dotted" w:sz="4" w:space="0" w:color="auto"/>
              <w:right w:val="dotted" w:sz="4" w:space="0" w:color="auto"/>
            </w:tcBorders>
            <w:shd w:val="clear" w:color="000000" w:fill="FFFFFF"/>
            <w:vAlign w:val="center"/>
            <w:hideMark/>
          </w:tcPr>
          <w:p w:rsidR="00BE1724" w:rsidRPr="00E0115C" w:rsidRDefault="00E34329">
            <w:pPr>
              <w:spacing w:before="0" w:line="240" w:lineRule="auto"/>
              <w:jc w:val="right"/>
              <w:rPr>
                <w:rFonts w:asciiTheme="minorHAnsi" w:hAnsiTheme="minorHAnsi"/>
                <w:b/>
                <w:sz w:val="22"/>
                <w:szCs w:val="22"/>
                <w:lang w:val="en-IN" w:eastAsia="en-IN"/>
              </w:rPr>
            </w:pPr>
            <w:r w:rsidRPr="00E34329">
              <w:rPr>
                <w:rFonts w:asciiTheme="minorHAnsi" w:hAnsiTheme="minorHAnsi" w:cs="Calibri"/>
                <w:b/>
                <w:bCs/>
                <w:color w:val="000000"/>
                <w:sz w:val="22"/>
                <w:szCs w:val="22"/>
              </w:rPr>
              <w:t>1979.03</w:t>
            </w:r>
          </w:p>
        </w:tc>
      </w:tr>
    </w:tbl>
    <w:p w:rsidR="00F70DA9" w:rsidRPr="00E0115C" w:rsidRDefault="00E34329" w:rsidP="007F21AA">
      <w:pPr>
        <w:spacing w:before="0"/>
        <w:jc w:val="left"/>
        <w:rPr>
          <w:rFonts w:asciiTheme="minorHAnsi" w:hAnsiTheme="minorHAnsi"/>
          <w:i/>
          <w:sz w:val="22"/>
          <w:szCs w:val="22"/>
          <w:lang w:val="en-US"/>
        </w:rPr>
      </w:pPr>
      <w:r w:rsidRPr="00E34329">
        <w:rPr>
          <w:rFonts w:asciiTheme="minorHAnsi" w:hAnsiTheme="minorHAnsi"/>
          <w:i/>
          <w:sz w:val="22"/>
          <w:szCs w:val="22"/>
          <w:lang w:val="en-US"/>
        </w:rPr>
        <w:t># Apportionment of O&amp;M Expenses of UPPCL has been allowed while computing BST</w:t>
      </w:r>
    </w:p>
    <w:p w:rsidR="008071F3" w:rsidRPr="00E0115C" w:rsidRDefault="008071F3" w:rsidP="007F21AA">
      <w:pPr>
        <w:spacing w:before="0"/>
        <w:jc w:val="left"/>
        <w:rPr>
          <w:rFonts w:asciiTheme="minorHAnsi" w:hAnsiTheme="minorHAnsi"/>
          <w:i/>
          <w:sz w:val="22"/>
          <w:szCs w:val="22"/>
          <w:lang w:val="en-US"/>
        </w:rPr>
      </w:pPr>
    </w:p>
    <w:p w:rsidR="003147B8" w:rsidRPr="00C2017B" w:rsidRDefault="00E34329" w:rsidP="00C60AD1">
      <w:pPr>
        <w:pStyle w:val="Heading3"/>
        <w:tabs>
          <w:tab w:val="clear" w:pos="720"/>
        </w:tabs>
        <w:spacing w:after="240"/>
        <w:ind w:left="993" w:hanging="993"/>
      </w:pPr>
      <w:r w:rsidRPr="00E34329">
        <w:t>The Petitioner requested the Commission to consider the revenue side true-up and expense side true-up as per the aforementioned sections wherein the net revenue gap has been computed at Rs. 3,394.09 Crore.</w:t>
      </w:r>
    </w:p>
    <w:p w:rsidR="00690371" w:rsidRPr="00D53092" w:rsidRDefault="00E34329" w:rsidP="00C60AD1">
      <w:pPr>
        <w:pStyle w:val="Heading3"/>
        <w:tabs>
          <w:tab w:val="clear" w:pos="720"/>
        </w:tabs>
        <w:spacing w:after="240"/>
        <w:ind w:left="993" w:hanging="993"/>
        <w:rPr>
          <w:rFonts w:asciiTheme="minorHAnsi" w:hAnsiTheme="minorHAnsi"/>
        </w:rPr>
      </w:pPr>
      <w:r w:rsidRPr="00E34329">
        <w:t>However, as observed from the above Table, against the gap of Rs. 3,394.09 Crore claimed by the Petitioner for truing up of FY 2013-14, the Commission has worked out the gap of Rs. 1979.03 Crore while carrying out the truing up on the basis of the audited accounts. The Commission has discussed the treatment of above revenue gap subsequently in this Order.</w:t>
      </w:r>
    </w:p>
    <w:p w:rsidR="00D53092" w:rsidRPr="00E0115C" w:rsidRDefault="00D53092" w:rsidP="00C60AD1">
      <w:pPr>
        <w:pStyle w:val="Heading3"/>
        <w:tabs>
          <w:tab w:val="clear" w:pos="720"/>
        </w:tabs>
        <w:spacing w:after="240"/>
        <w:ind w:left="993" w:hanging="993"/>
        <w:rPr>
          <w:rFonts w:asciiTheme="minorHAnsi" w:hAnsiTheme="minorHAnsi"/>
        </w:rPr>
      </w:pPr>
      <w:r w:rsidRPr="00D53092">
        <w:t xml:space="preserve">The Commission in its Tariff Order for FY 2013-14 had considered 50% of the revenue gap carried forward consequent to the final Truing up from FY 2000-01 to FY 2007-08 as approved in the Order dated May 21, 2013 while determining the final revenue gap for FY 2013-14. The Commission allowed the Petitioner to recover such amount through Regulatory Surcharge -1 (RS-1). </w:t>
      </w:r>
      <w:r w:rsidRPr="00D53092">
        <w:lastRenderedPageBreak/>
        <w:t>The Commission in its deficiencies had asked the Petitioner to submit the required details related to Regulatory Surcharge-1 (RS-1) and the same has not been submitted by the Petitioner. In absence of such required information pertaining to the collection of Regulatory Surcharge-1 (RS-1) , the Commission has not consider the same while Truing-up for FY 2013-14 and directs the Licensees to submit the required details pertaining to Regulatory Sucharge-1 (RS-1) , after which the Commission may take an appropriate view.</w:t>
      </w:r>
    </w:p>
    <w:p w:rsidR="00D53092" w:rsidRPr="00E0115C" w:rsidRDefault="00D53092" w:rsidP="00D53092">
      <w:pPr>
        <w:pStyle w:val="Heading3"/>
        <w:numPr>
          <w:ilvl w:val="0"/>
          <w:numId w:val="0"/>
        </w:numPr>
        <w:tabs>
          <w:tab w:val="clear" w:pos="720"/>
        </w:tabs>
        <w:spacing w:after="240"/>
        <w:rPr>
          <w:rFonts w:asciiTheme="minorHAnsi" w:hAnsiTheme="minorHAnsi"/>
        </w:rPr>
        <w:sectPr w:rsidR="00D53092" w:rsidRPr="00E0115C" w:rsidSect="00D55642">
          <w:pgSz w:w="11909" w:h="16834"/>
          <w:pgMar w:top="1440" w:right="1440" w:bottom="1440" w:left="1800" w:header="142" w:footer="720" w:gutter="0"/>
          <w:pgNumType w:chapSep="colon"/>
          <w:cols w:space="720"/>
        </w:sectPr>
      </w:pPr>
    </w:p>
    <w:p w:rsidR="00D5771F" w:rsidRDefault="00E34329">
      <w:pPr>
        <w:pStyle w:val="Heading1"/>
        <w:spacing w:before="0" w:after="200"/>
        <w:jc w:val="left"/>
      </w:pPr>
      <w:bookmarkStart w:id="336" w:name="_Toc454752711"/>
      <w:bookmarkStart w:id="337" w:name="_Toc455415739"/>
      <w:bookmarkStart w:id="338" w:name="_Toc455482247"/>
      <w:bookmarkStart w:id="339" w:name="_Toc455482962"/>
      <w:bookmarkStart w:id="340" w:name="_Toc455483675"/>
      <w:bookmarkStart w:id="341" w:name="_Toc455505284"/>
      <w:bookmarkStart w:id="342" w:name="_Toc455575241"/>
      <w:bookmarkStart w:id="343" w:name="_Toc455575955"/>
      <w:bookmarkStart w:id="344" w:name="_Toc455576669"/>
      <w:bookmarkStart w:id="345" w:name="_Toc419992290"/>
      <w:bookmarkStart w:id="346" w:name="_Toc453367598"/>
      <w:bookmarkStart w:id="347" w:name="_Toc457603936"/>
      <w:bookmarkEnd w:id="336"/>
      <w:bookmarkEnd w:id="337"/>
      <w:bookmarkEnd w:id="338"/>
      <w:bookmarkEnd w:id="339"/>
      <w:bookmarkEnd w:id="340"/>
      <w:bookmarkEnd w:id="341"/>
      <w:bookmarkEnd w:id="342"/>
      <w:bookmarkEnd w:id="343"/>
      <w:bookmarkEnd w:id="344"/>
      <w:r w:rsidRPr="00E34329">
        <w:lastRenderedPageBreak/>
        <w:t>A</w:t>
      </w:r>
      <w:bookmarkStart w:id="348" w:name="_Toc396898546"/>
      <w:bookmarkStart w:id="349" w:name="_Toc396946226"/>
      <w:bookmarkStart w:id="350" w:name="_Toc396946407"/>
      <w:bookmarkStart w:id="351" w:name="_Toc397291300"/>
      <w:bookmarkStart w:id="352" w:name="_Toc397291479"/>
      <w:bookmarkStart w:id="353" w:name="_Toc399520975"/>
      <w:bookmarkStart w:id="354" w:name="_Toc399521199"/>
      <w:bookmarkStart w:id="355" w:name="_Toc399521421"/>
      <w:bookmarkStart w:id="356" w:name="_Toc399521947"/>
      <w:bookmarkStart w:id="357" w:name="_Toc399522220"/>
      <w:bookmarkStart w:id="358" w:name="_Toc399522402"/>
      <w:bookmarkStart w:id="359" w:name="_Toc396898571"/>
      <w:bookmarkStart w:id="360" w:name="_Toc396946251"/>
      <w:bookmarkStart w:id="361" w:name="_Toc396946432"/>
      <w:bookmarkStart w:id="362" w:name="_Toc397291325"/>
      <w:bookmarkStart w:id="363" w:name="_Toc397291504"/>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E34329">
        <w:t>NNUAL REVENUE REQUIREMENT FOR 2016-17</w:t>
      </w:r>
      <w:bookmarkEnd w:id="345"/>
      <w:bookmarkEnd w:id="346"/>
      <w:bookmarkEnd w:id="347"/>
    </w:p>
    <w:p w:rsidR="00C34658" w:rsidRPr="00C2017B" w:rsidRDefault="00E34329" w:rsidP="00C34658">
      <w:pPr>
        <w:pStyle w:val="Heading2"/>
        <w:numPr>
          <w:ilvl w:val="1"/>
          <w:numId w:val="16"/>
        </w:numPr>
        <w:rPr>
          <w:rFonts w:ascii="Calibri" w:hAnsi="Calibri"/>
        </w:rPr>
      </w:pPr>
      <w:bookmarkStart w:id="364" w:name="_Toc396573823"/>
      <w:bookmarkStart w:id="365" w:name="_Toc399623721"/>
      <w:bookmarkStart w:id="366" w:name="_Toc419992291"/>
      <w:bookmarkStart w:id="367" w:name="_Toc453367599"/>
      <w:bookmarkStart w:id="368" w:name="_Toc457603937"/>
      <w:r w:rsidRPr="00E34329">
        <w:rPr>
          <w:rFonts w:ascii="Calibri" w:hAnsi="Calibri"/>
        </w:rPr>
        <w:t>INTRODUCTION</w:t>
      </w:r>
      <w:bookmarkEnd w:id="364"/>
      <w:bookmarkEnd w:id="365"/>
      <w:bookmarkEnd w:id="366"/>
      <w:bookmarkEnd w:id="367"/>
      <w:bookmarkEnd w:id="368"/>
    </w:p>
    <w:p w:rsidR="006C63AF" w:rsidRDefault="00E34329" w:rsidP="006C63AF">
      <w:pPr>
        <w:pStyle w:val="Heading3"/>
        <w:tabs>
          <w:tab w:val="clear" w:pos="720"/>
        </w:tabs>
        <w:spacing w:after="240"/>
        <w:ind w:left="994" w:hanging="994"/>
      </w:pPr>
      <w:r w:rsidRPr="00E34329">
        <w:t>In this section, the Commission has undertaken the process of approval of the Annual Revenue Requirements of the Licensee for FY 2016-17 in line with the provisions of the Distribution Tariff Regulations, 2006.</w:t>
      </w:r>
    </w:p>
    <w:p w:rsidR="00C34658" w:rsidRPr="00C2017B" w:rsidRDefault="00E34329" w:rsidP="00C34658">
      <w:pPr>
        <w:pStyle w:val="Heading2"/>
        <w:numPr>
          <w:ilvl w:val="1"/>
          <w:numId w:val="16"/>
        </w:numPr>
        <w:rPr>
          <w:rFonts w:ascii="Calibri" w:hAnsi="Calibri"/>
        </w:rPr>
      </w:pPr>
      <w:bookmarkStart w:id="369" w:name="_Toc356322586"/>
      <w:bookmarkStart w:id="370" w:name="_Toc357733322"/>
      <w:bookmarkStart w:id="371" w:name="_Toc396573824"/>
      <w:bookmarkStart w:id="372" w:name="_Toc399623722"/>
      <w:bookmarkStart w:id="373" w:name="_Toc419992292"/>
      <w:bookmarkStart w:id="374" w:name="_Toc453367600"/>
      <w:bookmarkStart w:id="375" w:name="_Toc457603938"/>
      <w:r w:rsidRPr="00E34329">
        <w:rPr>
          <w:rFonts w:ascii="Calibri" w:hAnsi="Calibri"/>
        </w:rPr>
        <w:t>CONSUMPTION PARAMETERS:</w:t>
      </w:r>
      <w:bookmarkEnd w:id="369"/>
      <w:bookmarkEnd w:id="370"/>
      <w:r w:rsidRPr="00E34329">
        <w:rPr>
          <w:rFonts w:ascii="Calibri" w:hAnsi="Calibri"/>
        </w:rPr>
        <w:t xml:space="preserve"> CONSUMER NUMBERS, CONNECTED LOAD, SALES</w:t>
      </w:r>
      <w:bookmarkEnd w:id="371"/>
      <w:bookmarkEnd w:id="372"/>
      <w:bookmarkEnd w:id="373"/>
      <w:bookmarkEnd w:id="374"/>
      <w:bookmarkEnd w:id="375"/>
    </w:p>
    <w:p w:rsidR="00D5771F" w:rsidRDefault="00E34329">
      <w:pPr>
        <w:pStyle w:val="Heading3"/>
        <w:tabs>
          <w:tab w:val="clear" w:pos="720"/>
        </w:tabs>
        <w:spacing w:after="240"/>
        <w:ind w:left="993" w:hanging="993"/>
      </w:pPr>
      <w:r w:rsidRPr="00E34329">
        <w:t xml:space="preserve">The Petitioner submitted that it has projected the category-wise sales based on the CAGR of the last eight years data and considering factors like available population data, expected conversion of unauthorized connections, connected load factor and specific growth factors and wherever the data was incongruous such incongruity was ignored while projecting the load growth for the ensuing years. </w:t>
      </w:r>
    </w:p>
    <w:p w:rsidR="00D5771F" w:rsidRDefault="00E34329">
      <w:pPr>
        <w:pStyle w:val="Heading3"/>
        <w:tabs>
          <w:tab w:val="clear" w:pos="720"/>
        </w:tabs>
        <w:spacing w:after="240"/>
        <w:ind w:left="993" w:hanging="993"/>
      </w:pPr>
      <w:r w:rsidRPr="00E34329">
        <w:t xml:space="preserve">The Petitioner submitted that the forecast model projects the specific consumption level (consumption per customer) appropriate for each customer category. The Petitioner submitted that this forecast is based on expected growth relationships to income and price, effect of Demand Side Management and impact of hours of service. </w:t>
      </w:r>
    </w:p>
    <w:p w:rsidR="00D5771F" w:rsidRDefault="00E34329">
      <w:pPr>
        <w:pStyle w:val="Heading3"/>
        <w:tabs>
          <w:tab w:val="clear" w:pos="720"/>
        </w:tabs>
        <w:spacing w:after="240"/>
        <w:ind w:left="993" w:hanging="993"/>
      </w:pPr>
      <w:r w:rsidRPr="00E34329">
        <w:t>The Petitioner submitted that the specific consumption level along with the number of customers in each category gives the sales figure for that particular sub-category and the final detailed calculations estimate the connected load for each tariff category. The Petitioner added that the division level forecasts have been consolidated and losses have been added to the sales estimates to determine power purchase requirements.</w:t>
      </w:r>
    </w:p>
    <w:p w:rsidR="00D5771F" w:rsidRDefault="00E34329">
      <w:pPr>
        <w:pStyle w:val="Heading3"/>
        <w:tabs>
          <w:tab w:val="clear" w:pos="720"/>
        </w:tabs>
        <w:spacing w:after="240"/>
        <w:ind w:left="993" w:hanging="993"/>
        <w:rPr>
          <w:rFonts w:asciiTheme="minorHAnsi" w:hAnsiTheme="minorHAnsi"/>
        </w:rPr>
      </w:pPr>
      <w:r w:rsidRPr="00E34329">
        <w:t>The billing determinants including number of Consumers, Connected Load and Energy Sales for FY 2016-17 as submitted by the Petitioner are shown in the Table below:</w:t>
      </w:r>
    </w:p>
    <w:p w:rsidR="00C34658" w:rsidRPr="00E0115C" w:rsidRDefault="00C34658" w:rsidP="00C34658">
      <w:pPr>
        <w:pStyle w:val="Heading3"/>
        <w:numPr>
          <w:ilvl w:val="0"/>
          <w:numId w:val="0"/>
        </w:numPr>
        <w:ind w:left="90"/>
        <w:rPr>
          <w:rFonts w:asciiTheme="minorHAnsi" w:hAnsiTheme="minorHAnsi"/>
        </w:rPr>
      </w:pPr>
    </w:p>
    <w:p w:rsidR="00C34658" w:rsidRPr="00E0115C" w:rsidRDefault="00E34329" w:rsidP="00C34658">
      <w:pPr>
        <w:spacing w:before="0" w:line="240" w:lineRule="auto"/>
        <w:jc w:val="left"/>
        <w:rPr>
          <w:rFonts w:asciiTheme="minorHAnsi" w:hAnsiTheme="minorHAnsi" w:cs="Calibri"/>
          <w:b/>
          <w:sz w:val="22"/>
          <w:szCs w:val="22"/>
          <w:lang w:val="en-US"/>
        </w:rPr>
      </w:pPr>
      <w:bookmarkStart w:id="376" w:name="_Toc395657916"/>
      <w:bookmarkStart w:id="377" w:name="_Toc396573967"/>
      <w:r w:rsidRPr="00E34329">
        <w:rPr>
          <w:rFonts w:asciiTheme="minorHAnsi" w:hAnsiTheme="minorHAnsi" w:cs="Calibri"/>
          <w:b/>
          <w:sz w:val="22"/>
          <w:szCs w:val="22"/>
          <w:lang w:val="en-US"/>
        </w:rPr>
        <w:br w:type="page"/>
      </w:r>
    </w:p>
    <w:p w:rsidR="00C34658" w:rsidRPr="00E0115C" w:rsidRDefault="00E34329" w:rsidP="00C34658">
      <w:pPr>
        <w:spacing w:before="0"/>
        <w:jc w:val="center"/>
        <w:rPr>
          <w:rFonts w:asciiTheme="minorHAnsi" w:hAnsiTheme="minorHAnsi" w:cstheme="minorHAnsi"/>
          <w:b/>
        </w:rPr>
      </w:pPr>
      <w:bookmarkStart w:id="378" w:name="_Toc419992308"/>
      <w:bookmarkStart w:id="379" w:name="_Toc399624068"/>
      <w:bookmarkStart w:id="380" w:name="_Toc453367649"/>
      <w:bookmarkStart w:id="381" w:name="_Toc457604017"/>
      <w:r w:rsidRPr="00E34329">
        <w:rPr>
          <w:rFonts w:asciiTheme="minorHAnsi" w:hAnsiTheme="minorHAnsi" w:cs="Calibri"/>
          <w:b/>
          <w:sz w:val="22"/>
          <w:szCs w:val="22"/>
          <w:lang w:val="en-US"/>
        </w:rPr>
        <w:lastRenderedPageBreak/>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CONSUMPTION PARAMETERS SUBMITTED BY THE PETITIONER FOR FY 2016-</w:t>
      </w:r>
      <w:r w:rsidRPr="00E34329">
        <w:rPr>
          <w:rFonts w:asciiTheme="minorHAnsi" w:hAnsiTheme="minorHAnsi" w:cstheme="minorHAnsi"/>
          <w:b/>
        </w:rPr>
        <w:t>17</w:t>
      </w:r>
      <w:bookmarkEnd w:id="376"/>
      <w:bookmarkEnd w:id="377"/>
      <w:bookmarkEnd w:id="378"/>
      <w:bookmarkEnd w:id="379"/>
      <w:bookmarkEnd w:id="380"/>
      <w:bookmarkEnd w:id="381"/>
    </w:p>
    <w:tbl>
      <w:tblPr>
        <w:tblW w:w="8794" w:type="dxa"/>
        <w:jc w:val="center"/>
        <w:tblInd w:w="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682"/>
        <w:gridCol w:w="1704"/>
        <w:gridCol w:w="1704"/>
        <w:gridCol w:w="1704"/>
      </w:tblGrid>
      <w:tr w:rsidR="00C34658" w:rsidRPr="008334E8" w:rsidTr="008334E8">
        <w:trPr>
          <w:trHeight w:val="523"/>
          <w:jc w:val="center"/>
        </w:trPr>
        <w:tc>
          <w:tcPr>
            <w:tcW w:w="3682" w:type="dxa"/>
            <w:shd w:val="clear" w:color="000000" w:fill="DCE6F1"/>
            <w:noWrap/>
            <w:hideMark/>
          </w:tcPr>
          <w:p w:rsidR="00603835" w:rsidRPr="00603835" w:rsidRDefault="00337C98">
            <w:pPr>
              <w:spacing w:before="0" w:line="240" w:lineRule="auto"/>
              <w:jc w:val="center"/>
              <w:rPr>
                <w:rFonts w:asciiTheme="minorHAnsi" w:hAnsiTheme="minorHAnsi" w:cs="Calibri"/>
                <w:b/>
                <w:sz w:val="22"/>
                <w:szCs w:val="22"/>
                <w:lang w:val="en-US"/>
              </w:rPr>
            </w:pPr>
            <w:r w:rsidRPr="00337C98">
              <w:rPr>
                <w:rFonts w:asciiTheme="minorHAnsi" w:hAnsiTheme="minorHAnsi"/>
                <w:b/>
                <w:sz w:val="22"/>
                <w:szCs w:val="22"/>
                <w:lang w:val="en-US"/>
              </w:rPr>
              <w:t>Consumer categories</w:t>
            </w:r>
          </w:p>
        </w:tc>
        <w:tc>
          <w:tcPr>
            <w:tcW w:w="1704" w:type="dxa"/>
            <w:shd w:val="clear" w:color="000000" w:fill="DCE6F1"/>
            <w:hideMark/>
          </w:tcPr>
          <w:p w:rsidR="00603835" w:rsidRPr="00603835" w:rsidRDefault="00337C98">
            <w:pPr>
              <w:spacing w:before="0" w:line="240" w:lineRule="auto"/>
              <w:jc w:val="center"/>
              <w:rPr>
                <w:rFonts w:asciiTheme="minorHAnsi" w:hAnsiTheme="minorHAnsi" w:cs="Calibri"/>
                <w:b/>
                <w:sz w:val="22"/>
                <w:szCs w:val="22"/>
                <w:lang w:val="en-US"/>
              </w:rPr>
            </w:pPr>
            <w:r w:rsidRPr="00337C98">
              <w:rPr>
                <w:rFonts w:asciiTheme="minorHAnsi" w:hAnsiTheme="minorHAnsi"/>
                <w:b/>
                <w:sz w:val="22"/>
                <w:szCs w:val="22"/>
                <w:lang w:val="en-US"/>
              </w:rPr>
              <w:t>No. of consumers</w:t>
            </w:r>
          </w:p>
        </w:tc>
        <w:tc>
          <w:tcPr>
            <w:tcW w:w="1704" w:type="dxa"/>
            <w:shd w:val="clear" w:color="000000" w:fill="DCE6F1"/>
            <w:hideMark/>
          </w:tcPr>
          <w:p w:rsidR="00603835" w:rsidRPr="00603835" w:rsidRDefault="00337C98">
            <w:pPr>
              <w:spacing w:before="0" w:line="240" w:lineRule="auto"/>
              <w:jc w:val="center"/>
              <w:rPr>
                <w:rFonts w:asciiTheme="minorHAnsi" w:hAnsiTheme="minorHAnsi" w:cs="Calibri"/>
                <w:b/>
                <w:sz w:val="22"/>
                <w:szCs w:val="22"/>
                <w:lang w:val="en-US"/>
              </w:rPr>
            </w:pPr>
            <w:r w:rsidRPr="00337C98">
              <w:rPr>
                <w:rFonts w:asciiTheme="minorHAnsi" w:hAnsiTheme="minorHAnsi"/>
                <w:b/>
                <w:sz w:val="22"/>
                <w:szCs w:val="22"/>
                <w:lang w:val="en-US"/>
              </w:rPr>
              <w:t>Connected load (kW)</w:t>
            </w:r>
          </w:p>
        </w:tc>
        <w:tc>
          <w:tcPr>
            <w:tcW w:w="1704" w:type="dxa"/>
            <w:shd w:val="clear" w:color="000000" w:fill="DCE6F1"/>
            <w:hideMark/>
          </w:tcPr>
          <w:p w:rsidR="00603835" w:rsidRPr="00603835" w:rsidRDefault="00337C98">
            <w:pPr>
              <w:spacing w:before="0" w:line="240" w:lineRule="auto"/>
              <w:jc w:val="center"/>
              <w:rPr>
                <w:rFonts w:asciiTheme="minorHAnsi" w:hAnsiTheme="minorHAnsi" w:cs="Calibri"/>
                <w:b/>
                <w:sz w:val="22"/>
                <w:szCs w:val="22"/>
                <w:lang w:val="en-US"/>
              </w:rPr>
            </w:pPr>
            <w:r w:rsidRPr="00337C98">
              <w:rPr>
                <w:rFonts w:asciiTheme="minorHAnsi" w:hAnsiTheme="minorHAnsi"/>
                <w:b/>
                <w:sz w:val="22"/>
                <w:szCs w:val="22"/>
                <w:lang w:val="en-US"/>
              </w:rPr>
              <w:t>Energy sales (MU)</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LMV-1: Domestic</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4118427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6276996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8776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LMV-2:Non-Domestic</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287414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720096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1118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 xml:space="preserve">LMV-3: Public Lamps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1604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50223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269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LMV-4: Institutions</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28464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155278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525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LMV-5: Private Tube Wells</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223727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1666385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3272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 6: Small and Medium Power</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53926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476766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903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 xml:space="preserve">LMV-7: Public Water Works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8198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122943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562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LMV-8: State Tube Wells</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7749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184302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708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 xml:space="preserve">LMV-9: Temporary Supply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2600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7472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30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LMV-10: Departmental Employees</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18244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65620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113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HV-1: Non-Industrial Bulk Loads</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572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165999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409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HV-2: Large and Heavy Power</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2930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913957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3026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HV-3: Railway Traction</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10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159222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681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HV-4: Lift Irrigation</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42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32567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161 </w:t>
            </w:r>
          </w:p>
        </w:tc>
      </w:tr>
      <w:tr w:rsidR="00C34658" w:rsidRPr="008334E8" w:rsidTr="008334E8">
        <w:trPr>
          <w:trHeight w:val="300"/>
          <w:jc w:val="center"/>
        </w:trPr>
        <w:tc>
          <w:tcPr>
            <w:tcW w:w="3682" w:type="dxa"/>
            <w:shd w:val="clear" w:color="auto" w:fill="auto"/>
            <w:noWrap/>
            <w:vAlign w:val="center"/>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cs="Calibri"/>
                <w:sz w:val="22"/>
                <w:szCs w:val="22"/>
                <w:lang w:eastAsia="en-IN"/>
              </w:rPr>
              <w:t>Extra state &amp; Bulk</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cs="Calibri"/>
                <w:sz w:val="22"/>
                <w:szCs w:val="22"/>
              </w:rPr>
              <w:t>0</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cs="Calibri"/>
                <w:sz w:val="22"/>
                <w:szCs w:val="22"/>
              </w:rPr>
              <w:t>0</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cs="Calibri"/>
                <w:sz w:val="22"/>
                <w:szCs w:val="22"/>
              </w:rPr>
              <w:t>0</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b/>
                <w:sz w:val="22"/>
                <w:szCs w:val="22"/>
                <w:lang w:val="en-US"/>
              </w:rPr>
            </w:pPr>
            <w:r w:rsidRPr="00337C98">
              <w:rPr>
                <w:rFonts w:asciiTheme="minorHAnsi" w:hAnsiTheme="minorHAnsi"/>
                <w:b/>
                <w:sz w:val="22"/>
                <w:szCs w:val="22"/>
                <w:lang w:val="en-US"/>
              </w:rPr>
              <w:t>Total</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b/>
                <w:sz w:val="22"/>
                <w:szCs w:val="22"/>
                <w:lang w:val="en-US"/>
              </w:rPr>
            </w:pPr>
            <w:r w:rsidRPr="00337C98">
              <w:rPr>
                <w:rFonts w:asciiTheme="minorHAnsi" w:hAnsiTheme="minorHAnsi"/>
                <w:b/>
                <w:sz w:val="22"/>
                <w:szCs w:val="22"/>
                <w:lang w:val="en-US"/>
              </w:rPr>
              <w:t>47,53,907</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b/>
                <w:sz w:val="22"/>
                <w:szCs w:val="22"/>
                <w:lang w:val="en-US"/>
              </w:rPr>
            </w:pPr>
            <w:r w:rsidRPr="00337C98">
              <w:rPr>
                <w:rFonts w:asciiTheme="minorHAnsi" w:hAnsiTheme="minorHAnsi"/>
                <w:b/>
                <w:sz w:val="22"/>
                <w:szCs w:val="22"/>
                <w:lang w:val="en-US"/>
              </w:rPr>
              <w:t>1,09,97,826</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b/>
                <w:sz w:val="22"/>
                <w:szCs w:val="22"/>
                <w:lang w:val="en-US"/>
              </w:rPr>
            </w:pPr>
            <w:r w:rsidRPr="00337C98">
              <w:rPr>
                <w:rFonts w:asciiTheme="minorHAnsi" w:hAnsiTheme="minorHAnsi"/>
                <w:b/>
                <w:sz w:val="22"/>
                <w:szCs w:val="22"/>
                <w:lang w:val="en-US"/>
              </w:rPr>
              <w:t>20,552</w:t>
            </w:r>
          </w:p>
        </w:tc>
      </w:tr>
    </w:tbl>
    <w:p w:rsidR="00603835" w:rsidRDefault="00603835">
      <w:pPr>
        <w:pStyle w:val="Heading3"/>
        <w:numPr>
          <w:ilvl w:val="0"/>
          <w:numId w:val="0"/>
        </w:numPr>
        <w:spacing w:before="0"/>
        <w:rPr>
          <w:rFonts w:asciiTheme="minorHAnsi" w:hAnsiTheme="minorHAnsi"/>
        </w:rPr>
      </w:pPr>
    </w:p>
    <w:p w:rsidR="00D5771F" w:rsidRDefault="00E34329">
      <w:pPr>
        <w:pStyle w:val="Heading3"/>
        <w:tabs>
          <w:tab w:val="clear" w:pos="720"/>
        </w:tabs>
        <w:spacing w:after="240"/>
        <w:ind w:left="993" w:hanging="993"/>
      </w:pPr>
      <w:r w:rsidRPr="00E34329">
        <w:t>For forecasting the consumption parameters the Commission has adopted the same methodology as proposed by the Petitioner as it seems fair and equitable.</w:t>
      </w:r>
    </w:p>
    <w:p w:rsidR="00D5771F" w:rsidRDefault="00E34329">
      <w:pPr>
        <w:pStyle w:val="Heading3"/>
        <w:tabs>
          <w:tab w:val="clear" w:pos="720"/>
        </w:tabs>
        <w:spacing w:after="240"/>
        <w:ind w:left="993" w:hanging="993"/>
      </w:pPr>
      <w:r w:rsidRPr="00E34329">
        <w:t>The consumption norms for projection of unmetered sales were established vide UPPCL Order No. 2649-CUR/L, dated July 7, 2001 and Order No. 165 CUR-2 / R-3 dated February 14, 2014 as detailed below:</w:t>
      </w:r>
    </w:p>
    <w:p w:rsidR="00C34658" w:rsidRPr="00353873" w:rsidRDefault="00C34658" w:rsidP="00C34658">
      <w:pPr>
        <w:spacing w:before="0"/>
        <w:jc w:val="center"/>
        <w:rPr>
          <w:rFonts w:cs="Calibri"/>
          <w:b/>
          <w:sz w:val="22"/>
          <w:szCs w:val="22"/>
          <w:highlight w:val="yellow"/>
          <w:lang w:val="en-US"/>
        </w:rPr>
      </w:pPr>
      <w:bookmarkStart w:id="382" w:name="_Ref395693076"/>
      <w:bookmarkStart w:id="383" w:name="_Toc338310668"/>
      <w:bookmarkStart w:id="384" w:name="_Toc338419498"/>
      <w:bookmarkStart w:id="385" w:name="_Toc357738726"/>
      <w:bookmarkStart w:id="386" w:name="_Toc395657918"/>
      <w:bookmarkStart w:id="387" w:name="_Toc396573969"/>
      <w:bookmarkStart w:id="388" w:name="_Toc399624070"/>
      <w:bookmarkStart w:id="389" w:name="_Toc453367650"/>
      <w:bookmarkStart w:id="390" w:name="_Toc457604018"/>
      <w:r w:rsidRPr="009917C8">
        <w:rPr>
          <w:rFonts w:cs="Calibri"/>
          <w:b/>
          <w:sz w:val="22"/>
          <w:szCs w:val="22"/>
          <w:lang w:val="en-US"/>
        </w:rPr>
        <w:t xml:space="preserve">Table </w:t>
      </w:r>
      <w:r w:rsidR="009741CA" w:rsidRPr="009917C8">
        <w:rPr>
          <w:rFonts w:cs="Calibri"/>
          <w:b/>
          <w:sz w:val="22"/>
          <w:szCs w:val="22"/>
          <w:lang w:val="en-US"/>
        </w:rPr>
        <w:fldChar w:fldCharType="begin"/>
      </w:r>
      <w:r w:rsidRPr="009917C8">
        <w:rPr>
          <w:rFonts w:cs="Calibri"/>
          <w:b/>
          <w:sz w:val="22"/>
          <w:szCs w:val="22"/>
          <w:lang w:val="en-US"/>
        </w:rPr>
        <w:instrText xml:space="preserve"> STYLEREF 1 \s </w:instrText>
      </w:r>
      <w:r w:rsidR="009741CA" w:rsidRPr="009917C8">
        <w:rPr>
          <w:rFonts w:cs="Calibri"/>
          <w:b/>
          <w:sz w:val="22"/>
          <w:szCs w:val="22"/>
          <w:lang w:val="en-US"/>
        </w:rPr>
        <w:fldChar w:fldCharType="separate"/>
      </w:r>
      <w:r w:rsidR="00BA08F0">
        <w:rPr>
          <w:rFonts w:cs="Calibri"/>
          <w:b/>
          <w:noProof/>
          <w:sz w:val="22"/>
          <w:szCs w:val="22"/>
          <w:lang w:val="en-US"/>
        </w:rPr>
        <w:t>5</w:t>
      </w:r>
      <w:r w:rsidR="009741CA" w:rsidRPr="009917C8">
        <w:rPr>
          <w:rFonts w:cs="Calibri"/>
          <w:b/>
          <w:sz w:val="22"/>
          <w:szCs w:val="22"/>
          <w:lang w:val="en-US"/>
        </w:rPr>
        <w:fldChar w:fldCharType="end"/>
      </w:r>
      <w:r w:rsidRPr="009917C8">
        <w:rPr>
          <w:rFonts w:cs="Calibri"/>
          <w:b/>
          <w:sz w:val="22"/>
          <w:szCs w:val="22"/>
          <w:lang w:val="en-US"/>
        </w:rPr>
        <w:noBreakHyphen/>
      </w:r>
      <w:r w:rsidR="009741CA" w:rsidRPr="009917C8">
        <w:rPr>
          <w:rFonts w:cs="Calibri"/>
          <w:b/>
          <w:sz w:val="22"/>
          <w:szCs w:val="22"/>
          <w:lang w:val="en-US"/>
        </w:rPr>
        <w:fldChar w:fldCharType="begin"/>
      </w:r>
      <w:r w:rsidRPr="009917C8">
        <w:rPr>
          <w:rFonts w:cs="Calibri"/>
          <w:b/>
          <w:sz w:val="22"/>
          <w:szCs w:val="22"/>
          <w:lang w:val="en-US"/>
        </w:rPr>
        <w:instrText xml:space="preserve"> SEQ Table \* ARABIC \s 1 </w:instrText>
      </w:r>
      <w:r w:rsidR="009741CA" w:rsidRPr="009917C8">
        <w:rPr>
          <w:rFonts w:cs="Calibri"/>
          <w:b/>
          <w:sz w:val="22"/>
          <w:szCs w:val="22"/>
          <w:lang w:val="en-US"/>
        </w:rPr>
        <w:fldChar w:fldCharType="separate"/>
      </w:r>
      <w:r w:rsidR="00BA08F0">
        <w:rPr>
          <w:rFonts w:cs="Calibri"/>
          <w:b/>
          <w:noProof/>
          <w:sz w:val="22"/>
          <w:szCs w:val="22"/>
          <w:lang w:val="en-US"/>
        </w:rPr>
        <w:t>2</w:t>
      </w:r>
      <w:r w:rsidR="009741CA" w:rsidRPr="009917C8">
        <w:rPr>
          <w:rFonts w:cs="Calibri"/>
          <w:b/>
          <w:sz w:val="22"/>
          <w:szCs w:val="22"/>
          <w:lang w:val="en-US"/>
        </w:rPr>
        <w:fldChar w:fldCharType="end"/>
      </w:r>
      <w:bookmarkEnd w:id="382"/>
      <w:r w:rsidRPr="009917C8">
        <w:rPr>
          <w:rFonts w:cs="Calibri"/>
          <w:b/>
          <w:sz w:val="22"/>
          <w:szCs w:val="22"/>
          <w:lang w:val="en-US"/>
        </w:rPr>
        <w:t>: CONSUMPTION NORMS FOR UNMETERED CATEGORIES</w:t>
      </w:r>
      <w:bookmarkEnd w:id="383"/>
      <w:bookmarkEnd w:id="384"/>
      <w:bookmarkEnd w:id="385"/>
      <w:bookmarkEnd w:id="386"/>
      <w:bookmarkEnd w:id="387"/>
      <w:bookmarkEnd w:id="388"/>
      <w:bookmarkEnd w:id="389"/>
      <w:bookmarkEnd w:id="390"/>
    </w:p>
    <w:tbl>
      <w:tblPr>
        <w:tblW w:w="541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35"/>
        <w:gridCol w:w="3059"/>
        <w:gridCol w:w="2700"/>
        <w:gridCol w:w="3330"/>
      </w:tblGrid>
      <w:tr w:rsidR="00C34658" w:rsidRPr="009917C8" w:rsidTr="0025730E">
        <w:trPr>
          <w:trHeight w:val="300"/>
          <w:tblHeader/>
          <w:jc w:val="center"/>
        </w:trPr>
        <w:tc>
          <w:tcPr>
            <w:tcW w:w="278" w:type="pct"/>
            <w:shd w:val="clear" w:color="auto" w:fill="DBE5F1" w:themeFill="accent1" w:themeFillTint="33"/>
            <w:noWrap/>
            <w:hideMark/>
          </w:tcPr>
          <w:p w:rsidR="00337C98" w:rsidRDefault="00C34658" w:rsidP="00337C98">
            <w:pPr>
              <w:spacing w:before="0" w:line="240" w:lineRule="auto"/>
              <w:jc w:val="center"/>
              <w:rPr>
                <w:b/>
              </w:rPr>
            </w:pPr>
            <w:r w:rsidRPr="008B0C65">
              <w:rPr>
                <w:b/>
              </w:rPr>
              <w:t>Sl. No</w:t>
            </w:r>
          </w:p>
        </w:tc>
        <w:tc>
          <w:tcPr>
            <w:tcW w:w="1589" w:type="pct"/>
            <w:shd w:val="clear" w:color="auto" w:fill="DBE5F1" w:themeFill="accent1" w:themeFillTint="33"/>
            <w:noWrap/>
            <w:hideMark/>
          </w:tcPr>
          <w:p w:rsidR="00337C98" w:rsidRDefault="00C34658" w:rsidP="00337C98">
            <w:pPr>
              <w:spacing w:before="0" w:line="240" w:lineRule="auto"/>
              <w:jc w:val="center"/>
              <w:rPr>
                <w:b/>
              </w:rPr>
            </w:pPr>
            <w:r w:rsidRPr="008B0C65">
              <w:rPr>
                <w:b/>
              </w:rPr>
              <w:t>Category</w:t>
            </w:r>
          </w:p>
        </w:tc>
        <w:tc>
          <w:tcPr>
            <w:tcW w:w="1403" w:type="pct"/>
            <w:shd w:val="clear" w:color="auto" w:fill="DBE5F1" w:themeFill="accent1" w:themeFillTint="33"/>
            <w:noWrap/>
            <w:hideMark/>
          </w:tcPr>
          <w:p w:rsidR="00337C98" w:rsidRDefault="00C34658" w:rsidP="00337C98">
            <w:pPr>
              <w:spacing w:before="0" w:line="240" w:lineRule="auto"/>
              <w:jc w:val="center"/>
              <w:rPr>
                <w:b/>
              </w:rPr>
            </w:pPr>
            <w:r w:rsidRPr="008B0C65">
              <w:rPr>
                <w:b/>
              </w:rPr>
              <w:t>Consumption Norm (As per UPPCL Order No. 2649-CUR/L dated July 20, 2001)</w:t>
            </w:r>
          </w:p>
        </w:tc>
        <w:tc>
          <w:tcPr>
            <w:tcW w:w="1730" w:type="pct"/>
            <w:shd w:val="clear" w:color="auto" w:fill="DBE5F1" w:themeFill="accent1" w:themeFillTint="33"/>
            <w:noWrap/>
            <w:hideMark/>
          </w:tcPr>
          <w:p w:rsidR="00337C98" w:rsidRDefault="00C34658" w:rsidP="00337C98">
            <w:pPr>
              <w:spacing w:before="0" w:line="240" w:lineRule="auto"/>
              <w:jc w:val="center"/>
              <w:rPr>
                <w:b/>
              </w:rPr>
            </w:pPr>
            <w:r w:rsidRPr="008B0C65">
              <w:rPr>
                <w:b/>
              </w:rPr>
              <w:t>Consumption Norm (As per UPPCL Order No. 165 CUR-2/ R-3 dated February 14, 2014)</w:t>
            </w:r>
          </w:p>
        </w:tc>
      </w:tr>
      <w:tr w:rsidR="00C34658" w:rsidRPr="009917C8" w:rsidTr="0025730E">
        <w:trPr>
          <w:trHeight w:val="300"/>
          <w:jc w:val="center"/>
        </w:trPr>
        <w:tc>
          <w:tcPr>
            <w:tcW w:w="278" w:type="pct"/>
            <w:shd w:val="clear" w:color="auto" w:fill="auto"/>
            <w:noWrap/>
            <w:vAlign w:val="center"/>
            <w:hideMark/>
          </w:tcPr>
          <w:p w:rsidR="00337C98" w:rsidRDefault="00C34658" w:rsidP="00337C98">
            <w:pPr>
              <w:spacing w:before="0" w:line="240" w:lineRule="auto"/>
              <w:jc w:val="center"/>
              <w:rPr>
                <w:sz w:val="18"/>
                <w:szCs w:val="18"/>
              </w:rPr>
            </w:pPr>
            <w:r w:rsidRPr="008B0C65">
              <w:t>1</w:t>
            </w:r>
          </w:p>
        </w:tc>
        <w:tc>
          <w:tcPr>
            <w:tcW w:w="1589" w:type="pct"/>
            <w:shd w:val="clear" w:color="auto" w:fill="auto"/>
            <w:noWrap/>
            <w:vAlign w:val="center"/>
            <w:hideMark/>
          </w:tcPr>
          <w:p w:rsidR="00337C98" w:rsidRDefault="00C34658" w:rsidP="00337C98">
            <w:pPr>
              <w:spacing w:before="0" w:line="240" w:lineRule="auto"/>
              <w:jc w:val="left"/>
              <w:rPr>
                <w:sz w:val="18"/>
                <w:szCs w:val="18"/>
              </w:rPr>
            </w:pPr>
            <w:r w:rsidRPr="008B0C65">
              <w:t>LMV1: Domestic (Rural)</w:t>
            </w:r>
          </w:p>
        </w:tc>
        <w:tc>
          <w:tcPr>
            <w:tcW w:w="1403" w:type="pct"/>
            <w:shd w:val="clear" w:color="auto" w:fill="auto"/>
            <w:noWrap/>
            <w:vAlign w:val="center"/>
            <w:hideMark/>
          </w:tcPr>
          <w:p w:rsidR="00337C98" w:rsidRDefault="00C34658" w:rsidP="00337C98">
            <w:pPr>
              <w:spacing w:before="0" w:line="240" w:lineRule="auto"/>
              <w:jc w:val="center"/>
              <w:rPr>
                <w:sz w:val="18"/>
                <w:szCs w:val="18"/>
              </w:rPr>
            </w:pPr>
            <w:r w:rsidRPr="008B0C65">
              <w:t>72 kWh / kW / month</w:t>
            </w:r>
          </w:p>
        </w:tc>
        <w:tc>
          <w:tcPr>
            <w:tcW w:w="1730" w:type="pct"/>
            <w:shd w:val="clear" w:color="auto" w:fill="auto"/>
            <w:noWrap/>
            <w:vAlign w:val="center"/>
            <w:hideMark/>
          </w:tcPr>
          <w:p w:rsidR="00337C98" w:rsidRDefault="00C34658" w:rsidP="00337C98">
            <w:pPr>
              <w:spacing w:before="0" w:line="240" w:lineRule="auto"/>
              <w:jc w:val="center"/>
              <w:rPr>
                <w:sz w:val="18"/>
                <w:szCs w:val="18"/>
              </w:rPr>
            </w:pPr>
            <w:r w:rsidRPr="008B0C65">
              <w:t xml:space="preserve">108 kWh / kW / month </w:t>
            </w:r>
          </w:p>
        </w:tc>
      </w:tr>
      <w:tr w:rsidR="00C34658" w:rsidRPr="009917C8" w:rsidTr="0025730E">
        <w:trPr>
          <w:trHeight w:val="300"/>
          <w:jc w:val="center"/>
        </w:trPr>
        <w:tc>
          <w:tcPr>
            <w:tcW w:w="278" w:type="pct"/>
            <w:shd w:val="clear" w:color="auto" w:fill="auto"/>
            <w:noWrap/>
            <w:vAlign w:val="center"/>
            <w:hideMark/>
          </w:tcPr>
          <w:p w:rsidR="00337C98" w:rsidRDefault="00C34658" w:rsidP="00337C98">
            <w:pPr>
              <w:spacing w:before="0" w:line="240" w:lineRule="auto"/>
              <w:jc w:val="center"/>
              <w:rPr>
                <w:sz w:val="18"/>
                <w:szCs w:val="18"/>
              </w:rPr>
            </w:pPr>
            <w:r w:rsidRPr="008B0C65">
              <w:t>2</w:t>
            </w:r>
          </w:p>
        </w:tc>
        <w:tc>
          <w:tcPr>
            <w:tcW w:w="1589" w:type="pct"/>
            <w:shd w:val="clear" w:color="auto" w:fill="auto"/>
            <w:noWrap/>
            <w:vAlign w:val="center"/>
            <w:hideMark/>
          </w:tcPr>
          <w:p w:rsidR="00337C98" w:rsidRDefault="00C34658" w:rsidP="00337C98">
            <w:pPr>
              <w:spacing w:before="0" w:line="240" w:lineRule="auto"/>
              <w:jc w:val="left"/>
              <w:rPr>
                <w:sz w:val="18"/>
                <w:szCs w:val="18"/>
              </w:rPr>
            </w:pPr>
            <w:r w:rsidRPr="008B0C65">
              <w:t>LMV2: Non Domestic (Rural)</w:t>
            </w:r>
          </w:p>
        </w:tc>
        <w:tc>
          <w:tcPr>
            <w:tcW w:w="1403" w:type="pct"/>
            <w:shd w:val="clear" w:color="auto" w:fill="auto"/>
            <w:noWrap/>
            <w:vAlign w:val="center"/>
            <w:hideMark/>
          </w:tcPr>
          <w:p w:rsidR="00337C98" w:rsidRDefault="00C34658" w:rsidP="00337C98">
            <w:pPr>
              <w:spacing w:before="0" w:line="240" w:lineRule="auto"/>
              <w:jc w:val="center"/>
              <w:rPr>
                <w:sz w:val="18"/>
                <w:szCs w:val="18"/>
              </w:rPr>
            </w:pPr>
            <w:r w:rsidRPr="008B0C65">
              <w:t>72 kWh / kW / month</w:t>
            </w:r>
          </w:p>
        </w:tc>
        <w:tc>
          <w:tcPr>
            <w:tcW w:w="1730" w:type="pct"/>
            <w:shd w:val="clear" w:color="auto" w:fill="auto"/>
            <w:noWrap/>
            <w:vAlign w:val="center"/>
            <w:hideMark/>
          </w:tcPr>
          <w:p w:rsidR="00337C98" w:rsidRDefault="00C34658" w:rsidP="00337C98">
            <w:pPr>
              <w:spacing w:before="0" w:line="240" w:lineRule="auto"/>
              <w:jc w:val="center"/>
              <w:rPr>
                <w:sz w:val="18"/>
                <w:szCs w:val="18"/>
              </w:rPr>
            </w:pPr>
            <w:r w:rsidRPr="008B0C65">
              <w:t xml:space="preserve">108 kWh / kW / month </w:t>
            </w:r>
          </w:p>
        </w:tc>
      </w:tr>
      <w:tr w:rsidR="00C34658" w:rsidRPr="009917C8" w:rsidTr="0025730E">
        <w:trPr>
          <w:trHeight w:val="300"/>
          <w:jc w:val="center"/>
        </w:trPr>
        <w:tc>
          <w:tcPr>
            <w:tcW w:w="278" w:type="pct"/>
            <w:shd w:val="clear" w:color="auto" w:fill="auto"/>
            <w:noWrap/>
            <w:vAlign w:val="center"/>
            <w:hideMark/>
          </w:tcPr>
          <w:p w:rsidR="00337C98" w:rsidRDefault="00C34658" w:rsidP="00337C98">
            <w:pPr>
              <w:spacing w:before="0" w:line="240" w:lineRule="auto"/>
              <w:jc w:val="center"/>
              <w:rPr>
                <w:sz w:val="18"/>
                <w:szCs w:val="18"/>
              </w:rPr>
            </w:pPr>
            <w:r w:rsidRPr="008B0C65">
              <w:t>3</w:t>
            </w:r>
          </w:p>
        </w:tc>
        <w:tc>
          <w:tcPr>
            <w:tcW w:w="1589" w:type="pct"/>
            <w:shd w:val="clear" w:color="auto" w:fill="auto"/>
            <w:noWrap/>
            <w:vAlign w:val="center"/>
            <w:hideMark/>
          </w:tcPr>
          <w:p w:rsidR="00337C98" w:rsidRDefault="00C34658" w:rsidP="00337C98">
            <w:pPr>
              <w:spacing w:before="0" w:line="240" w:lineRule="auto"/>
              <w:jc w:val="left"/>
              <w:rPr>
                <w:sz w:val="18"/>
                <w:szCs w:val="18"/>
              </w:rPr>
            </w:pPr>
            <w:r w:rsidRPr="008B0C65">
              <w:t>LMV3: Public Lamps (Rural)</w:t>
            </w:r>
          </w:p>
        </w:tc>
        <w:tc>
          <w:tcPr>
            <w:tcW w:w="1403" w:type="pct"/>
            <w:shd w:val="clear" w:color="auto" w:fill="auto"/>
            <w:noWrap/>
            <w:vAlign w:val="center"/>
            <w:hideMark/>
          </w:tcPr>
          <w:p w:rsidR="00337C98" w:rsidRDefault="00C34658" w:rsidP="00337C98">
            <w:pPr>
              <w:spacing w:before="0" w:line="240" w:lineRule="auto"/>
              <w:jc w:val="center"/>
              <w:rPr>
                <w:sz w:val="18"/>
                <w:szCs w:val="18"/>
              </w:rPr>
            </w:pPr>
            <w:r w:rsidRPr="008B0C65">
              <w:t>300 kWh / kW / month</w:t>
            </w:r>
          </w:p>
        </w:tc>
        <w:tc>
          <w:tcPr>
            <w:tcW w:w="1730" w:type="pct"/>
            <w:shd w:val="clear" w:color="auto" w:fill="auto"/>
            <w:noWrap/>
            <w:vAlign w:val="center"/>
            <w:hideMark/>
          </w:tcPr>
          <w:p w:rsidR="00337C98" w:rsidRDefault="00C34658" w:rsidP="00337C98">
            <w:pPr>
              <w:spacing w:before="0" w:line="240" w:lineRule="auto"/>
              <w:jc w:val="center"/>
              <w:rPr>
                <w:sz w:val="18"/>
                <w:szCs w:val="18"/>
              </w:rPr>
            </w:pPr>
            <w:r w:rsidRPr="008B0C65">
              <w:t xml:space="preserve">No Change </w:t>
            </w:r>
          </w:p>
        </w:tc>
      </w:tr>
      <w:tr w:rsidR="00C34658" w:rsidRPr="009917C8" w:rsidTr="0025730E">
        <w:trPr>
          <w:trHeight w:val="300"/>
          <w:jc w:val="center"/>
        </w:trPr>
        <w:tc>
          <w:tcPr>
            <w:tcW w:w="278" w:type="pct"/>
            <w:shd w:val="clear" w:color="auto" w:fill="auto"/>
            <w:noWrap/>
            <w:vAlign w:val="center"/>
            <w:hideMark/>
          </w:tcPr>
          <w:p w:rsidR="00337C98" w:rsidRDefault="00C34658" w:rsidP="00337C98">
            <w:pPr>
              <w:spacing w:before="0" w:line="240" w:lineRule="auto"/>
              <w:jc w:val="center"/>
              <w:rPr>
                <w:sz w:val="18"/>
                <w:szCs w:val="18"/>
              </w:rPr>
            </w:pPr>
            <w:r w:rsidRPr="008B0C65">
              <w:t>4</w:t>
            </w:r>
          </w:p>
        </w:tc>
        <w:tc>
          <w:tcPr>
            <w:tcW w:w="1589" w:type="pct"/>
            <w:shd w:val="clear" w:color="auto" w:fill="auto"/>
            <w:noWrap/>
            <w:vAlign w:val="center"/>
            <w:hideMark/>
          </w:tcPr>
          <w:p w:rsidR="00337C98" w:rsidRDefault="00C34658" w:rsidP="00337C98">
            <w:pPr>
              <w:spacing w:before="0" w:line="240" w:lineRule="auto"/>
              <w:jc w:val="left"/>
              <w:rPr>
                <w:sz w:val="18"/>
                <w:szCs w:val="18"/>
              </w:rPr>
            </w:pPr>
            <w:r w:rsidRPr="008B0C65">
              <w:t>LMV3: Public Lamps (Urban)</w:t>
            </w:r>
          </w:p>
        </w:tc>
        <w:tc>
          <w:tcPr>
            <w:tcW w:w="1403" w:type="pct"/>
            <w:shd w:val="clear" w:color="auto" w:fill="auto"/>
            <w:noWrap/>
            <w:vAlign w:val="center"/>
            <w:hideMark/>
          </w:tcPr>
          <w:p w:rsidR="00337C98" w:rsidRDefault="00C34658" w:rsidP="00337C98">
            <w:pPr>
              <w:spacing w:before="0" w:line="240" w:lineRule="auto"/>
              <w:jc w:val="center"/>
              <w:rPr>
                <w:sz w:val="18"/>
                <w:szCs w:val="18"/>
              </w:rPr>
            </w:pPr>
            <w:r w:rsidRPr="008B0C65">
              <w:t>360 kWh / kW / month</w:t>
            </w:r>
          </w:p>
        </w:tc>
        <w:tc>
          <w:tcPr>
            <w:tcW w:w="1730" w:type="pct"/>
            <w:shd w:val="clear" w:color="auto" w:fill="auto"/>
            <w:noWrap/>
            <w:vAlign w:val="center"/>
            <w:hideMark/>
          </w:tcPr>
          <w:p w:rsidR="00337C98" w:rsidRDefault="00C34658" w:rsidP="00337C98">
            <w:pPr>
              <w:spacing w:before="0" w:line="240" w:lineRule="auto"/>
              <w:jc w:val="center"/>
              <w:rPr>
                <w:sz w:val="18"/>
                <w:szCs w:val="18"/>
              </w:rPr>
            </w:pPr>
            <w:r w:rsidRPr="008B0C65">
              <w:t>No Change</w:t>
            </w:r>
          </w:p>
        </w:tc>
      </w:tr>
      <w:tr w:rsidR="00C34658" w:rsidRPr="009917C8" w:rsidTr="0025730E">
        <w:trPr>
          <w:trHeight w:val="300"/>
          <w:jc w:val="center"/>
        </w:trPr>
        <w:tc>
          <w:tcPr>
            <w:tcW w:w="278" w:type="pct"/>
            <w:shd w:val="clear" w:color="auto" w:fill="auto"/>
            <w:noWrap/>
            <w:vAlign w:val="center"/>
            <w:hideMark/>
          </w:tcPr>
          <w:p w:rsidR="00337C98" w:rsidRDefault="00C34658" w:rsidP="00337C98">
            <w:pPr>
              <w:spacing w:before="0" w:line="240" w:lineRule="auto"/>
              <w:jc w:val="center"/>
              <w:rPr>
                <w:sz w:val="18"/>
                <w:szCs w:val="18"/>
              </w:rPr>
            </w:pPr>
            <w:r w:rsidRPr="008B0C65">
              <w:t>5</w:t>
            </w:r>
          </w:p>
        </w:tc>
        <w:tc>
          <w:tcPr>
            <w:tcW w:w="1589" w:type="pct"/>
            <w:shd w:val="clear" w:color="auto" w:fill="auto"/>
            <w:noWrap/>
            <w:vAlign w:val="center"/>
            <w:hideMark/>
          </w:tcPr>
          <w:p w:rsidR="00337C98" w:rsidRDefault="00C34658" w:rsidP="00337C98">
            <w:pPr>
              <w:spacing w:before="0" w:line="240" w:lineRule="auto"/>
              <w:jc w:val="left"/>
              <w:rPr>
                <w:sz w:val="18"/>
                <w:szCs w:val="18"/>
              </w:rPr>
            </w:pPr>
            <w:r w:rsidRPr="008B0C65">
              <w:t>LMV5: Private Tube Wells (Rural)</w:t>
            </w:r>
          </w:p>
        </w:tc>
        <w:tc>
          <w:tcPr>
            <w:tcW w:w="1403" w:type="pct"/>
            <w:shd w:val="clear" w:color="auto" w:fill="auto"/>
            <w:noWrap/>
            <w:vAlign w:val="center"/>
            <w:hideMark/>
          </w:tcPr>
          <w:p w:rsidR="00337C98" w:rsidRDefault="00C34658" w:rsidP="00337C98">
            <w:pPr>
              <w:spacing w:before="0" w:line="240" w:lineRule="auto"/>
              <w:jc w:val="center"/>
              <w:rPr>
                <w:sz w:val="18"/>
                <w:szCs w:val="18"/>
              </w:rPr>
            </w:pPr>
            <w:r w:rsidRPr="008B0C65">
              <w:t>91.66 kWh / kW / month</w:t>
            </w:r>
          </w:p>
        </w:tc>
        <w:tc>
          <w:tcPr>
            <w:tcW w:w="1730" w:type="pct"/>
            <w:shd w:val="clear" w:color="auto" w:fill="auto"/>
            <w:noWrap/>
            <w:vAlign w:val="center"/>
            <w:hideMark/>
          </w:tcPr>
          <w:p w:rsidR="00337C98" w:rsidRDefault="00C34658" w:rsidP="00337C98">
            <w:pPr>
              <w:spacing w:before="0" w:line="240" w:lineRule="auto"/>
              <w:jc w:val="center"/>
              <w:rPr>
                <w:sz w:val="18"/>
                <w:szCs w:val="18"/>
              </w:rPr>
            </w:pPr>
            <w:r w:rsidRPr="008B0C65">
              <w:t xml:space="preserve">137.49 kWh / kW / month </w:t>
            </w:r>
          </w:p>
        </w:tc>
      </w:tr>
      <w:tr w:rsidR="00C34658" w:rsidRPr="00C60AD1" w:rsidTr="0025730E">
        <w:trPr>
          <w:trHeight w:val="300"/>
          <w:jc w:val="center"/>
        </w:trPr>
        <w:tc>
          <w:tcPr>
            <w:tcW w:w="278" w:type="pct"/>
            <w:shd w:val="clear" w:color="auto" w:fill="auto"/>
            <w:noWrap/>
            <w:vAlign w:val="center"/>
            <w:hideMark/>
          </w:tcPr>
          <w:p w:rsidR="00337C98" w:rsidRDefault="00C34658" w:rsidP="00337C98">
            <w:pPr>
              <w:spacing w:before="0" w:line="240" w:lineRule="auto"/>
              <w:jc w:val="center"/>
              <w:rPr>
                <w:sz w:val="18"/>
                <w:szCs w:val="18"/>
              </w:rPr>
            </w:pPr>
            <w:r w:rsidRPr="008B0C65">
              <w:t>6</w:t>
            </w:r>
          </w:p>
        </w:tc>
        <w:tc>
          <w:tcPr>
            <w:tcW w:w="1589" w:type="pct"/>
            <w:shd w:val="clear" w:color="auto" w:fill="auto"/>
            <w:noWrap/>
            <w:vAlign w:val="center"/>
            <w:hideMark/>
          </w:tcPr>
          <w:p w:rsidR="00337C98" w:rsidRDefault="00C34658" w:rsidP="00337C98">
            <w:pPr>
              <w:spacing w:before="0" w:line="240" w:lineRule="auto"/>
              <w:jc w:val="left"/>
              <w:rPr>
                <w:sz w:val="18"/>
                <w:szCs w:val="18"/>
              </w:rPr>
            </w:pPr>
            <w:r w:rsidRPr="008B0C65">
              <w:t xml:space="preserve">LMV8: State Tube Wells </w:t>
            </w:r>
            <w:r w:rsidRPr="008B0C65">
              <w:lastRenderedPageBreak/>
              <w:t>(Rural)</w:t>
            </w:r>
          </w:p>
        </w:tc>
        <w:tc>
          <w:tcPr>
            <w:tcW w:w="1403" w:type="pct"/>
            <w:shd w:val="clear" w:color="auto" w:fill="auto"/>
            <w:noWrap/>
            <w:vAlign w:val="center"/>
            <w:hideMark/>
          </w:tcPr>
          <w:p w:rsidR="00337C98" w:rsidRDefault="00C34658" w:rsidP="00337C98">
            <w:pPr>
              <w:spacing w:before="0" w:line="240" w:lineRule="auto"/>
              <w:jc w:val="center"/>
              <w:rPr>
                <w:sz w:val="18"/>
                <w:szCs w:val="18"/>
              </w:rPr>
            </w:pPr>
            <w:r w:rsidRPr="008B0C65">
              <w:lastRenderedPageBreak/>
              <w:t xml:space="preserve">3562.35 kWh / pump / </w:t>
            </w:r>
            <w:r w:rsidRPr="008B0C65">
              <w:lastRenderedPageBreak/>
              <w:t>month</w:t>
            </w:r>
          </w:p>
        </w:tc>
        <w:tc>
          <w:tcPr>
            <w:tcW w:w="1730" w:type="pct"/>
            <w:shd w:val="clear" w:color="auto" w:fill="auto"/>
            <w:noWrap/>
            <w:vAlign w:val="center"/>
            <w:hideMark/>
          </w:tcPr>
          <w:p w:rsidR="00337C98" w:rsidRDefault="00C34658" w:rsidP="00337C98">
            <w:pPr>
              <w:spacing w:before="0" w:line="240" w:lineRule="auto"/>
              <w:jc w:val="center"/>
              <w:rPr>
                <w:sz w:val="18"/>
                <w:szCs w:val="18"/>
              </w:rPr>
            </w:pPr>
            <w:r w:rsidRPr="008B0C65">
              <w:lastRenderedPageBreak/>
              <w:t>5343.53 kWh / pump / month</w:t>
            </w:r>
          </w:p>
        </w:tc>
      </w:tr>
    </w:tbl>
    <w:p w:rsidR="00D5771F" w:rsidRDefault="00D5771F">
      <w:pPr>
        <w:pStyle w:val="Heading3"/>
        <w:numPr>
          <w:ilvl w:val="0"/>
          <w:numId w:val="0"/>
        </w:numPr>
        <w:tabs>
          <w:tab w:val="clear" w:pos="720"/>
        </w:tabs>
        <w:spacing w:before="0" w:after="240" w:line="240" w:lineRule="auto"/>
      </w:pPr>
    </w:p>
    <w:p w:rsidR="00D5771F" w:rsidRDefault="00E34329">
      <w:pPr>
        <w:pStyle w:val="Heading3"/>
        <w:tabs>
          <w:tab w:val="clear" w:pos="720"/>
        </w:tabs>
        <w:spacing w:after="240"/>
        <w:ind w:left="993" w:hanging="993"/>
      </w:pPr>
      <w:r w:rsidRPr="00E34329">
        <w:t>As regards consumption norms to be considered for assessment of consumption of unmetered categories, Regulation 3.1 (3) of the Distribution Tariff Regulations, 2006 specifies as follows:</w:t>
      </w:r>
    </w:p>
    <w:p w:rsidR="00C34658" w:rsidRPr="00C2017B" w:rsidRDefault="00E34329" w:rsidP="00C34658">
      <w:pPr>
        <w:pStyle w:val="Heading3"/>
        <w:numPr>
          <w:ilvl w:val="0"/>
          <w:numId w:val="0"/>
        </w:numPr>
        <w:ind w:left="1440"/>
        <w:rPr>
          <w:i/>
        </w:rPr>
      </w:pPr>
      <w:r w:rsidRPr="00E34329">
        <w:rPr>
          <w:i/>
        </w:rPr>
        <w:t>“3. As per the Tariff Policy issued by the Central Government metering is to be completed by March 2007, however, based on ground realities if the distribution licensee seeks exemption towards its metering obligation for any particular category of consumers it must provide the Commission revised norms, based on fresh studies, for assessment of consumption for these categories. Sales forecast for such un-metered categories shall be validated with norms approved by the Commission on the basis of above study carried out by the licensee.”</w:t>
      </w:r>
    </w:p>
    <w:p w:rsidR="00D5771F" w:rsidRDefault="00E34329">
      <w:pPr>
        <w:pStyle w:val="Heading3"/>
        <w:tabs>
          <w:tab w:val="clear" w:pos="720"/>
        </w:tabs>
        <w:spacing w:after="240"/>
        <w:ind w:left="993" w:hanging="993"/>
      </w:pPr>
      <w:r w:rsidRPr="00E34329">
        <w:t>Also, the Hon’ble ATE in its Judgment dated November 28, 2013 in Appeal No. 239 of 2012 has ruled as follows:</w:t>
      </w:r>
    </w:p>
    <w:p w:rsidR="00C34658" w:rsidRPr="00C2017B" w:rsidRDefault="00E34329" w:rsidP="00C34658">
      <w:pPr>
        <w:pStyle w:val="Heading3"/>
        <w:numPr>
          <w:ilvl w:val="0"/>
          <w:numId w:val="0"/>
        </w:numPr>
        <w:ind w:left="1440"/>
        <w:rPr>
          <w:i/>
        </w:rPr>
      </w:pPr>
      <w:r w:rsidRPr="00E34329">
        <w:rPr>
          <w:i/>
        </w:rPr>
        <w:t>“The issue of unmetered supply is not restricted only to the State of Uttar Pradesh but is prevalent in every State throughout the country especially in the agriculture sector. The Commission has to adopt some normative value for estimation of the unmetered supply. In the absence of any scientific study made available to the Commission, the Commission has adopted the norms available at that relevant time. The Commission had been directing the distribution licensees to carry out study done for accurate estimation of consumption by unmetered supply. We accept the submissions made by the Commission and do not intend to interfere with the impugned order at present. However, we feel that the important issue cannot be postponed indefinitely at the hands of distribution licensees. We direct the Commission to get the required study done by itself through some expert consultant in a fixed time frame.”</w:t>
      </w:r>
    </w:p>
    <w:p w:rsidR="00D5771F" w:rsidRDefault="00E34329">
      <w:pPr>
        <w:pStyle w:val="Heading3"/>
        <w:tabs>
          <w:tab w:val="clear" w:pos="720"/>
        </w:tabs>
        <w:spacing w:after="240"/>
        <w:ind w:left="993" w:hanging="993"/>
      </w:pPr>
      <w:r w:rsidRPr="00E34329">
        <w:t>With regard to the consumption norms, the Commission in its Tariff Order for FY 2014-15 dated October 1, 2014 has specified as under:</w:t>
      </w:r>
    </w:p>
    <w:p w:rsidR="00C34658" w:rsidRPr="00C2017B" w:rsidRDefault="00E34329" w:rsidP="00C34658">
      <w:pPr>
        <w:pStyle w:val="Heading3"/>
        <w:numPr>
          <w:ilvl w:val="0"/>
          <w:numId w:val="0"/>
        </w:numPr>
        <w:tabs>
          <w:tab w:val="clear" w:pos="720"/>
        </w:tabs>
        <w:spacing w:after="240"/>
        <w:ind w:left="1440"/>
        <w:rPr>
          <w:i/>
        </w:rPr>
      </w:pPr>
      <w:r w:rsidRPr="00E34329">
        <w:rPr>
          <w:i/>
        </w:rPr>
        <w:lastRenderedPageBreak/>
        <w:t>“However, since, the unmetered data submitted by the Distribution Licensees is itself on assessment basis, and does not give the accurate and true picture of the actual unmetered consumption; the data submitted by the Distribution Licensees cannot be the only basis for computation of new consumption norms.”</w:t>
      </w:r>
    </w:p>
    <w:p w:rsidR="00D5771F" w:rsidRDefault="00E34329">
      <w:pPr>
        <w:pStyle w:val="Heading3"/>
        <w:tabs>
          <w:tab w:val="clear" w:pos="720"/>
        </w:tabs>
        <w:spacing w:after="240"/>
        <w:ind w:left="993" w:hanging="993"/>
      </w:pPr>
      <w:r w:rsidRPr="00E34329">
        <w:t>In view of the above, to provide accurate and effective consumption norms the Commission in its Tariff Order for FY 2014-15 dated October 1, 2014 has directed the Licensees to conduct a detailed study. The relevant extract of the aforesaid Order is depicted below:</w:t>
      </w:r>
    </w:p>
    <w:p w:rsidR="00C34658" w:rsidRPr="00C2017B" w:rsidRDefault="00E34329" w:rsidP="00C34658">
      <w:pPr>
        <w:pStyle w:val="Heading3"/>
        <w:numPr>
          <w:ilvl w:val="0"/>
          <w:numId w:val="0"/>
        </w:numPr>
        <w:tabs>
          <w:tab w:val="clear" w:pos="720"/>
        </w:tabs>
        <w:spacing w:after="240"/>
        <w:ind w:left="1440"/>
        <w:rPr>
          <w:i/>
        </w:rPr>
      </w:pPr>
      <w:r w:rsidRPr="00E34329">
        <w:rPr>
          <w:i/>
        </w:rPr>
        <w:t>“Hence, the Commission is of the opinion that revising the consumption norms without validating the same based on detailed and appropriate study, would not be appropriate. Further, the Distribution Licensees / UPPCL in the meeting on this issue held with the Commission on 28</w:t>
      </w:r>
      <w:r w:rsidRPr="00E34329">
        <w:rPr>
          <w:i/>
          <w:vertAlign w:val="superscript"/>
        </w:rPr>
        <w:t>th</w:t>
      </w:r>
      <w:r w:rsidRPr="00E34329">
        <w:rPr>
          <w:i/>
        </w:rPr>
        <w:t xml:space="preserve"> April, 2014 in response to the In-House Paper prepared by the Commission, have agreed to conduct a study to assess the actual consumption norms in accordance with the Regulations.</w:t>
      </w:r>
    </w:p>
    <w:p w:rsidR="00C34658" w:rsidRPr="00C2017B" w:rsidRDefault="00E34329" w:rsidP="00C34658">
      <w:pPr>
        <w:pStyle w:val="Heading3"/>
        <w:numPr>
          <w:ilvl w:val="0"/>
          <w:numId w:val="0"/>
        </w:numPr>
        <w:tabs>
          <w:tab w:val="clear" w:pos="720"/>
        </w:tabs>
        <w:spacing w:after="240"/>
        <w:ind w:left="1440"/>
        <w:rPr>
          <w:i/>
        </w:rPr>
      </w:pPr>
      <w:bookmarkStart w:id="391" w:name="_Ref399524004"/>
      <w:r w:rsidRPr="00E34329">
        <w:rPr>
          <w:i/>
        </w:rPr>
        <w:t>In view of the above, to provide accurate and effective consumption norms, the Commission directs the Petitioners to conduct a detailed study, which should include the following:</w:t>
      </w:r>
      <w:bookmarkEnd w:id="391"/>
    </w:p>
    <w:p w:rsidR="00C34658" w:rsidRPr="00C2017B" w:rsidRDefault="00E34329" w:rsidP="00C34658">
      <w:pPr>
        <w:pStyle w:val="Heading3"/>
        <w:numPr>
          <w:ilvl w:val="0"/>
          <w:numId w:val="17"/>
        </w:numPr>
        <w:tabs>
          <w:tab w:val="clear" w:pos="720"/>
        </w:tabs>
        <w:spacing w:before="0"/>
        <w:ind w:left="2160"/>
        <w:rPr>
          <w:i/>
        </w:rPr>
      </w:pPr>
      <w:r w:rsidRPr="00E34329">
        <w:rPr>
          <w:i/>
        </w:rPr>
        <w:t>Review of Methodology adopted by Distribution Licensees for assessment of consumption norms for unmetered consumers.</w:t>
      </w:r>
    </w:p>
    <w:p w:rsidR="00C34658" w:rsidRPr="00C2017B" w:rsidRDefault="00E34329" w:rsidP="00C34658">
      <w:pPr>
        <w:pStyle w:val="Heading3"/>
        <w:numPr>
          <w:ilvl w:val="0"/>
          <w:numId w:val="17"/>
        </w:numPr>
        <w:tabs>
          <w:tab w:val="clear" w:pos="720"/>
        </w:tabs>
        <w:spacing w:before="0"/>
        <w:ind w:left="2160"/>
        <w:rPr>
          <w:i/>
        </w:rPr>
      </w:pPr>
      <w:r w:rsidRPr="00E34329">
        <w:rPr>
          <w:i/>
        </w:rPr>
        <w:t>Identification and finalization of sample size of unmetered consumers for installation of meters by Distribution Licensee.</w:t>
      </w:r>
    </w:p>
    <w:p w:rsidR="00C34658" w:rsidRPr="00C2017B" w:rsidRDefault="00E34329" w:rsidP="00C34658">
      <w:pPr>
        <w:pStyle w:val="Heading3"/>
        <w:numPr>
          <w:ilvl w:val="0"/>
          <w:numId w:val="17"/>
        </w:numPr>
        <w:tabs>
          <w:tab w:val="clear" w:pos="720"/>
        </w:tabs>
        <w:spacing w:before="0"/>
        <w:ind w:left="2160"/>
      </w:pPr>
      <w:r w:rsidRPr="00E34329">
        <w:rPr>
          <w:i/>
        </w:rPr>
        <w:t>Collection and analysis of data like Distribution Sub-division wise number of consumers where sample meters have been installed, month wise load of each such consumer maintained in the Distribution Sub-divisions, month-wise consumption readings of each sample meter along with number of supply hours per month, total connected load - division wise and month wise, etc.”</w:t>
      </w:r>
    </w:p>
    <w:p w:rsidR="00D5771F" w:rsidRDefault="00E34329">
      <w:pPr>
        <w:pStyle w:val="Heading3"/>
        <w:tabs>
          <w:tab w:val="clear" w:pos="720"/>
        </w:tabs>
        <w:spacing w:after="240"/>
        <w:ind w:left="993" w:hanging="993"/>
      </w:pPr>
      <w:r w:rsidRPr="00E34329">
        <w:t xml:space="preserve">Further, in reply to the Commission’s directive to conduct a detailed study to provide accurate and effective consumption norms as per the Uttar Pradesh Electricity Regulatory Commission (Multi Year Distribution Tariff) Regulations, 2014, the Licensee requested for some more time for compliance of the same. </w:t>
      </w:r>
    </w:p>
    <w:p w:rsidR="00D5771F" w:rsidRDefault="00E34329">
      <w:pPr>
        <w:pStyle w:val="Heading3"/>
        <w:tabs>
          <w:tab w:val="clear" w:pos="720"/>
        </w:tabs>
        <w:spacing w:after="240"/>
        <w:ind w:left="993" w:hanging="993"/>
      </w:pPr>
      <w:r w:rsidRPr="00E34329">
        <w:rPr>
          <w:b/>
        </w:rPr>
        <w:lastRenderedPageBreak/>
        <w:t>Hence, the Commission reiterates that the Licensees should adhere to the time line outlined in Uttar Pradesh Electricity Regulatory Commission (Multi Year Distribution Tariff) Regulations, 2014 for conducting a detailed study to provide accurate and effective consumption norms as specified by the Commission in its earlier Orders.</w:t>
      </w:r>
    </w:p>
    <w:p w:rsidR="00D5771F" w:rsidRDefault="00E34329">
      <w:pPr>
        <w:pStyle w:val="Heading3"/>
        <w:tabs>
          <w:tab w:val="clear" w:pos="720"/>
        </w:tabs>
        <w:spacing w:after="240"/>
        <w:ind w:left="993" w:hanging="993"/>
        <w:rPr>
          <w:rFonts w:cstheme="minorHAnsi"/>
        </w:rPr>
      </w:pPr>
      <w:r w:rsidRPr="00E34329">
        <w:rPr>
          <w:rFonts w:cstheme="minorHAnsi"/>
          <w:szCs w:val="24"/>
        </w:rPr>
        <w:t>Further, vide letter No. 83/ PCL/ Revenue dated March 31, 2014, UPPCL submitted the minimum consumption units for billing the consumers with defective meters in urban area as specified below:</w:t>
      </w:r>
    </w:p>
    <w:p w:rsidR="00C34658" w:rsidRPr="001A70F8" w:rsidRDefault="00E34329" w:rsidP="00C34658">
      <w:pPr>
        <w:jc w:val="center"/>
        <w:rPr>
          <w:rFonts w:asciiTheme="minorHAnsi" w:hAnsiTheme="minorHAnsi" w:cstheme="minorHAnsi"/>
          <w:b/>
        </w:rPr>
      </w:pPr>
      <w:bookmarkStart w:id="392" w:name="_Toc419992309"/>
      <w:bookmarkStart w:id="393" w:name="_Toc453367651"/>
      <w:bookmarkStart w:id="394" w:name="_Toc457604019"/>
      <w:r w:rsidRPr="00E34329">
        <w:rPr>
          <w:rFonts w:asciiTheme="minorHAnsi" w:hAnsiTheme="minorHAnsi" w:cs="Calibri"/>
          <w:b/>
          <w:szCs w:val="22"/>
          <w:lang w:val="en-US"/>
        </w:rPr>
        <w:t xml:space="preserve">Table </w:t>
      </w:r>
      <w:r w:rsidR="009741CA" w:rsidRPr="00E34329">
        <w:rPr>
          <w:rFonts w:asciiTheme="minorHAnsi" w:hAnsiTheme="minorHAnsi" w:cs="Calibri"/>
          <w:b/>
          <w:szCs w:val="22"/>
          <w:lang w:val="en-US"/>
        </w:rPr>
        <w:fldChar w:fldCharType="begin"/>
      </w:r>
      <w:r w:rsidRPr="00E34329">
        <w:rPr>
          <w:rFonts w:asciiTheme="minorHAnsi" w:hAnsiTheme="minorHAnsi" w:cs="Calibri"/>
          <w:b/>
          <w:szCs w:val="22"/>
          <w:lang w:val="en-US"/>
        </w:rPr>
        <w:instrText xml:space="preserve"> STYLEREF 1 \s </w:instrText>
      </w:r>
      <w:r w:rsidR="009741CA" w:rsidRPr="00E34329">
        <w:rPr>
          <w:rFonts w:asciiTheme="minorHAnsi" w:hAnsiTheme="minorHAnsi" w:cs="Calibri"/>
          <w:b/>
          <w:szCs w:val="22"/>
          <w:lang w:val="en-US"/>
        </w:rPr>
        <w:fldChar w:fldCharType="separate"/>
      </w:r>
      <w:r w:rsidR="00BA08F0">
        <w:rPr>
          <w:rFonts w:asciiTheme="minorHAnsi" w:hAnsiTheme="minorHAnsi" w:cs="Calibri"/>
          <w:b/>
          <w:noProof/>
          <w:szCs w:val="22"/>
          <w:lang w:val="en-US"/>
        </w:rPr>
        <w:t>5</w:t>
      </w:r>
      <w:r w:rsidR="009741CA" w:rsidRPr="00E34329">
        <w:rPr>
          <w:rFonts w:asciiTheme="minorHAnsi" w:hAnsiTheme="minorHAnsi" w:cs="Calibri"/>
          <w:b/>
          <w:szCs w:val="22"/>
          <w:lang w:val="en-US"/>
        </w:rPr>
        <w:fldChar w:fldCharType="end"/>
      </w:r>
      <w:r w:rsidRPr="00E34329">
        <w:rPr>
          <w:rFonts w:asciiTheme="minorHAnsi" w:hAnsiTheme="minorHAnsi" w:cs="Calibri"/>
          <w:b/>
          <w:szCs w:val="22"/>
          <w:lang w:val="en-US"/>
        </w:rPr>
        <w:noBreakHyphen/>
      </w:r>
      <w:r w:rsidR="009741CA" w:rsidRPr="00E34329">
        <w:rPr>
          <w:rFonts w:asciiTheme="minorHAnsi" w:hAnsiTheme="minorHAnsi" w:cs="Calibri"/>
          <w:b/>
          <w:szCs w:val="22"/>
          <w:lang w:val="en-US"/>
        </w:rPr>
        <w:fldChar w:fldCharType="begin"/>
      </w:r>
      <w:r w:rsidRPr="00E34329">
        <w:rPr>
          <w:rFonts w:asciiTheme="minorHAnsi" w:hAnsiTheme="minorHAnsi" w:cs="Calibri"/>
          <w:b/>
          <w:szCs w:val="22"/>
          <w:lang w:val="en-US"/>
        </w:rPr>
        <w:instrText xml:space="preserve"> SEQ Table \* ARABIC \s 1 </w:instrText>
      </w:r>
      <w:r w:rsidR="009741CA" w:rsidRPr="00E34329">
        <w:rPr>
          <w:rFonts w:asciiTheme="minorHAnsi" w:hAnsiTheme="minorHAnsi" w:cs="Calibri"/>
          <w:b/>
          <w:szCs w:val="22"/>
          <w:lang w:val="en-US"/>
        </w:rPr>
        <w:fldChar w:fldCharType="separate"/>
      </w:r>
      <w:r w:rsidR="00BA08F0">
        <w:rPr>
          <w:rFonts w:asciiTheme="minorHAnsi" w:hAnsiTheme="minorHAnsi" w:cs="Calibri"/>
          <w:b/>
          <w:noProof/>
          <w:szCs w:val="22"/>
          <w:lang w:val="en-US"/>
        </w:rPr>
        <w:t>3</w:t>
      </w:r>
      <w:r w:rsidR="009741CA" w:rsidRPr="00E34329">
        <w:rPr>
          <w:rFonts w:asciiTheme="minorHAnsi" w:hAnsiTheme="minorHAnsi" w:cs="Calibri"/>
          <w:b/>
          <w:szCs w:val="22"/>
          <w:lang w:val="en-US"/>
        </w:rPr>
        <w:fldChar w:fldCharType="end"/>
      </w:r>
      <w:r w:rsidRPr="00E34329">
        <w:rPr>
          <w:rFonts w:asciiTheme="minorHAnsi" w:hAnsiTheme="minorHAnsi" w:cs="Calibri"/>
          <w:b/>
          <w:szCs w:val="22"/>
          <w:lang w:val="en-US"/>
        </w:rPr>
        <w:t>:</w:t>
      </w:r>
      <w:r w:rsidRPr="00E34329">
        <w:rPr>
          <w:rFonts w:asciiTheme="minorHAnsi" w:hAnsiTheme="minorHAnsi" w:cstheme="minorHAnsi"/>
          <w:b/>
        </w:rPr>
        <w:t xml:space="preserve"> CONSUMPTION NORMS IN URBAN AREA SUBMITTED BY UPPCL</w:t>
      </w:r>
      <w:bookmarkEnd w:id="392"/>
      <w:bookmarkEnd w:id="393"/>
      <w:bookmarkEnd w:id="394"/>
    </w:p>
    <w:tbl>
      <w:tblPr>
        <w:tblStyle w:val="TableGrid"/>
        <w:tblW w:w="8232" w:type="dxa"/>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0"/>
        <w:gridCol w:w="4140"/>
        <w:gridCol w:w="3282"/>
      </w:tblGrid>
      <w:tr w:rsidR="00C34658" w:rsidRPr="008334E8" w:rsidTr="0022732D">
        <w:trPr>
          <w:trHeight w:val="125"/>
        </w:trPr>
        <w:tc>
          <w:tcPr>
            <w:tcW w:w="810" w:type="dxa"/>
            <w:shd w:val="clear" w:color="auto" w:fill="DBE5F1" w:themeFill="accent1" w:themeFillTint="33"/>
          </w:tcPr>
          <w:p w:rsidR="00337C98" w:rsidRPr="00337C98" w:rsidRDefault="00337C98" w:rsidP="00337C98">
            <w:pPr>
              <w:spacing w:before="0" w:line="240" w:lineRule="auto"/>
              <w:jc w:val="center"/>
              <w:rPr>
                <w:rFonts w:asciiTheme="minorHAnsi" w:hAnsiTheme="minorHAnsi"/>
                <w:b/>
                <w:sz w:val="22"/>
              </w:rPr>
            </w:pPr>
            <w:r w:rsidRPr="00337C98">
              <w:rPr>
                <w:rFonts w:asciiTheme="minorHAnsi" w:hAnsiTheme="minorHAnsi"/>
                <w:b/>
                <w:sz w:val="22"/>
              </w:rPr>
              <w:t>Sl. No</w:t>
            </w:r>
          </w:p>
        </w:tc>
        <w:tc>
          <w:tcPr>
            <w:tcW w:w="4140" w:type="dxa"/>
            <w:shd w:val="clear" w:color="auto" w:fill="DBE5F1" w:themeFill="accent1" w:themeFillTint="33"/>
          </w:tcPr>
          <w:p w:rsidR="00337C98" w:rsidRPr="00337C98" w:rsidRDefault="00337C98" w:rsidP="00337C98">
            <w:pPr>
              <w:spacing w:before="0" w:line="240" w:lineRule="auto"/>
              <w:jc w:val="center"/>
              <w:rPr>
                <w:rFonts w:asciiTheme="minorHAnsi" w:hAnsiTheme="minorHAnsi"/>
                <w:b/>
                <w:sz w:val="22"/>
              </w:rPr>
            </w:pPr>
            <w:r w:rsidRPr="00337C98">
              <w:rPr>
                <w:rFonts w:asciiTheme="minorHAnsi" w:hAnsiTheme="minorHAnsi"/>
                <w:b/>
                <w:sz w:val="22"/>
              </w:rPr>
              <w:t>Category</w:t>
            </w:r>
          </w:p>
        </w:tc>
        <w:tc>
          <w:tcPr>
            <w:tcW w:w="3282" w:type="dxa"/>
            <w:shd w:val="clear" w:color="auto" w:fill="DBE5F1" w:themeFill="accent1" w:themeFillTint="33"/>
          </w:tcPr>
          <w:p w:rsidR="00337C98" w:rsidRPr="00337C98" w:rsidRDefault="00337C98" w:rsidP="00337C98">
            <w:pPr>
              <w:spacing w:before="0" w:line="240" w:lineRule="auto"/>
              <w:jc w:val="center"/>
              <w:rPr>
                <w:rFonts w:asciiTheme="minorHAnsi" w:hAnsiTheme="minorHAnsi"/>
                <w:b/>
                <w:sz w:val="22"/>
              </w:rPr>
            </w:pPr>
            <w:r w:rsidRPr="00337C98">
              <w:rPr>
                <w:rFonts w:asciiTheme="minorHAnsi" w:hAnsiTheme="minorHAnsi"/>
                <w:b/>
                <w:sz w:val="22"/>
              </w:rPr>
              <w:t>Consumption Assessed</w:t>
            </w:r>
          </w:p>
        </w:tc>
      </w:tr>
      <w:tr w:rsidR="00C34658" w:rsidRPr="008334E8" w:rsidTr="00D55642">
        <w:trPr>
          <w:trHeight w:val="332"/>
        </w:trPr>
        <w:tc>
          <w:tcPr>
            <w:tcW w:w="810" w:type="dxa"/>
            <w:vAlign w:val="center"/>
          </w:tcPr>
          <w:p w:rsidR="00337C98" w:rsidRPr="00337C98" w:rsidRDefault="00337C98" w:rsidP="00337C98">
            <w:pPr>
              <w:spacing w:before="0" w:line="240" w:lineRule="auto"/>
              <w:jc w:val="center"/>
              <w:rPr>
                <w:rFonts w:asciiTheme="minorHAnsi" w:hAnsiTheme="minorHAnsi"/>
                <w:sz w:val="22"/>
              </w:rPr>
            </w:pPr>
            <w:r w:rsidRPr="00337C98">
              <w:rPr>
                <w:rFonts w:asciiTheme="minorHAnsi" w:hAnsiTheme="minorHAnsi"/>
                <w:sz w:val="22"/>
              </w:rPr>
              <w:t>1</w:t>
            </w:r>
          </w:p>
        </w:tc>
        <w:tc>
          <w:tcPr>
            <w:tcW w:w="4140" w:type="dxa"/>
            <w:vAlign w:val="center"/>
          </w:tcPr>
          <w:p w:rsidR="00337C98" w:rsidRPr="00337C98" w:rsidRDefault="00337C98" w:rsidP="00337C98">
            <w:pPr>
              <w:spacing w:before="0" w:line="240" w:lineRule="auto"/>
              <w:rPr>
                <w:rFonts w:asciiTheme="minorHAnsi" w:hAnsiTheme="minorHAnsi"/>
                <w:sz w:val="22"/>
              </w:rPr>
            </w:pPr>
            <w:r w:rsidRPr="00337C98">
              <w:rPr>
                <w:rFonts w:asciiTheme="minorHAnsi" w:hAnsiTheme="minorHAnsi"/>
                <w:sz w:val="22"/>
              </w:rPr>
              <w:t>LMV-1: Domestic</w:t>
            </w:r>
          </w:p>
        </w:tc>
        <w:tc>
          <w:tcPr>
            <w:tcW w:w="3282" w:type="dxa"/>
            <w:vAlign w:val="center"/>
          </w:tcPr>
          <w:p w:rsidR="00337C98" w:rsidRPr="00337C98" w:rsidRDefault="00337C98" w:rsidP="00337C98">
            <w:pPr>
              <w:spacing w:before="0" w:line="240" w:lineRule="auto"/>
              <w:jc w:val="center"/>
              <w:rPr>
                <w:rFonts w:asciiTheme="minorHAnsi" w:hAnsiTheme="minorHAnsi"/>
                <w:sz w:val="22"/>
              </w:rPr>
            </w:pPr>
            <w:r w:rsidRPr="00337C98">
              <w:rPr>
                <w:rFonts w:asciiTheme="minorHAnsi" w:hAnsiTheme="minorHAnsi"/>
                <w:sz w:val="22"/>
              </w:rPr>
              <w:t>155 / kW / Month</w:t>
            </w:r>
          </w:p>
        </w:tc>
      </w:tr>
      <w:tr w:rsidR="00C34658" w:rsidRPr="008334E8" w:rsidTr="00D55642">
        <w:trPr>
          <w:trHeight w:val="341"/>
        </w:trPr>
        <w:tc>
          <w:tcPr>
            <w:tcW w:w="810" w:type="dxa"/>
            <w:vAlign w:val="center"/>
          </w:tcPr>
          <w:p w:rsidR="00337C98" w:rsidRPr="00337C98" w:rsidRDefault="00337C98" w:rsidP="00337C98">
            <w:pPr>
              <w:spacing w:before="0" w:line="240" w:lineRule="auto"/>
              <w:jc w:val="center"/>
              <w:rPr>
                <w:rFonts w:asciiTheme="minorHAnsi" w:hAnsiTheme="minorHAnsi"/>
                <w:sz w:val="22"/>
              </w:rPr>
            </w:pPr>
            <w:r w:rsidRPr="00337C98">
              <w:rPr>
                <w:rFonts w:asciiTheme="minorHAnsi" w:hAnsiTheme="minorHAnsi"/>
                <w:sz w:val="22"/>
              </w:rPr>
              <w:t>2</w:t>
            </w:r>
          </w:p>
        </w:tc>
        <w:tc>
          <w:tcPr>
            <w:tcW w:w="4140" w:type="dxa"/>
            <w:vAlign w:val="center"/>
          </w:tcPr>
          <w:p w:rsidR="00337C98" w:rsidRPr="00337C98" w:rsidRDefault="00337C98" w:rsidP="00337C98">
            <w:pPr>
              <w:spacing w:before="0" w:line="240" w:lineRule="auto"/>
              <w:rPr>
                <w:rFonts w:asciiTheme="minorHAnsi" w:hAnsiTheme="minorHAnsi"/>
                <w:sz w:val="22"/>
              </w:rPr>
            </w:pPr>
            <w:r w:rsidRPr="00337C98">
              <w:rPr>
                <w:rFonts w:asciiTheme="minorHAnsi" w:hAnsiTheme="minorHAnsi"/>
                <w:sz w:val="22"/>
              </w:rPr>
              <w:t>LMV-2: Non-Domestic</w:t>
            </w:r>
          </w:p>
        </w:tc>
        <w:tc>
          <w:tcPr>
            <w:tcW w:w="3282" w:type="dxa"/>
            <w:vAlign w:val="center"/>
          </w:tcPr>
          <w:p w:rsidR="00337C98" w:rsidRPr="00337C98" w:rsidRDefault="00337C98" w:rsidP="00337C98">
            <w:pPr>
              <w:spacing w:before="0" w:line="240" w:lineRule="auto"/>
              <w:jc w:val="center"/>
              <w:rPr>
                <w:rFonts w:asciiTheme="minorHAnsi" w:hAnsiTheme="minorHAnsi"/>
                <w:sz w:val="22"/>
              </w:rPr>
            </w:pPr>
            <w:r w:rsidRPr="00337C98">
              <w:rPr>
                <w:rFonts w:asciiTheme="minorHAnsi" w:hAnsiTheme="minorHAnsi"/>
                <w:sz w:val="22"/>
              </w:rPr>
              <w:t>260 / kW / Month</w:t>
            </w:r>
          </w:p>
        </w:tc>
      </w:tr>
      <w:tr w:rsidR="00C34658" w:rsidRPr="008334E8" w:rsidTr="00D55642">
        <w:trPr>
          <w:trHeight w:val="350"/>
        </w:trPr>
        <w:tc>
          <w:tcPr>
            <w:tcW w:w="810" w:type="dxa"/>
            <w:vAlign w:val="center"/>
          </w:tcPr>
          <w:p w:rsidR="00337C98" w:rsidRPr="00337C98" w:rsidRDefault="00337C98" w:rsidP="00337C98">
            <w:pPr>
              <w:spacing w:before="0" w:line="240" w:lineRule="auto"/>
              <w:jc w:val="center"/>
              <w:rPr>
                <w:rFonts w:asciiTheme="minorHAnsi" w:hAnsiTheme="minorHAnsi"/>
                <w:sz w:val="22"/>
              </w:rPr>
            </w:pPr>
            <w:r w:rsidRPr="00337C98">
              <w:rPr>
                <w:rFonts w:asciiTheme="minorHAnsi" w:hAnsiTheme="minorHAnsi"/>
                <w:sz w:val="22"/>
              </w:rPr>
              <w:t>3</w:t>
            </w:r>
          </w:p>
        </w:tc>
        <w:tc>
          <w:tcPr>
            <w:tcW w:w="4140" w:type="dxa"/>
            <w:vAlign w:val="center"/>
          </w:tcPr>
          <w:p w:rsidR="00337C98" w:rsidRPr="00337C98" w:rsidRDefault="00337C98" w:rsidP="00337C98">
            <w:pPr>
              <w:spacing w:before="0" w:line="240" w:lineRule="auto"/>
              <w:rPr>
                <w:rFonts w:asciiTheme="minorHAnsi" w:hAnsiTheme="minorHAnsi"/>
                <w:sz w:val="22"/>
              </w:rPr>
            </w:pPr>
            <w:r w:rsidRPr="00337C98">
              <w:rPr>
                <w:rFonts w:asciiTheme="minorHAnsi" w:hAnsiTheme="minorHAnsi"/>
                <w:sz w:val="22"/>
              </w:rPr>
              <w:t>LMV-6: Small &amp;Medium power</w:t>
            </w:r>
          </w:p>
        </w:tc>
        <w:tc>
          <w:tcPr>
            <w:tcW w:w="3282" w:type="dxa"/>
            <w:vAlign w:val="center"/>
          </w:tcPr>
          <w:p w:rsidR="00337C98" w:rsidRPr="00337C98" w:rsidRDefault="00337C98" w:rsidP="00337C98">
            <w:pPr>
              <w:spacing w:before="0" w:line="240" w:lineRule="auto"/>
              <w:jc w:val="center"/>
              <w:rPr>
                <w:rFonts w:asciiTheme="minorHAnsi" w:hAnsiTheme="minorHAnsi"/>
                <w:sz w:val="22"/>
              </w:rPr>
            </w:pPr>
            <w:r w:rsidRPr="00337C98">
              <w:rPr>
                <w:rFonts w:asciiTheme="minorHAnsi" w:hAnsiTheme="minorHAnsi"/>
                <w:sz w:val="22"/>
              </w:rPr>
              <w:t>260 / kW / Month</w:t>
            </w:r>
          </w:p>
        </w:tc>
      </w:tr>
    </w:tbl>
    <w:p w:rsidR="00337C98" w:rsidRDefault="00337C98" w:rsidP="00337C98">
      <w:pPr>
        <w:pStyle w:val="Heading3"/>
        <w:numPr>
          <w:ilvl w:val="0"/>
          <w:numId w:val="0"/>
        </w:numPr>
        <w:tabs>
          <w:tab w:val="clear" w:pos="720"/>
        </w:tabs>
        <w:spacing w:before="0"/>
        <w:ind w:left="993"/>
        <w:rPr>
          <w:rFonts w:asciiTheme="minorHAnsi" w:hAnsiTheme="minorHAnsi"/>
        </w:rPr>
      </w:pPr>
    </w:p>
    <w:p w:rsidR="00D5771F" w:rsidRDefault="00E34329">
      <w:pPr>
        <w:pStyle w:val="Heading3"/>
        <w:tabs>
          <w:tab w:val="clear" w:pos="720"/>
        </w:tabs>
        <w:spacing w:after="240"/>
        <w:ind w:left="993" w:hanging="993"/>
      </w:pPr>
      <w:r w:rsidRPr="00E34329">
        <w:t xml:space="preserve">The Commission passed Suo Moto Order on May 11, 2015 in the matter of provisional billing in case of Defective meters and Normative Consumption for unmetered Consumer wherein the Commission has directed the Licensees to explain as to why revised consumption norms have been issued inspite of the specific instruction in the Tariff Order for FY 2014-15 to conduct a detailed study to provide accurate and effective consumption norms. Further, in the aforesaid Order the Commission has also directed the Distribution Licensees to submit their proposal regarding the Normative Consumption for unmetered consumers.   </w:t>
      </w:r>
    </w:p>
    <w:p w:rsidR="00D5771F" w:rsidRDefault="00E34329">
      <w:pPr>
        <w:pStyle w:val="Heading3"/>
        <w:tabs>
          <w:tab w:val="clear" w:pos="720"/>
        </w:tabs>
        <w:spacing w:after="240"/>
        <w:ind w:left="993" w:hanging="993"/>
      </w:pPr>
      <w:r w:rsidRPr="00E34329">
        <w:t xml:space="preserve">In the above matter the Commission has passed another Order on May 29, 2015 directing the Licensee to use the normative consumption billing method for defective meters as per the provisions specified in the Electricity Supply Code 2005 and with regard to the study for assessment of metered and unmetered consumers, </w:t>
      </w:r>
      <w:r w:rsidRPr="00E34329">
        <w:rPr>
          <w:rFonts w:cs="Calibri"/>
        </w:rPr>
        <w:t>the Commission</w:t>
      </w:r>
      <w:r w:rsidRPr="00E34329">
        <w:t xml:space="preserve"> directed the Licensees to complete the study </w:t>
      </w:r>
      <w:r w:rsidRPr="00E34329">
        <w:rPr>
          <w:rFonts w:cs="Calibri"/>
        </w:rPr>
        <w:t>adhering to the stipulated timeframe as specified in UPERC (Multi Year Distribution Tariff) Regulations, 2014.</w:t>
      </w:r>
    </w:p>
    <w:p w:rsidR="00D5771F" w:rsidRDefault="00E34329">
      <w:pPr>
        <w:pStyle w:val="Heading3"/>
        <w:tabs>
          <w:tab w:val="clear" w:pos="720"/>
        </w:tabs>
        <w:spacing w:after="240"/>
        <w:ind w:left="993" w:hanging="993"/>
      </w:pPr>
      <w:r w:rsidRPr="00E34329">
        <w:t>Further, in the aforesaid Order, the Commission has also directed the Licensees that before changing / revising any consumption norms, prior approval of the Commission must be taken by the Licensees in future.</w:t>
      </w:r>
    </w:p>
    <w:p w:rsidR="00D5771F" w:rsidRDefault="00E34329">
      <w:pPr>
        <w:pStyle w:val="Heading3"/>
        <w:tabs>
          <w:tab w:val="clear" w:pos="720"/>
        </w:tabs>
        <w:spacing w:after="240"/>
        <w:ind w:left="993" w:hanging="993"/>
      </w:pPr>
      <w:r w:rsidRPr="00E34329">
        <w:lastRenderedPageBreak/>
        <w:t>In this regard, for the present Order, the Commission has estimated the sales for unmetered categories for FY 2016-17 by multiplying the consumption norms as per UPPCL Orders No. 2649-CUR/L dated 20</w:t>
      </w:r>
      <w:r w:rsidRPr="00E34329">
        <w:rPr>
          <w:vertAlign w:val="superscript"/>
        </w:rPr>
        <w:t>th</w:t>
      </w:r>
      <w:r w:rsidRPr="00E34329">
        <w:t xml:space="preserve"> July, 2001 and 165 CUR-2/ R-3 dated February 14, 2014 with the appropriate consumption parameter (connected load or number of consumers).</w:t>
      </w:r>
    </w:p>
    <w:p w:rsidR="00D5771F" w:rsidRDefault="00E34329">
      <w:pPr>
        <w:pStyle w:val="Heading3"/>
        <w:tabs>
          <w:tab w:val="clear" w:pos="720"/>
        </w:tabs>
        <w:spacing w:after="240"/>
        <w:ind w:left="993" w:hanging="993"/>
      </w:pPr>
      <w:r w:rsidRPr="00E34329">
        <w:t>Further, the Licensees in its ARR / Tariff Petition for FY 2016-17 have submitted that they have accounted the number of hours of supply / load shedding in different areas to estimate the sales for FY 2016-17. The Petitioner in its Petition has projected the hours of supply for various areas as specified below:</w:t>
      </w:r>
    </w:p>
    <w:p w:rsidR="00C34658" w:rsidRPr="00466E53" w:rsidRDefault="006C63AF" w:rsidP="00C34658">
      <w:pPr>
        <w:pStyle w:val="Heading3"/>
        <w:numPr>
          <w:ilvl w:val="0"/>
          <w:numId w:val="0"/>
        </w:numPr>
        <w:tabs>
          <w:tab w:val="clear" w:pos="720"/>
        </w:tabs>
        <w:spacing w:before="0"/>
        <w:ind w:left="993"/>
        <w:jc w:val="center"/>
        <w:rPr>
          <w:rFonts w:asciiTheme="minorHAnsi" w:hAnsiTheme="minorHAnsi"/>
          <w:b/>
          <w:sz w:val="22"/>
        </w:rPr>
      </w:pPr>
      <w:bookmarkStart w:id="395" w:name="_Toc453367652"/>
      <w:bookmarkStart w:id="396" w:name="_Toc457604020"/>
      <w:r w:rsidRPr="006C63AF">
        <w:rPr>
          <w:rFonts w:asciiTheme="minorHAnsi" w:hAnsiTheme="minorHAnsi" w:cs="Calibri"/>
          <w:b/>
          <w:sz w:val="22"/>
          <w:szCs w:val="22"/>
          <w:lang w:val="en-US"/>
        </w:rPr>
        <w:t xml:space="preserve">Table </w:t>
      </w:r>
      <w:r w:rsidR="009741CA" w:rsidRPr="006C63AF">
        <w:rPr>
          <w:rFonts w:asciiTheme="minorHAnsi" w:hAnsiTheme="minorHAnsi" w:cs="Calibri"/>
          <w:b/>
          <w:sz w:val="22"/>
          <w:szCs w:val="22"/>
          <w:lang w:val="en-US"/>
        </w:rPr>
        <w:fldChar w:fldCharType="begin"/>
      </w:r>
      <w:r w:rsidRPr="006C63AF">
        <w:rPr>
          <w:rFonts w:asciiTheme="minorHAnsi" w:hAnsiTheme="minorHAnsi" w:cs="Calibri"/>
          <w:b/>
          <w:sz w:val="22"/>
          <w:szCs w:val="22"/>
          <w:lang w:val="en-US"/>
        </w:rPr>
        <w:instrText xml:space="preserve"> STYLEREF 1 \s </w:instrText>
      </w:r>
      <w:r w:rsidR="009741CA" w:rsidRPr="006C63AF">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6C63AF">
        <w:rPr>
          <w:rFonts w:asciiTheme="minorHAnsi" w:hAnsiTheme="minorHAnsi" w:cs="Calibri"/>
          <w:b/>
          <w:sz w:val="22"/>
          <w:szCs w:val="22"/>
          <w:lang w:val="en-US"/>
        </w:rPr>
        <w:fldChar w:fldCharType="end"/>
      </w:r>
      <w:r w:rsidRPr="006C63AF">
        <w:rPr>
          <w:rFonts w:asciiTheme="minorHAnsi" w:hAnsiTheme="minorHAnsi" w:cs="Calibri"/>
          <w:b/>
          <w:sz w:val="22"/>
          <w:szCs w:val="22"/>
          <w:lang w:val="en-US"/>
        </w:rPr>
        <w:noBreakHyphen/>
      </w:r>
      <w:r w:rsidR="009741CA" w:rsidRPr="006C63AF">
        <w:rPr>
          <w:rFonts w:asciiTheme="minorHAnsi" w:hAnsiTheme="minorHAnsi" w:cs="Calibri"/>
          <w:b/>
          <w:sz w:val="22"/>
          <w:szCs w:val="22"/>
          <w:lang w:val="en-US"/>
        </w:rPr>
        <w:fldChar w:fldCharType="begin"/>
      </w:r>
      <w:r w:rsidRPr="006C63AF">
        <w:rPr>
          <w:rFonts w:asciiTheme="minorHAnsi" w:hAnsiTheme="minorHAnsi" w:cs="Calibri"/>
          <w:b/>
          <w:sz w:val="22"/>
          <w:szCs w:val="22"/>
          <w:lang w:val="en-US"/>
        </w:rPr>
        <w:instrText xml:space="preserve"> SEQ Table \* ARABIC \s 1 </w:instrText>
      </w:r>
      <w:r w:rsidR="009741CA" w:rsidRPr="006C63AF">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4</w:t>
      </w:r>
      <w:r w:rsidR="009741CA" w:rsidRPr="006C63AF">
        <w:rPr>
          <w:rFonts w:asciiTheme="minorHAnsi" w:hAnsiTheme="minorHAnsi" w:cs="Calibri"/>
          <w:b/>
          <w:sz w:val="22"/>
          <w:szCs w:val="22"/>
          <w:lang w:val="en-US"/>
        </w:rPr>
        <w:fldChar w:fldCharType="end"/>
      </w:r>
      <w:r w:rsidRPr="006C63AF">
        <w:rPr>
          <w:rFonts w:asciiTheme="minorHAnsi" w:hAnsiTheme="minorHAnsi" w:cs="Calibri"/>
          <w:b/>
          <w:sz w:val="22"/>
          <w:szCs w:val="22"/>
          <w:lang w:val="en-US"/>
        </w:rPr>
        <w:t xml:space="preserve">: </w:t>
      </w:r>
      <w:r w:rsidRPr="006C63AF">
        <w:rPr>
          <w:rFonts w:asciiTheme="minorHAnsi" w:hAnsiTheme="minorHAnsi"/>
          <w:b/>
          <w:sz w:val="22"/>
        </w:rPr>
        <w:t>PROJECTED HOURS OF SUPPLY AS SUBMITTED BY THE PETITIONER FOR FY 2016-17</w:t>
      </w:r>
      <w:bookmarkEnd w:id="395"/>
      <w:bookmarkEnd w:id="396"/>
    </w:p>
    <w:tbl>
      <w:tblPr>
        <w:tblW w:w="5880" w:type="dxa"/>
        <w:jc w:val="center"/>
        <w:tblInd w:w="-3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412"/>
        <w:gridCol w:w="2672"/>
        <w:gridCol w:w="1796"/>
      </w:tblGrid>
      <w:tr w:rsidR="00C34658" w:rsidRPr="00905DD6" w:rsidTr="00C34658">
        <w:trPr>
          <w:trHeight w:val="469"/>
          <w:jc w:val="center"/>
        </w:trPr>
        <w:tc>
          <w:tcPr>
            <w:tcW w:w="1412" w:type="dxa"/>
            <w:vMerge w:val="restart"/>
            <w:shd w:val="clear" w:color="000000" w:fill="DBE5F1"/>
            <w:noWrap/>
            <w:hideMark/>
          </w:tcPr>
          <w:p w:rsidR="00D5771F" w:rsidRDefault="00E34329">
            <w:pPr>
              <w:spacing w:before="0" w:line="240" w:lineRule="auto"/>
              <w:rPr>
                <w:rFonts w:asciiTheme="minorHAnsi" w:hAnsiTheme="minorHAnsi"/>
                <w:b/>
                <w:sz w:val="22"/>
                <w:szCs w:val="22"/>
              </w:rPr>
            </w:pPr>
            <w:r w:rsidRPr="00E34329">
              <w:rPr>
                <w:rFonts w:asciiTheme="minorHAnsi" w:hAnsiTheme="minorHAnsi"/>
                <w:b/>
                <w:sz w:val="22"/>
                <w:szCs w:val="22"/>
              </w:rPr>
              <w:t>Sl. No.</w:t>
            </w:r>
          </w:p>
        </w:tc>
        <w:tc>
          <w:tcPr>
            <w:tcW w:w="2672" w:type="dxa"/>
            <w:vMerge w:val="restart"/>
            <w:shd w:val="clear" w:color="000000" w:fill="DBE5F1"/>
            <w:noWrap/>
            <w:hideMark/>
          </w:tcPr>
          <w:p w:rsidR="00D5771F" w:rsidRDefault="00E34329">
            <w:pPr>
              <w:spacing w:before="0" w:line="240" w:lineRule="auto"/>
              <w:rPr>
                <w:rFonts w:asciiTheme="minorHAnsi" w:hAnsiTheme="minorHAnsi"/>
                <w:b/>
                <w:sz w:val="22"/>
                <w:szCs w:val="22"/>
              </w:rPr>
            </w:pPr>
            <w:r w:rsidRPr="00E34329">
              <w:rPr>
                <w:rFonts w:asciiTheme="minorHAnsi" w:hAnsiTheme="minorHAnsi"/>
                <w:b/>
                <w:sz w:val="22"/>
                <w:szCs w:val="22"/>
              </w:rPr>
              <w:t>Description</w:t>
            </w:r>
          </w:p>
        </w:tc>
        <w:tc>
          <w:tcPr>
            <w:tcW w:w="1796" w:type="dxa"/>
            <w:vMerge w:val="restart"/>
            <w:shd w:val="clear" w:color="000000" w:fill="DBE5F1"/>
            <w:noWrap/>
            <w:hideMark/>
          </w:tcPr>
          <w:p w:rsidR="00D5771F" w:rsidRDefault="00E34329">
            <w:pPr>
              <w:spacing w:before="0" w:line="240" w:lineRule="auto"/>
              <w:rPr>
                <w:rFonts w:asciiTheme="minorHAnsi" w:hAnsiTheme="minorHAnsi"/>
                <w:b/>
                <w:sz w:val="22"/>
                <w:szCs w:val="22"/>
              </w:rPr>
            </w:pPr>
            <w:r w:rsidRPr="00E34329">
              <w:rPr>
                <w:rFonts w:asciiTheme="minorHAnsi" w:hAnsiTheme="minorHAnsi"/>
                <w:b/>
                <w:sz w:val="22"/>
                <w:szCs w:val="22"/>
              </w:rPr>
              <w:t>FY 2016-17*</w:t>
            </w:r>
          </w:p>
          <w:p w:rsidR="00D5771F" w:rsidRDefault="00E34329">
            <w:pPr>
              <w:spacing w:before="0" w:line="240" w:lineRule="auto"/>
              <w:rPr>
                <w:rFonts w:asciiTheme="minorHAnsi" w:hAnsiTheme="minorHAnsi"/>
                <w:b/>
                <w:sz w:val="22"/>
                <w:szCs w:val="22"/>
              </w:rPr>
            </w:pPr>
            <w:r w:rsidRPr="00E34329">
              <w:rPr>
                <w:rFonts w:asciiTheme="minorHAnsi" w:hAnsiTheme="minorHAnsi"/>
                <w:b/>
                <w:sz w:val="22"/>
                <w:szCs w:val="22"/>
              </w:rPr>
              <w:t>(No. of Hours)</w:t>
            </w:r>
          </w:p>
        </w:tc>
      </w:tr>
      <w:tr w:rsidR="00C34658" w:rsidRPr="00905DD6" w:rsidTr="0022732D">
        <w:trPr>
          <w:trHeight w:val="269"/>
          <w:jc w:val="center"/>
        </w:trPr>
        <w:tc>
          <w:tcPr>
            <w:tcW w:w="1412" w:type="dxa"/>
            <w:vMerge/>
            <w:hideMark/>
          </w:tcPr>
          <w:p w:rsidR="00D5771F" w:rsidRDefault="00D5771F">
            <w:pPr>
              <w:spacing w:before="0" w:line="240" w:lineRule="auto"/>
              <w:rPr>
                <w:rFonts w:asciiTheme="minorHAnsi" w:hAnsiTheme="minorHAnsi"/>
                <w:sz w:val="22"/>
                <w:szCs w:val="22"/>
              </w:rPr>
            </w:pPr>
          </w:p>
        </w:tc>
        <w:tc>
          <w:tcPr>
            <w:tcW w:w="2672" w:type="dxa"/>
            <w:vMerge/>
            <w:hideMark/>
          </w:tcPr>
          <w:p w:rsidR="00D5771F" w:rsidRDefault="00D5771F">
            <w:pPr>
              <w:spacing w:before="0" w:line="240" w:lineRule="auto"/>
              <w:rPr>
                <w:rFonts w:asciiTheme="minorHAnsi" w:hAnsiTheme="minorHAnsi"/>
                <w:sz w:val="22"/>
                <w:szCs w:val="22"/>
              </w:rPr>
            </w:pPr>
          </w:p>
        </w:tc>
        <w:tc>
          <w:tcPr>
            <w:tcW w:w="1796" w:type="dxa"/>
            <w:vMerge/>
            <w:hideMark/>
          </w:tcPr>
          <w:p w:rsidR="00D5771F" w:rsidRDefault="00D5771F">
            <w:pPr>
              <w:spacing w:before="0" w:line="240" w:lineRule="auto"/>
              <w:rPr>
                <w:rFonts w:asciiTheme="minorHAnsi" w:hAnsiTheme="minorHAnsi"/>
                <w:sz w:val="22"/>
                <w:szCs w:val="22"/>
              </w:rPr>
            </w:pPr>
          </w:p>
        </w:tc>
      </w:tr>
      <w:tr w:rsidR="00C34658" w:rsidRPr="00905DD6" w:rsidTr="00FA7055">
        <w:trPr>
          <w:trHeight w:val="289"/>
          <w:jc w:val="center"/>
        </w:trPr>
        <w:tc>
          <w:tcPr>
            <w:tcW w:w="1412" w:type="dxa"/>
            <w:shd w:val="clear" w:color="auto" w:fill="auto"/>
            <w:noWrap/>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1</w:t>
            </w:r>
          </w:p>
        </w:tc>
        <w:tc>
          <w:tcPr>
            <w:tcW w:w="2672" w:type="dxa"/>
            <w:shd w:val="clear" w:color="auto" w:fill="auto"/>
            <w:noWrap/>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Mahanagar – M</w:t>
            </w:r>
          </w:p>
        </w:tc>
        <w:tc>
          <w:tcPr>
            <w:tcW w:w="1796" w:type="dxa"/>
            <w:shd w:val="clear" w:color="auto" w:fill="auto"/>
            <w:noWrap/>
            <w:vAlign w:val="center"/>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24:00</w:t>
            </w:r>
          </w:p>
        </w:tc>
      </w:tr>
      <w:tr w:rsidR="00C34658" w:rsidRPr="00905DD6" w:rsidTr="00FA7055">
        <w:trPr>
          <w:trHeight w:val="289"/>
          <w:jc w:val="center"/>
        </w:trPr>
        <w:tc>
          <w:tcPr>
            <w:tcW w:w="1412" w:type="dxa"/>
            <w:shd w:val="clear" w:color="auto" w:fill="auto"/>
            <w:noWrap/>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2</w:t>
            </w:r>
          </w:p>
        </w:tc>
        <w:tc>
          <w:tcPr>
            <w:tcW w:w="2672" w:type="dxa"/>
            <w:shd w:val="clear" w:color="auto" w:fill="auto"/>
            <w:noWrap/>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District – D</w:t>
            </w:r>
          </w:p>
        </w:tc>
        <w:tc>
          <w:tcPr>
            <w:tcW w:w="1796" w:type="dxa"/>
            <w:shd w:val="clear" w:color="auto" w:fill="auto"/>
            <w:noWrap/>
            <w:vAlign w:val="center"/>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22:00</w:t>
            </w:r>
          </w:p>
        </w:tc>
      </w:tr>
      <w:tr w:rsidR="00C34658" w:rsidRPr="00905DD6" w:rsidTr="00FA7055">
        <w:trPr>
          <w:trHeight w:val="289"/>
          <w:jc w:val="center"/>
        </w:trPr>
        <w:tc>
          <w:tcPr>
            <w:tcW w:w="1412" w:type="dxa"/>
            <w:shd w:val="clear" w:color="auto" w:fill="auto"/>
            <w:noWrap/>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3</w:t>
            </w:r>
          </w:p>
        </w:tc>
        <w:tc>
          <w:tcPr>
            <w:tcW w:w="2672" w:type="dxa"/>
            <w:shd w:val="clear" w:color="auto" w:fill="auto"/>
            <w:noWrap/>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Commissionary – C</w:t>
            </w:r>
          </w:p>
        </w:tc>
        <w:tc>
          <w:tcPr>
            <w:tcW w:w="1796" w:type="dxa"/>
            <w:shd w:val="clear" w:color="auto" w:fill="auto"/>
            <w:noWrap/>
            <w:vAlign w:val="center"/>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24:00</w:t>
            </w:r>
          </w:p>
        </w:tc>
      </w:tr>
      <w:tr w:rsidR="00C34658" w:rsidRPr="00905DD6" w:rsidTr="00FA7055">
        <w:trPr>
          <w:trHeight w:val="289"/>
          <w:jc w:val="center"/>
        </w:trPr>
        <w:tc>
          <w:tcPr>
            <w:tcW w:w="1412" w:type="dxa"/>
            <w:shd w:val="clear" w:color="auto" w:fill="auto"/>
            <w:noWrap/>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4</w:t>
            </w:r>
          </w:p>
        </w:tc>
        <w:tc>
          <w:tcPr>
            <w:tcW w:w="2672" w:type="dxa"/>
            <w:shd w:val="clear" w:color="auto" w:fill="auto"/>
            <w:noWrap/>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Rural – R</w:t>
            </w:r>
          </w:p>
        </w:tc>
        <w:tc>
          <w:tcPr>
            <w:tcW w:w="1796" w:type="dxa"/>
            <w:shd w:val="clear" w:color="auto" w:fill="auto"/>
            <w:noWrap/>
            <w:vAlign w:val="center"/>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16:00</w:t>
            </w:r>
          </w:p>
        </w:tc>
      </w:tr>
      <w:tr w:rsidR="00C34658" w:rsidRPr="00905DD6" w:rsidTr="00FA7055">
        <w:trPr>
          <w:trHeight w:val="242"/>
          <w:jc w:val="center"/>
        </w:trPr>
        <w:tc>
          <w:tcPr>
            <w:tcW w:w="1412" w:type="dxa"/>
            <w:shd w:val="clear" w:color="auto" w:fill="auto"/>
            <w:noWrap/>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5</w:t>
            </w:r>
          </w:p>
        </w:tc>
        <w:tc>
          <w:tcPr>
            <w:tcW w:w="2672" w:type="dxa"/>
            <w:shd w:val="clear" w:color="auto" w:fill="auto"/>
            <w:noWrap/>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Bundelkhand – B</w:t>
            </w:r>
          </w:p>
        </w:tc>
        <w:tc>
          <w:tcPr>
            <w:tcW w:w="1796" w:type="dxa"/>
            <w:shd w:val="clear" w:color="auto" w:fill="auto"/>
            <w:noWrap/>
            <w:vAlign w:val="center"/>
            <w:hideMark/>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22.00</w:t>
            </w:r>
          </w:p>
        </w:tc>
      </w:tr>
    </w:tbl>
    <w:p w:rsidR="00C34658" w:rsidRDefault="00C34658" w:rsidP="00905DD6">
      <w:pPr>
        <w:spacing w:before="0"/>
        <w:ind w:left="547"/>
        <w:jc w:val="left"/>
        <w:rPr>
          <w:rFonts w:cs="Calibri"/>
          <w:i/>
          <w:sz w:val="20"/>
        </w:rPr>
      </w:pPr>
      <w:r w:rsidRPr="00DE7DF0">
        <w:rPr>
          <w:rFonts w:cs="Calibri"/>
          <w:i/>
          <w:sz w:val="20"/>
        </w:rPr>
        <w:t>* Hours of supply would be increased from October 2016 in view of the increase in generation capacities</w:t>
      </w:r>
    </w:p>
    <w:p w:rsidR="00757B08" w:rsidRDefault="00757B08" w:rsidP="00C34658">
      <w:pPr>
        <w:spacing w:before="0"/>
        <w:ind w:left="547"/>
        <w:jc w:val="left"/>
        <w:rPr>
          <w:b/>
        </w:rPr>
      </w:pPr>
    </w:p>
    <w:p w:rsidR="00D5771F" w:rsidRDefault="00337C98">
      <w:pPr>
        <w:pStyle w:val="Heading3"/>
        <w:tabs>
          <w:tab w:val="clear" w:pos="720"/>
        </w:tabs>
        <w:spacing w:after="240"/>
        <w:ind w:left="993" w:hanging="993"/>
      </w:pPr>
      <w:r w:rsidRPr="00337C98">
        <w:rPr>
          <w:b/>
        </w:rPr>
        <w:t>The Commission feels that the tariff design should be linked to number of hours of supply. The Commission, therefore, directs the Petitioner to submit a proposal for “Rate Schedule” linked to number of hours of supply while filing of Petition for FY 2017-18</w:t>
      </w:r>
      <w:r w:rsidR="00E34329" w:rsidRPr="00E34329">
        <w:t>.</w:t>
      </w:r>
    </w:p>
    <w:p w:rsidR="00D5771F" w:rsidRDefault="00E34329">
      <w:pPr>
        <w:pStyle w:val="Heading3"/>
        <w:tabs>
          <w:tab w:val="clear" w:pos="720"/>
        </w:tabs>
        <w:spacing w:after="240"/>
        <w:ind w:left="993" w:hanging="993"/>
        <w:rPr>
          <w:rFonts w:asciiTheme="minorHAnsi" w:hAnsiTheme="minorHAnsi"/>
        </w:rPr>
      </w:pPr>
      <w:r w:rsidRPr="00E34329">
        <w:t xml:space="preserve">The Commission has observed that the Petitioner has projected increase in number of consumers and sales for certain unmetered categories for FY 2016-17 over the revised estimates submitted by the Petitioner for FY 2015-16. In the earlier Orders of the Commission it can be observed that the Commission has been taking various steps for reducing number of unmetered consumers thereby facilitating their conversion into metered consumers. Contrary to this the Petitioner has projected increase in number of unmetered consumers and sales for certain categories. The Commission in line with its various initiatives for reducing number of unmetered consumers and sales approves unmetered consumers and sales for FY 2016-17 same at the level of FY 2015-16 (as </w:t>
      </w:r>
      <w:r w:rsidRPr="00E34329">
        <w:lastRenderedPageBreak/>
        <w:t>submitted by the Petitioner) for those specific categories whose sales and number of consumers for the unmetered category has been projected at higher level than FY 2015-16. The Commission has however, for such categories projected the overall sale and number of consumers at the same level as that projected by the Petitioner by adding the differential between the projections of unmetered consumers as projected by the Petitioner and as approved by the Commission to the metered consumers. The Commission hereby approves the consumption parameters for FY 2016-17 as shown in the Tables below. The detailed sub-category wise consumption parameters (historical and approved) have been provided annexed to this Order.</w:t>
      </w:r>
    </w:p>
    <w:p w:rsidR="00C34658" w:rsidRPr="00BB5484" w:rsidRDefault="00E34329" w:rsidP="00C34658">
      <w:pPr>
        <w:spacing w:before="0"/>
        <w:jc w:val="center"/>
        <w:rPr>
          <w:rFonts w:asciiTheme="minorHAnsi" w:hAnsiTheme="minorHAnsi" w:cs="Calibri"/>
          <w:b/>
          <w:sz w:val="22"/>
          <w:szCs w:val="22"/>
          <w:lang w:val="en-US"/>
        </w:rPr>
      </w:pPr>
      <w:bookmarkStart w:id="397" w:name="_Toc357738727"/>
      <w:bookmarkStart w:id="398" w:name="_Toc395657919"/>
      <w:bookmarkStart w:id="399" w:name="_Toc396573970"/>
      <w:bookmarkStart w:id="400" w:name="_Toc399624071"/>
      <w:bookmarkStart w:id="401" w:name="_Toc453367653"/>
      <w:bookmarkStart w:id="402" w:name="_Toc457604021"/>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CONSUMPTION PARAMETERS APPROVED BY THE COMMISSION</w:t>
      </w:r>
      <w:bookmarkEnd w:id="397"/>
      <w:r w:rsidRPr="00E34329">
        <w:rPr>
          <w:rFonts w:asciiTheme="minorHAnsi" w:hAnsiTheme="minorHAnsi" w:cs="Calibri"/>
          <w:b/>
          <w:sz w:val="22"/>
          <w:szCs w:val="22"/>
          <w:lang w:val="en-US"/>
        </w:rPr>
        <w:t xml:space="preserve"> FOR FY </w:t>
      </w:r>
      <w:bookmarkEnd w:id="398"/>
      <w:bookmarkEnd w:id="399"/>
      <w:bookmarkEnd w:id="400"/>
      <w:r w:rsidRPr="00E34329">
        <w:rPr>
          <w:rFonts w:asciiTheme="minorHAnsi" w:hAnsiTheme="minorHAnsi" w:cs="Calibri"/>
          <w:b/>
          <w:sz w:val="22"/>
          <w:szCs w:val="22"/>
          <w:lang w:val="en-US"/>
        </w:rPr>
        <w:t>2016-17</w:t>
      </w:r>
      <w:bookmarkEnd w:id="401"/>
      <w:bookmarkEnd w:id="402"/>
    </w:p>
    <w:tbl>
      <w:tblPr>
        <w:tblW w:w="8794" w:type="dxa"/>
        <w:jc w:val="center"/>
        <w:tblInd w:w="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682"/>
        <w:gridCol w:w="1704"/>
        <w:gridCol w:w="1704"/>
        <w:gridCol w:w="1704"/>
      </w:tblGrid>
      <w:tr w:rsidR="00C34658" w:rsidRPr="008334E8" w:rsidTr="008334E8">
        <w:trPr>
          <w:trHeight w:val="523"/>
          <w:tblHeader/>
          <w:jc w:val="center"/>
        </w:trPr>
        <w:tc>
          <w:tcPr>
            <w:tcW w:w="3682" w:type="dxa"/>
            <w:shd w:val="clear" w:color="000000" w:fill="DCE6F1"/>
            <w:noWrap/>
            <w:hideMark/>
          </w:tcPr>
          <w:p w:rsidR="00603835" w:rsidRPr="00603835" w:rsidRDefault="00337C98">
            <w:pPr>
              <w:spacing w:before="0" w:line="240" w:lineRule="auto"/>
              <w:jc w:val="center"/>
              <w:rPr>
                <w:rFonts w:asciiTheme="minorHAnsi" w:hAnsiTheme="minorHAnsi" w:cs="Calibri"/>
                <w:b/>
                <w:sz w:val="22"/>
                <w:szCs w:val="22"/>
                <w:lang w:val="en-US"/>
              </w:rPr>
            </w:pPr>
            <w:r w:rsidRPr="00337C98">
              <w:rPr>
                <w:rFonts w:asciiTheme="minorHAnsi" w:hAnsiTheme="minorHAnsi"/>
                <w:b/>
                <w:sz w:val="22"/>
                <w:szCs w:val="22"/>
                <w:lang w:val="en-US"/>
              </w:rPr>
              <w:t>Consumer categories</w:t>
            </w:r>
          </w:p>
        </w:tc>
        <w:tc>
          <w:tcPr>
            <w:tcW w:w="1704" w:type="dxa"/>
            <w:shd w:val="clear" w:color="000000" w:fill="DCE6F1"/>
            <w:hideMark/>
          </w:tcPr>
          <w:p w:rsidR="00603835" w:rsidRPr="00603835" w:rsidRDefault="00337C98">
            <w:pPr>
              <w:spacing w:before="0" w:line="240" w:lineRule="auto"/>
              <w:jc w:val="center"/>
              <w:rPr>
                <w:rFonts w:asciiTheme="minorHAnsi" w:hAnsiTheme="minorHAnsi" w:cs="Calibri"/>
                <w:b/>
                <w:sz w:val="22"/>
                <w:szCs w:val="22"/>
                <w:lang w:val="en-US"/>
              </w:rPr>
            </w:pPr>
            <w:r w:rsidRPr="00337C98">
              <w:rPr>
                <w:rFonts w:asciiTheme="minorHAnsi" w:hAnsiTheme="minorHAnsi"/>
                <w:b/>
                <w:sz w:val="22"/>
                <w:szCs w:val="22"/>
                <w:lang w:val="en-US"/>
              </w:rPr>
              <w:t>No. of consumers</w:t>
            </w:r>
          </w:p>
        </w:tc>
        <w:tc>
          <w:tcPr>
            <w:tcW w:w="1704" w:type="dxa"/>
            <w:shd w:val="clear" w:color="000000" w:fill="DCE6F1"/>
            <w:hideMark/>
          </w:tcPr>
          <w:p w:rsidR="00603835" w:rsidRPr="00603835" w:rsidRDefault="00337C98">
            <w:pPr>
              <w:spacing w:before="0" w:line="240" w:lineRule="auto"/>
              <w:jc w:val="center"/>
              <w:rPr>
                <w:rFonts w:asciiTheme="minorHAnsi" w:hAnsiTheme="minorHAnsi" w:cs="Calibri"/>
                <w:b/>
                <w:sz w:val="22"/>
                <w:szCs w:val="22"/>
                <w:lang w:val="en-US"/>
              </w:rPr>
            </w:pPr>
            <w:r w:rsidRPr="00337C98">
              <w:rPr>
                <w:rFonts w:asciiTheme="minorHAnsi" w:hAnsiTheme="minorHAnsi"/>
                <w:b/>
                <w:sz w:val="22"/>
                <w:szCs w:val="22"/>
                <w:lang w:val="en-US"/>
              </w:rPr>
              <w:t>Connected load (kW)</w:t>
            </w:r>
          </w:p>
        </w:tc>
        <w:tc>
          <w:tcPr>
            <w:tcW w:w="1704" w:type="dxa"/>
            <w:shd w:val="clear" w:color="000000" w:fill="DCE6F1"/>
            <w:hideMark/>
          </w:tcPr>
          <w:p w:rsidR="00603835" w:rsidRPr="00603835" w:rsidRDefault="00337C98">
            <w:pPr>
              <w:spacing w:before="0" w:line="240" w:lineRule="auto"/>
              <w:jc w:val="center"/>
              <w:rPr>
                <w:rFonts w:asciiTheme="minorHAnsi" w:hAnsiTheme="minorHAnsi" w:cs="Calibri"/>
                <w:b/>
                <w:sz w:val="22"/>
                <w:szCs w:val="22"/>
                <w:lang w:val="en-US"/>
              </w:rPr>
            </w:pPr>
            <w:r w:rsidRPr="00337C98">
              <w:rPr>
                <w:rFonts w:asciiTheme="minorHAnsi" w:hAnsiTheme="minorHAnsi"/>
                <w:b/>
                <w:sz w:val="22"/>
                <w:szCs w:val="22"/>
                <w:lang w:val="en-US"/>
              </w:rPr>
              <w:t>Energy sales (MU)</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LMV-1: Domestic</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4118427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6276996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8776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LMV-2:Non-Domestic</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287414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720096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1118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 xml:space="preserve">LMV-3: Public Lamps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1604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50223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269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LMV-4: Institutions</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28464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155278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525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LMV-5: Private Tube Wells</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223727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1666385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3272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 6: Small and Medium Power</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53926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476766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903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 xml:space="preserve">LMV-7: Public Water Works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8198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122943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562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LMV-8: State Tube Wells</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7749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184302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708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 xml:space="preserve">LMV-9: Temporary Supply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2600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7472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30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LMV-10: Departmental Employees</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18244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65620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113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HV-1: Non-Industrial Bulk Loads</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572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165999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409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HV-2: Large and Heavy Power</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2930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913957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3026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HV-3: Railway Traction</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10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159222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681 </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sz w:val="22"/>
                <w:szCs w:val="22"/>
                <w:lang w:val="en-US"/>
              </w:rPr>
              <w:t>HV-4: Lift Irrigation</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42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                32567 </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sz w:val="22"/>
                <w:szCs w:val="22"/>
                <w:lang w:val="en-US"/>
              </w:rPr>
              <w:t xml:space="preserve">161 </w:t>
            </w:r>
          </w:p>
        </w:tc>
      </w:tr>
      <w:tr w:rsidR="00C34658" w:rsidRPr="008334E8" w:rsidTr="008334E8">
        <w:trPr>
          <w:trHeight w:val="300"/>
          <w:jc w:val="center"/>
        </w:trPr>
        <w:tc>
          <w:tcPr>
            <w:tcW w:w="3682" w:type="dxa"/>
            <w:shd w:val="clear" w:color="auto" w:fill="auto"/>
            <w:noWrap/>
            <w:vAlign w:val="center"/>
            <w:hideMark/>
          </w:tcPr>
          <w:p w:rsidR="00337C98" w:rsidRPr="00337C98" w:rsidRDefault="00337C98" w:rsidP="00337C98">
            <w:pPr>
              <w:spacing w:before="0" w:line="240" w:lineRule="auto"/>
              <w:rPr>
                <w:rFonts w:asciiTheme="minorHAnsi" w:hAnsiTheme="minorHAnsi" w:cs="Calibri"/>
                <w:sz w:val="22"/>
                <w:szCs w:val="22"/>
                <w:lang w:val="en-US"/>
              </w:rPr>
            </w:pPr>
            <w:r w:rsidRPr="00337C98">
              <w:rPr>
                <w:rFonts w:asciiTheme="minorHAnsi" w:hAnsiTheme="minorHAnsi" w:cs="Calibri"/>
                <w:sz w:val="22"/>
                <w:szCs w:val="22"/>
                <w:lang w:eastAsia="en-IN"/>
              </w:rPr>
              <w:t>Extra state &amp; Bulk</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cs="Calibri"/>
                <w:sz w:val="22"/>
                <w:szCs w:val="22"/>
              </w:rPr>
              <w:t>0</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cs="Calibri"/>
                <w:sz w:val="22"/>
                <w:szCs w:val="22"/>
              </w:rPr>
              <w:t>0</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sz w:val="22"/>
                <w:szCs w:val="22"/>
                <w:lang w:val="en-US"/>
              </w:rPr>
            </w:pPr>
            <w:r w:rsidRPr="00337C98">
              <w:rPr>
                <w:rFonts w:asciiTheme="minorHAnsi" w:hAnsiTheme="minorHAnsi" w:cs="Calibri"/>
                <w:sz w:val="22"/>
                <w:szCs w:val="22"/>
              </w:rPr>
              <w:t>0</w:t>
            </w:r>
          </w:p>
        </w:tc>
      </w:tr>
      <w:tr w:rsidR="00C34658" w:rsidRPr="008334E8" w:rsidTr="008334E8">
        <w:trPr>
          <w:trHeight w:val="300"/>
          <w:jc w:val="center"/>
        </w:trPr>
        <w:tc>
          <w:tcPr>
            <w:tcW w:w="3682" w:type="dxa"/>
            <w:shd w:val="clear" w:color="auto" w:fill="auto"/>
            <w:noWrap/>
            <w:hideMark/>
          </w:tcPr>
          <w:p w:rsidR="00337C98" w:rsidRPr="00337C98" w:rsidRDefault="00337C98" w:rsidP="00337C98">
            <w:pPr>
              <w:spacing w:before="0" w:line="240" w:lineRule="auto"/>
              <w:rPr>
                <w:rFonts w:asciiTheme="minorHAnsi" w:hAnsiTheme="minorHAnsi" w:cs="Calibri"/>
                <w:b/>
                <w:sz w:val="22"/>
                <w:szCs w:val="22"/>
                <w:lang w:val="en-US"/>
              </w:rPr>
            </w:pPr>
            <w:r w:rsidRPr="00337C98">
              <w:rPr>
                <w:rFonts w:asciiTheme="minorHAnsi" w:hAnsiTheme="minorHAnsi"/>
                <w:b/>
                <w:sz w:val="22"/>
                <w:szCs w:val="22"/>
                <w:lang w:val="en-US"/>
              </w:rPr>
              <w:t>Total</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b/>
                <w:sz w:val="22"/>
                <w:szCs w:val="22"/>
                <w:lang w:val="en-US"/>
              </w:rPr>
            </w:pPr>
            <w:r w:rsidRPr="00337C98">
              <w:rPr>
                <w:rFonts w:asciiTheme="minorHAnsi" w:hAnsiTheme="minorHAnsi"/>
                <w:b/>
                <w:sz w:val="22"/>
                <w:szCs w:val="22"/>
                <w:lang w:val="en-US"/>
              </w:rPr>
              <w:t>47,53,907</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b/>
                <w:sz w:val="22"/>
                <w:szCs w:val="22"/>
                <w:lang w:val="en-US"/>
              </w:rPr>
            </w:pPr>
            <w:r w:rsidRPr="00337C98">
              <w:rPr>
                <w:rFonts w:asciiTheme="minorHAnsi" w:hAnsiTheme="minorHAnsi"/>
                <w:b/>
                <w:sz w:val="22"/>
                <w:szCs w:val="22"/>
                <w:lang w:val="en-US"/>
              </w:rPr>
              <w:t>1,09,97,826</w:t>
            </w:r>
          </w:p>
        </w:tc>
        <w:tc>
          <w:tcPr>
            <w:tcW w:w="1704" w:type="dxa"/>
            <w:shd w:val="clear" w:color="auto" w:fill="auto"/>
            <w:noWrap/>
            <w:vAlign w:val="center"/>
            <w:hideMark/>
          </w:tcPr>
          <w:p w:rsidR="00337C98" w:rsidRPr="00337C98" w:rsidRDefault="00337C98" w:rsidP="00337C98">
            <w:pPr>
              <w:spacing w:before="0" w:line="240" w:lineRule="auto"/>
              <w:jc w:val="right"/>
              <w:rPr>
                <w:rFonts w:asciiTheme="minorHAnsi" w:hAnsiTheme="minorHAnsi" w:cs="Calibri"/>
                <w:b/>
                <w:sz w:val="22"/>
                <w:szCs w:val="22"/>
                <w:lang w:val="en-US"/>
              </w:rPr>
            </w:pPr>
            <w:r w:rsidRPr="00337C98">
              <w:rPr>
                <w:rFonts w:asciiTheme="minorHAnsi" w:hAnsiTheme="minorHAnsi"/>
                <w:b/>
                <w:sz w:val="22"/>
                <w:szCs w:val="22"/>
                <w:lang w:val="en-US"/>
              </w:rPr>
              <w:t>20,552</w:t>
            </w:r>
          </w:p>
        </w:tc>
      </w:tr>
    </w:tbl>
    <w:p w:rsidR="00603835" w:rsidRDefault="00603835">
      <w:pPr>
        <w:spacing w:before="0"/>
        <w:jc w:val="center"/>
        <w:rPr>
          <w:rFonts w:asciiTheme="minorHAnsi" w:hAnsiTheme="minorHAnsi" w:cs="Calibri"/>
          <w:b/>
          <w:sz w:val="22"/>
          <w:szCs w:val="22"/>
          <w:lang w:val="en-US"/>
        </w:rPr>
      </w:pPr>
    </w:p>
    <w:p w:rsidR="00150725" w:rsidRDefault="00150725" w:rsidP="00C34658">
      <w:pPr>
        <w:spacing w:before="0"/>
        <w:jc w:val="center"/>
        <w:rPr>
          <w:rFonts w:asciiTheme="minorHAnsi" w:hAnsiTheme="minorHAnsi" w:cs="Calibri"/>
          <w:b/>
          <w:sz w:val="22"/>
          <w:szCs w:val="22"/>
          <w:lang w:val="en-US"/>
        </w:rPr>
      </w:pPr>
      <w:bookmarkStart w:id="403" w:name="_Toc453367654"/>
    </w:p>
    <w:p w:rsidR="00150725" w:rsidRDefault="00150725" w:rsidP="00C34658">
      <w:pPr>
        <w:spacing w:before="0"/>
        <w:jc w:val="center"/>
        <w:rPr>
          <w:rFonts w:asciiTheme="minorHAnsi" w:hAnsiTheme="minorHAnsi" w:cs="Calibri"/>
          <w:b/>
          <w:sz w:val="22"/>
          <w:szCs w:val="22"/>
          <w:lang w:val="en-US"/>
        </w:rPr>
      </w:pPr>
    </w:p>
    <w:p w:rsidR="00C34658" w:rsidRPr="00BB5484" w:rsidRDefault="00E34329" w:rsidP="00C34658">
      <w:pPr>
        <w:spacing w:before="0"/>
        <w:jc w:val="center"/>
        <w:rPr>
          <w:rFonts w:asciiTheme="minorHAnsi" w:hAnsiTheme="minorHAnsi" w:cs="Calibri"/>
          <w:b/>
          <w:sz w:val="22"/>
          <w:szCs w:val="22"/>
          <w:lang w:val="en-US"/>
        </w:rPr>
      </w:pPr>
      <w:bookmarkStart w:id="404" w:name="_Toc457604022"/>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6</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NUMBER OF CONSUMERS: HISTORICAL TREND AND APPROVED VALUES FOR FY 2016-17</w:t>
      </w:r>
      <w:bookmarkEnd w:id="403"/>
      <w:bookmarkEnd w:id="404"/>
    </w:p>
    <w:tbl>
      <w:tblPr>
        <w:tblW w:w="5540" w:type="pct"/>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757"/>
        <w:gridCol w:w="1276"/>
        <w:gridCol w:w="1276"/>
        <w:gridCol w:w="1278"/>
        <w:gridCol w:w="1699"/>
        <w:gridCol w:w="1559"/>
      </w:tblGrid>
      <w:tr w:rsidR="00C34658" w:rsidRPr="00BB5484" w:rsidTr="00D55642">
        <w:trPr>
          <w:trHeight w:val="665"/>
          <w:tblHeader/>
        </w:trPr>
        <w:tc>
          <w:tcPr>
            <w:tcW w:w="1400" w:type="pct"/>
            <w:shd w:val="clear" w:color="000000" w:fill="DCE6F1"/>
            <w:noWrap/>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Consumer categories</w:t>
            </w:r>
          </w:p>
        </w:tc>
        <w:tc>
          <w:tcPr>
            <w:tcW w:w="648" w:type="pct"/>
            <w:shd w:val="clear" w:color="000000" w:fill="DCE6F1"/>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FY2012-13</w:t>
            </w:r>
          </w:p>
        </w:tc>
        <w:tc>
          <w:tcPr>
            <w:tcW w:w="648" w:type="pct"/>
            <w:shd w:val="clear" w:color="000000" w:fill="DCE6F1"/>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FY2013-14</w:t>
            </w:r>
          </w:p>
        </w:tc>
        <w:tc>
          <w:tcPr>
            <w:tcW w:w="649" w:type="pct"/>
            <w:shd w:val="clear" w:color="000000" w:fill="DCE6F1"/>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FY2014-15</w:t>
            </w:r>
          </w:p>
        </w:tc>
        <w:tc>
          <w:tcPr>
            <w:tcW w:w="863" w:type="pct"/>
            <w:shd w:val="clear" w:color="000000" w:fill="DCE6F1"/>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Computed for FY 2015-16</w:t>
            </w:r>
          </w:p>
        </w:tc>
        <w:tc>
          <w:tcPr>
            <w:tcW w:w="792" w:type="pct"/>
            <w:shd w:val="clear" w:color="000000" w:fill="DCE6F1"/>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Approved for FY 2016-17</w:t>
            </w:r>
          </w:p>
        </w:tc>
      </w:tr>
      <w:tr w:rsidR="00C34658" w:rsidRPr="00BB5484" w:rsidTr="00D55642">
        <w:trPr>
          <w:trHeight w:val="215"/>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LMV-1: Domestic</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2196490</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2322427</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2872048</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3479842</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4118427</w:t>
            </w:r>
          </w:p>
        </w:tc>
      </w:tr>
      <w:tr w:rsidR="00C34658" w:rsidRPr="00BB5484" w:rsidTr="00D55642">
        <w:trPr>
          <w:trHeight w:val="260"/>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LMV-2:Non-Domestic</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239590</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243723</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265256</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276089</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287414</w:t>
            </w:r>
          </w:p>
        </w:tc>
      </w:tr>
      <w:tr w:rsidR="00C34658" w:rsidRPr="00BB5484" w:rsidTr="00D55642">
        <w:trPr>
          <w:trHeight w:val="242"/>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LMV-3: Public Lamps</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1457</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1463</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1468</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1531</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1604</w:t>
            </w:r>
          </w:p>
        </w:tc>
      </w:tr>
      <w:tr w:rsidR="00C34658" w:rsidRPr="00BB5484" w:rsidTr="00D55642">
        <w:trPr>
          <w:trHeight w:val="242"/>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lastRenderedPageBreak/>
              <w:t>LMV-4: Institutions</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22002</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22780</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26193</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27303</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28464</w:t>
            </w:r>
          </w:p>
        </w:tc>
      </w:tr>
      <w:tr w:rsidR="00C34658" w:rsidRPr="00BB5484" w:rsidTr="00D55642">
        <w:trPr>
          <w:trHeight w:val="300"/>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LMV-5: Private Tube Wells</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187573</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194568</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205328</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214317</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223727</w:t>
            </w:r>
          </w:p>
        </w:tc>
      </w:tr>
      <w:tr w:rsidR="00C34658" w:rsidRPr="00BB5484" w:rsidTr="00D55642">
        <w:trPr>
          <w:trHeight w:val="300"/>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LMV6: Small and Medium Power</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48432</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48474</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49247</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51532</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53926</w:t>
            </w:r>
          </w:p>
        </w:tc>
      </w:tr>
      <w:tr w:rsidR="00C34658" w:rsidRPr="00BB5484" w:rsidTr="00D55642">
        <w:trPr>
          <w:trHeight w:val="300"/>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LMV-7: Public Water Works</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2859</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4102</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6318</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7189</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8198</w:t>
            </w:r>
          </w:p>
        </w:tc>
      </w:tr>
      <w:tr w:rsidR="00C34658" w:rsidRPr="00BB5484" w:rsidTr="00D55642">
        <w:trPr>
          <w:trHeight w:val="300"/>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LMV-8: State Tube Wells</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6312</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6489</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7312</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7527</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7749</w:t>
            </w:r>
          </w:p>
        </w:tc>
      </w:tr>
      <w:tr w:rsidR="00C34658" w:rsidRPr="00BB5484" w:rsidTr="00D55642">
        <w:trPr>
          <w:trHeight w:val="300"/>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LMV-9: Temporary Supply</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1689</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1396</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2358</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2476</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2600</w:t>
            </w:r>
          </w:p>
        </w:tc>
      </w:tr>
      <w:tr w:rsidR="00C34658" w:rsidRPr="00BB5484" w:rsidTr="00D55642">
        <w:trPr>
          <w:trHeight w:val="300"/>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LMV-10: Departmental Employees</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16502</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16635</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17173</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17699</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18244</w:t>
            </w:r>
          </w:p>
        </w:tc>
      </w:tr>
      <w:tr w:rsidR="00C34658" w:rsidRPr="00BB5484" w:rsidTr="00D55642">
        <w:trPr>
          <w:trHeight w:val="323"/>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HV-1: Non-Industrial Bulk Loads</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344</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456</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501</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535</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572</w:t>
            </w:r>
          </w:p>
        </w:tc>
      </w:tr>
      <w:tr w:rsidR="00C34658" w:rsidRPr="00BB5484" w:rsidTr="00D55642">
        <w:trPr>
          <w:trHeight w:val="233"/>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HV-2: Large and Heavy Power</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2193</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2207</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2380</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2640</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2930</w:t>
            </w:r>
          </w:p>
        </w:tc>
      </w:tr>
      <w:tr w:rsidR="00C34658" w:rsidRPr="00BB5484" w:rsidTr="00D55642">
        <w:trPr>
          <w:trHeight w:val="278"/>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HV-3: Railway Traction</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8</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8</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9</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10</w:t>
            </w:r>
          </w:p>
        </w:tc>
      </w:tr>
      <w:tr w:rsidR="00C34658" w:rsidRPr="00BB5484" w:rsidTr="00D55642">
        <w:trPr>
          <w:trHeight w:val="305"/>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HV-4: Lift Irrigation</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38</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38</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38</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40</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42</w:t>
            </w:r>
          </w:p>
        </w:tc>
      </w:tr>
      <w:tr w:rsidR="00C34658" w:rsidRPr="00BB5484" w:rsidTr="00D55642">
        <w:trPr>
          <w:trHeight w:val="323"/>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sz w:val="22"/>
                <w:szCs w:val="22"/>
              </w:rPr>
            </w:pPr>
            <w:r w:rsidRPr="00E34329">
              <w:rPr>
                <w:rFonts w:asciiTheme="minorHAnsi" w:hAnsiTheme="minorHAnsi"/>
                <w:sz w:val="22"/>
                <w:szCs w:val="22"/>
                <w:lang w:eastAsia="en-IN"/>
              </w:rPr>
              <w:t>Extra state &amp; Bulk</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r>
      <w:tr w:rsidR="00C34658" w:rsidRPr="00BB5484" w:rsidTr="00D55642">
        <w:trPr>
          <w:trHeight w:val="332"/>
        </w:trPr>
        <w:tc>
          <w:tcPr>
            <w:tcW w:w="1400" w:type="pct"/>
            <w:shd w:val="clear" w:color="auto" w:fill="auto"/>
            <w:noWrap/>
            <w:hideMark/>
          </w:tcPr>
          <w:p w:rsidR="00C34658" w:rsidRPr="00BB5484" w:rsidRDefault="00E34329" w:rsidP="00D55642">
            <w:pPr>
              <w:spacing w:before="0" w:line="240" w:lineRule="auto"/>
              <w:jc w:val="left"/>
              <w:rPr>
                <w:rFonts w:asciiTheme="minorHAnsi" w:hAnsiTheme="minorHAnsi"/>
                <w:b/>
                <w:sz w:val="22"/>
                <w:szCs w:val="22"/>
              </w:rPr>
            </w:pPr>
            <w:r w:rsidRPr="00E34329">
              <w:rPr>
                <w:rFonts w:asciiTheme="minorHAnsi" w:hAnsiTheme="minorHAnsi"/>
                <w:b/>
                <w:sz w:val="22"/>
                <w:szCs w:val="22"/>
                <w:lang w:eastAsia="en-IN"/>
              </w:rPr>
              <w:t>Total</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2725486</w:t>
            </w:r>
          </w:p>
        </w:tc>
        <w:tc>
          <w:tcPr>
            <w:tcW w:w="648"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2864766</w:t>
            </w:r>
          </w:p>
        </w:tc>
        <w:tc>
          <w:tcPr>
            <w:tcW w:w="649"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3455628</w:t>
            </w:r>
          </w:p>
        </w:tc>
        <w:tc>
          <w:tcPr>
            <w:tcW w:w="863"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4088728</w:t>
            </w:r>
          </w:p>
        </w:tc>
        <w:tc>
          <w:tcPr>
            <w:tcW w:w="792"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4753907</w:t>
            </w:r>
          </w:p>
        </w:tc>
      </w:tr>
    </w:tbl>
    <w:p w:rsidR="00C34658" w:rsidRPr="00BB5484" w:rsidRDefault="00C34658" w:rsidP="00C34658">
      <w:pPr>
        <w:pStyle w:val="Heading3"/>
        <w:numPr>
          <w:ilvl w:val="0"/>
          <w:numId w:val="0"/>
        </w:numPr>
        <w:spacing w:before="0"/>
        <w:rPr>
          <w:rFonts w:asciiTheme="minorHAnsi" w:hAnsiTheme="minorHAnsi"/>
        </w:rPr>
      </w:pPr>
    </w:p>
    <w:p w:rsidR="00C34658" w:rsidRPr="00BB5484" w:rsidRDefault="00E34329" w:rsidP="00C34658">
      <w:pPr>
        <w:spacing w:before="0"/>
        <w:jc w:val="center"/>
        <w:rPr>
          <w:rFonts w:asciiTheme="minorHAnsi" w:hAnsiTheme="minorHAnsi" w:cs="Calibri"/>
          <w:b/>
          <w:sz w:val="22"/>
          <w:szCs w:val="22"/>
          <w:lang w:val="en-US"/>
        </w:rPr>
      </w:pPr>
      <w:bookmarkStart w:id="405" w:name="_Toc453367655"/>
      <w:bookmarkStart w:id="406" w:name="_Toc457604023"/>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7</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CONNECTED LOAD (kW): HISTORICAL TREND AND APPROVED VALUES FOR FY 2016-17</w:t>
      </w:r>
      <w:bookmarkEnd w:id="405"/>
      <w:bookmarkEnd w:id="406"/>
    </w:p>
    <w:tbl>
      <w:tblPr>
        <w:tblW w:w="5590" w:type="pct"/>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846"/>
        <w:gridCol w:w="1279"/>
        <w:gridCol w:w="1277"/>
        <w:gridCol w:w="1273"/>
        <w:gridCol w:w="1766"/>
        <w:gridCol w:w="1492"/>
      </w:tblGrid>
      <w:tr w:rsidR="00C34658" w:rsidRPr="00BB5484" w:rsidTr="00150725">
        <w:trPr>
          <w:trHeight w:val="431"/>
          <w:tblHeader/>
        </w:trPr>
        <w:tc>
          <w:tcPr>
            <w:tcW w:w="1432" w:type="pct"/>
            <w:shd w:val="clear" w:color="000000" w:fill="DCE6F1"/>
            <w:noWrap/>
            <w:hideMark/>
          </w:tcPr>
          <w:p w:rsidR="00C34658" w:rsidRPr="00BB5484" w:rsidRDefault="00E34329" w:rsidP="00D55642">
            <w:pPr>
              <w:spacing w:before="0" w:line="240" w:lineRule="auto"/>
              <w:jc w:val="center"/>
              <w:rPr>
                <w:rFonts w:asciiTheme="minorHAnsi" w:hAnsiTheme="minorHAnsi" w:cstheme="minorHAnsi"/>
                <w:b/>
                <w:sz w:val="22"/>
                <w:szCs w:val="22"/>
              </w:rPr>
            </w:pPr>
            <w:r w:rsidRPr="00E34329">
              <w:rPr>
                <w:rFonts w:asciiTheme="minorHAnsi" w:hAnsiTheme="minorHAnsi" w:cstheme="minorHAnsi"/>
                <w:b/>
                <w:sz w:val="22"/>
                <w:szCs w:val="22"/>
              </w:rPr>
              <w:t>Consumer categories</w:t>
            </w:r>
          </w:p>
        </w:tc>
        <w:tc>
          <w:tcPr>
            <w:tcW w:w="644" w:type="pct"/>
            <w:shd w:val="clear" w:color="000000" w:fill="DCE6F1"/>
            <w:hideMark/>
          </w:tcPr>
          <w:p w:rsidR="00C34658" w:rsidRPr="00BB5484" w:rsidRDefault="00E34329" w:rsidP="00D55642">
            <w:pPr>
              <w:spacing w:before="0" w:line="240" w:lineRule="auto"/>
              <w:jc w:val="center"/>
              <w:rPr>
                <w:rFonts w:asciiTheme="minorHAnsi" w:hAnsiTheme="minorHAnsi" w:cstheme="minorHAnsi"/>
                <w:b/>
                <w:sz w:val="22"/>
                <w:szCs w:val="22"/>
              </w:rPr>
            </w:pPr>
            <w:r w:rsidRPr="00E34329">
              <w:rPr>
                <w:rFonts w:asciiTheme="minorHAnsi" w:hAnsiTheme="minorHAnsi" w:cstheme="minorHAnsi"/>
                <w:b/>
                <w:sz w:val="22"/>
                <w:szCs w:val="22"/>
                <w:lang w:eastAsia="en-IN"/>
              </w:rPr>
              <w:t>FY  2012-13</w:t>
            </w:r>
          </w:p>
        </w:tc>
        <w:tc>
          <w:tcPr>
            <w:tcW w:w="643" w:type="pct"/>
            <w:shd w:val="clear" w:color="000000" w:fill="DCE6F1"/>
            <w:hideMark/>
          </w:tcPr>
          <w:p w:rsidR="00C34658" w:rsidRPr="00BB5484" w:rsidRDefault="00E34329" w:rsidP="00D55642">
            <w:pPr>
              <w:spacing w:before="0" w:line="240" w:lineRule="auto"/>
              <w:jc w:val="center"/>
              <w:rPr>
                <w:rFonts w:asciiTheme="minorHAnsi" w:hAnsiTheme="minorHAnsi" w:cstheme="minorHAnsi"/>
                <w:b/>
                <w:sz w:val="22"/>
                <w:szCs w:val="22"/>
              </w:rPr>
            </w:pPr>
            <w:r w:rsidRPr="00E34329">
              <w:rPr>
                <w:rFonts w:asciiTheme="minorHAnsi" w:hAnsiTheme="minorHAnsi" w:cstheme="minorHAnsi"/>
                <w:b/>
                <w:sz w:val="22"/>
                <w:szCs w:val="22"/>
                <w:lang w:eastAsia="en-IN"/>
              </w:rPr>
              <w:t>FY 2013-14</w:t>
            </w:r>
          </w:p>
        </w:tc>
        <w:tc>
          <w:tcPr>
            <w:tcW w:w="641" w:type="pct"/>
            <w:shd w:val="clear" w:color="000000" w:fill="DCE6F1"/>
            <w:hideMark/>
          </w:tcPr>
          <w:p w:rsidR="00C34658" w:rsidRPr="00BB5484" w:rsidRDefault="00E34329" w:rsidP="00D55642">
            <w:pPr>
              <w:spacing w:before="0" w:line="240" w:lineRule="auto"/>
              <w:jc w:val="center"/>
              <w:rPr>
                <w:rFonts w:asciiTheme="minorHAnsi" w:hAnsiTheme="minorHAnsi" w:cstheme="minorHAnsi"/>
                <w:b/>
                <w:sz w:val="22"/>
                <w:szCs w:val="22"/>
              </w:rPr>
            </w:pPr>
            <w:r w:rsidRPr="00E34329">
              <w:rPr>
                <w:rFonts w:asciiTheme="minorHAnsi" w:hAnsiTheme="minorHAnsi" w:cstheme="minorHAnsi"/>
                <w:b/>
                <w:sz w:val="22"/>
                <w:szCs w:val="22"/>
                <w:lang w:eastAsia="en-IN"/>
              </w:rPr>
              <w:t>FY 2014-15</w:t>
            </w:r>
          </w:p>
        </w:tc>
        <w:tc>
          <w:tcPr>
            <w:tcW w:w="889" w:type="pct"/>
            <w:shd w:val="clear" w:color="000000" w:fill="DCE6F1"/>
            <w:hideMark/>
          </w:tcPr>
          <w:p w:rsidR="00C34658" w:rsidRPr="00BB5484" w:rsidRDefault="00E34329" w:rsidP="00D55642">
            <w:pPr>
              <w:spacing w:before="0" w:line="240" w:lineRule="auto"/>
              <w:jc w:val="center"/>
              <w:rPr>
                <w:rFonts w:asciiTheme="minorHAnsi" w:hAnsiTheme="minorHAnsi" w:cstheme="minorHAnsi"/>
                <w:b/>
                <w:sz w:val="22"/>
                <w:szCs w:val="22"/>
              </w:rPr>
            </w:pPr>
            <w:r w:rsidRPr="00E34329">
              <w:rPr>
                <w:rFonts w:asciiTheme="minorHAnsi" w:hAnsiTheme="minorHAnsi" w:cstheme="minorHAnsi"/>
                <w:b/>
                <w:sz w:val="22"/>
                <w:szCs w:val="22"/>
                <w:lang w:eastAsia="en-IN"/>
              </w:rPr>
              <w:t>Computed for FY 2015-16</w:t>
            </w:r>
          </w:p>
        </w:tc>
        <w:tc>
          <w:tcPr>
            <w:tcW w:w="751" w:type="pct"/>
            <w:shd w:val="clear" w:color="000000" w:fill="DCE6F1"/>
            <w:hideMark/>
          </w:tcPr>
          <w:p w:rsidR="00C34658" w:rsidRPr="00BB5484" w:rsidRDefault="00E34329" w:rsidP="00D55642">
            <w:pPr>
              <w:spacing w:before="0" w:line="240" w:lineRule="auto"/>
              <w:jc w:val="center"/>
              <w:rPr>
                <w:rFonts w:asciiTheme="minorHAnsi" w:hAnsiTheme="minorHAnsi" w:cstheme="minorHAnsi"/>
                <w:b/>
                <w:sz w:val="22"/>
                <w:szCs w:val="22"/>
              </w:rPr>
            </w:pPr>
            <w:r w:rsidRPr="00E34329">
              <w:rPr>
                <w:rFonts w:asciiTheme="minorHAnsi" w:hAnsiTheme="minorHAnsi" w:cstheme="minorHAnsi"/>
                <w:b/>
                <w:sz w:val="22"/>
                <w:szCs w:val="22"/>
                <w:lang w:eastAsia="en-IN"/>
              </w:rPr>
              <w:t>Approved for FY 2016-17</w:t>
            </w:r>
          </w:p>
        </w:tc>
      </w:tr>
      <w:tr w:rsidR="00C34658" w:rsidRPr="00BB5484" w:rsidTr="00D55642">
        <w:trPr>
          <w:trHeight w:val="233"/>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LMV-1: Domestic</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3347168</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3707623</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4311886</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5319359</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6276996</w:t>
            </w:r>
          </w:p>
        </w:tc>
      </w:tr>
      <w:tr w:rsidR="00C34658" w:rsidRPr="00BB5484" w:rsidTr="00D55642">
        <w:trPr>
          <w:trHeight w:val="278"/>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LMV-2:Non-Domestic</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591631</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615679</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657458</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691677</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720096</w:t>
            </w:r>
          </w:p>
        </w:tc>
      </w:tr>
      <w:tr w:rsidR="00C34658" w:rsidRPr="00BB5484" w:rsidTr="00D55642">
        <w:trPr>
          <w:trHeight w:val="233"/>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LMV-3: Public Lamps</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29065</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31266</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32954</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48236</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50223</w:t>
            </w:r>
          </w:p>
        </w:tc>
      </w:tr>
      <w:tr w:rsidR="00C34658" w:rsidRPr="00BB5484" w:rsidTr="00D55642">
        <w:trPr>
          <w:trHeight w:val="242"/>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LMV-4: Institutions</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552910</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113397</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149130</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149283</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155278</w:t>
            </w:r>
          </w:p>
        </w:tc>
      </w:tr>
      <w:tr w:rsidR="00C34658" w:rsidRPr="00BB5484" w:rsidTr="00D55642">
        <w:trPr>
          <w:trHeight w:val="287"/>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LMV-5: Private Tube Wells</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1362852</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1449008</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1529387</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1596320</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1666385</w:t>
            </w:r>
          </w:p>
        </w:tc>
      </w:tr>
      <w:tr w:rsidR="00C34658" w:rsidRPr="00BB5484" w:rsidTr="00D55642">
        <w:trPr>
          <w:trHeight w:val="170"/>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LMV 6: Small and Medium Power</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430782</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423418</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437342</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455969</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476766</w:t>
            </w:r>
          </w:p>
        </w:tc>
      </w:tr>
      <w:tr w:rsidR="00C34658" w:rsidRPr="00BB5484" w:rsidTr="00D55642">
        <w:trPr>
          <w:trHeight w:val="287"/>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LMV-7: Public Water Works</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56552</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65286</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72044</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110127</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122943</w:t>
            </w:r>
          </w:p>
        </w:tc>
      </w:tr>
      <w:tr w:rsidR="00C34658" w:rsidRPr="00BB5484" w:rsidTr="00D55642">
        <w:trPr>
          <w:trHeight w:val="242"/>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LMV-8: State Tube Wells</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135834</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145908</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158098</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178735</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184302</w:t>
            </w:r>
          </w:p>
        </w:tc>
      </w:tr>
      <w:tr w:rsidR="00C34658" w:rsidRPr="00BB5484" w:rsidTr="00D55642">
        <w:trPr>
          <w:trHeight w:val="287"/>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LMV-9: Temporary Supply</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5257</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4437</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8019</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7117</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7472</w:t>
            </w:r>
          </w:p>
        </w:tc>
      </w:tr>
      <w:tr w:rsidR="00C34658" w:rsidRPr="00BB5484" w:rsidTr="00D55642">
        <w:trPr>
          <w:trHeight w:val="242"/>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LMV-10: Departmental Employees</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58719</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50967</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52622</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63736</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65620</w:t>
            </w:r>
          </w:p>
        </w:tc>
      </w:tr>
      <w:tr w:rsidR="00C34658" w:rsidRPr="00BB5484" w:rsidTr="00D55642">
        <w:trPr>
          <w:trHeight w:val="188"/>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HV-1: Non-Industrial Bulk Loads</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96945</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124873</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146154</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155750</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165999</w:t>
            </w:r>
          </w:p>
        </w:tc>
      </w:tr>
      <w:tr w:rsidR="00C34658" w:rsidRPr="00BB5484" w:rsidTr="00D55642">
        <w:trPr>
          <w:trHeight w:val="323"/>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HV-2: Large and Heavy Power</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725719</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730062</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767248</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836840</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913957</w:t>
            </w:r>
          </w:p>
        </w:tc>
      </w:tr>
      <w:tr w:rsidR="00C34658" w:rsidRPr="00BB5484" w:rsidTr="00D55642">
        <w:trPr>
          <w:trHeight w:val="242"/>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HV-3: Railway Traction</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96300</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115800</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122500</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139638</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159222</w:t>
            </w:r>
          </w:p>
        </w:tc>
      </w:tr>
      <w:tr w:rsidR="00C34658" w:rsidRPr="00BB5484" w:rsidTr="00D55642">
        <w:trPr>
          <w:trHeight w:val="242"/>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HV-4: Lift Irrigation</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30232</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30414</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30414</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31464</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32567</w:t>
            </w:r>
          </w:p>
        </w:tc>
      </w:tr>
      <w:tr w:rsidR="00C34658" w:rsidRPr="00BB5484" w:rsidTr="00D55642">
        <w:trPr>
          <w:trHeight w:val="242"/>
        </w:trPr>
        <w:tc>
          <w:tcPr>
            <w:tcW w:w="1432"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rPr>
              <w:t>Extra state &amp; Bulk</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r>
      <w:tr w:rsidR="00C34658" w:rsidRPr="00BB5484" w:rsidTr="00D55642">
        <w:trPr>
          <w:trHeight w:val="197"/>
        </w:trPr>
        <w:tc>
          <w:tcPr>
            <w:tcW w:w="1432" w:type="pct"/>
            <w:shd w:val="clear" w:color="auto" w:fill="auto"/>
            <w:noWrap/>
            <w:hideMark/>
          </w:tcPr>
          <w:p w:rsidR="00C34658" w:rsidRPr="00BB5484" w:rsidRDefault="00E34329" w:rsidP="00D55642">
            <w:pPr>
              <w:spacing w:before="0" w:line="240" w:lineRule="auto"/>
              <w:rPr>
                <w:rFonts w:asciiTheme="minorHAnsi" w:hAnsiTheme="minorHAnsi"/>
                <w:b/>
                <w:sz w:val="22"/>
                <w:szCs w:val="22"/>
              </w:rPr>
            </w:pPr>
            <w:r w:rsidRPr="00E34329">
              <w:rPr>
                <w:rFonts w:asciiTheme="minorHAnsi" w:hAnsiTheme="minorHAnsi"/>
                <w:b/>
                <w:sz w:val="22"/>
                <w:szCs w:val="22"/>
              </w:rPr>
              <w:lastRenderedPageBreak/>
              <w:t>Total</w:t>
            </w:r>
          </w:p>
        </w:tc>
        <w:tc>
          <w:tcPr>
            <w:tcW w:w="644"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7519966</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7608138</w:t>
            </w:r>
          </w:p>
        </w:tc>
        <w:tc>
          <w:tcPr>
            <w:tcW w:w="641"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8475256</w:t>
            </w:r>
          </w:p>
        </w:tc>
        <w:tc>
          <w:tcPr>
            <w:tcW w:w="889"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9784252</w:t>
            </w:r>
          </w:p>
        </w:tc>
        <w:tc>
          <w:tcPr>
            <w:tcW w:w="751"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10997826</w:t>
            </w:r>
          </w:p>
        </w:tc>
      </w:tr>
    </w:tbl>
    <w:p w:rsidR="00C34658" w:rsidRPr="00BB5484" w:rsidRDefault="00C34658" w:rsidP="00C34658">
      <w:pPr>
        <w:spacing w:before="0"/>
        <w:jc w:val="center"/>
        <w:rPr>
          <w:rFonts w:asciiTheme="minorHAnsi" w:hAnsiTheme="minorHAnsi" w:cs="Calibri"/>
          <w:b/>
          <w:sz w:val="22"/>
          <w:szCs w:val="22"/>
          <w:lang w:val="en-US"/>
        </w:rPr>
      </w:pPr>
    </w:p>
    <w:p w:rsidR="00C34658" w:rsidRPr="00BB5484" w:rsidRDefault="00C34658" w:rsidP="00C34658">
      <w:pPr>
        <w:spacing w:before="0"/>
        <w:jc w:val="center"/>
        <w:rPr>
          <w:rFonts w:asciiTheme="minorHAnsi" w:hAnsiTheme="minorHAnsi" w:cs="Calibri"/>
          <w:b/>
          <w:sz w:val="22"/>
          <w:szCs w:val="22"/>
          <w:lang w:val="en-US"/>
        </w:rPr>
      </w:pPr>
    </w:p>
    <w:p w:rsidR="00C34658" w:rsidRPr="00BB5484" w:rsidRDefault="00E34329" w:rsidP="00C34658">
      <w:pPr>
        <w:spacing w:before="0"/>
        <w:jc w:val="center"/>
        <w:rPr>
          <w:rFonts w:asciiTheme="minorHAnsi" w:hAnsiTheme="minorHAnsi" w:cs="Calibri"/>
          <w:b/>
          <w:sz w:val="22"/>
          <w:szCs w:val="22"/>
          <w:lang w:val="en-US"/>
        </w:rPr>
      </w:pPr>
      <w:bookmarkStart w:id="407" w:name="_Toc453367656"/>
      <w:bookmarkStart w:id="408" w:name="_Toc457604024"/>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8</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ENERGY SALES (MU): HISTORICAL TREND AND APPROVED VALUES FOR FY 2016-17</w:t>
      </w:r>
      <w:bookmarkEnd w:id="407"/>
      <w:bookmarkEnd w:id="408"/>
    </w:p>
    <w:tbl>
      <w:tblPr>
        <w:tblW w:w="5584"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838"/>
        <w:gridCol w:w="1274"/>
        <w:gridCol w:w="1276"/>
        <w:gridCol w:w="1276"/>
        <w:gridCol w:w="1786"/>
        <w:gridCol w:w="1473"/>
      </w:tblGrid>
      <w:tr w:rsidR="00C34658" w:rsidRPr="00BB5484" w:rsidTr="00150725">
        <w:trPr>
          <w:trHeight w:val="314"/>
          <w:tblHeader/>
        </w:trPr>
        <w:tc>
          <w:tcPr>
            <w:tcW w:w="1430" w:type="pct"/>
            <w:shd w:val="clear" w:color="000000" w:fill="DCE6F1"/>
            <w:noWrap/>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Consumer categories</w:t>
            </w:r>
          </w:p>
        </w:tc>
        <w:tc>
          <w:tcPr>
            <w:tcW w:w="642" w:type="pct"/>
            <w:shd w:val="clear" w:color="000000" w:fill="DCE6F1"/>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FY  2012-13</w:t>
            </w:r>
          </w:p>
        </w:tc>
        <w:tc>
          <w:tcPr>
            <w:tcW w:w="643" w:type="pct"/>
            <w:shd w:val="clear" w:color="000000" w:fill="DCE6F1"/>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FY 2013-14</w:t>
            </w:r>
          </w:p>
        </w:tc>
        <w:tc>
          <w:tcPr>
            <w:tcW w:w="643" w:type="pct"/>
            <w:shd w:val="clear" w:color="000000" w:fill="DCE6F1"/>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FY 2014-15</w:t>
            </w:r>
          </w:p>
        </w:tc>
        <w:tc>
          <w:tcPr>
            <w:tcW w:w="900" w:type="pct"/>
            <w:shd w:val="clear" w:color="000000" w:fill="DCE6F1"/>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Computed for FY 2015-16</w:t>
            </w:r>
          </w:p>
        </w:tc>
        <w:tc>
          <w:tcPr>
            <w:tcW w:w="742" w:type="pct"/>
            <w:shd w:val="clear" w:color="000000" w:fill="DCE6F1"/>
            <w:hideMark/>
          </w:tcPr>
          <w:p w:rsidR="00C34658" w:rsidRPr="00BB5484" w:rsidRDefault="00E34329" w:rsidP="00D55642">
            <w:pPr>
              <w:spacing w:before="0" w:line="240" w:lineRule="auto"/>
              <w:jc w:val="center"/>
              <w:rPr>
                <w:rFonts w:asciiTheme="minorHAnsi" w:hAnsiTheme="minorHAnsi"/>
                <w:b/>
                <w:sz w:val="22"/>
                <w:szCs w:val="22"/>
              </w:rPr>
            </w:pPr>
            <w:r w:rsidRPr="00E34329">
              <w:rPr>
                <w:rFonts w:asciiTheme="minorHAnsi" w:hAnsiTheme="minorHAnsi"/>
                <w:b/>
                <w:sz w:val="22"/>
                <w:szCs w:val="22"/>
                <w:lang w:eastAsia="en-IN"/>
              </w:rPr>
              <w:t>Approved for FY 2016-17</w:t>
            </w:r>
          </w:p>
        </w:tc>
      </w:tr>
      <w:tr w:rsidR="00C34658" w:rsidRPr="00BB5484" w:rsidTr="00D55642">
        <w:trPr>
          <w:trHeight w:val="260"/>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LMV-1: Domestic</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3602</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4091</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4708</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6403</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8776</w:t>
            </w:r>
          </w:p>
        </w:tc>
      </w:tr>
      <w:tr w:rsidR="00C34658" w:rsidRPr="00BB5484" w:rsidTr="00D55642">
        <w:trPr>
          <w:trHeight w:val="215"/>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LMV-2:Non-Domestic</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757</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825</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840</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927</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1118</w:t>
            </w:r>
          </w:p>
        </w:tc>
      </w:tr>
      <w:tr w:rsidR="00C34658" w:rsidRPr="00BB5484" w:rsidTr="00D55642">
        <w:trPr>
          <w:trHeight w:val="260"/>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LMV-3: Public Lamps</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104</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119</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126</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244</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269</w:t>
            </w:r>
          </w:p>
        </w:tc>
      </w:tr>
      <w:tr w:rsidR="00C34658" w:rsidRPr="00BB5484" w:rsidTr="00D55642">
        <w:trPr>
          <w:trHeight w:val="305"/>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LMV-4: Institutions</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326</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327</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366</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411</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525</w:t>
            </w:r>
          </w:p>
        </w:tc>
      </w:tr>
      <w:tr w:rsidR="00C34658" w:rsidRPr="00BB5484" w:rsidTr="00D55642">
        <w:trPr>
          <w:trHeight w:val="242"/>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LMV-5: Private Tube Wells</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2054</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2317</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2759</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3127</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3272</w:t>
            </w:r>
          </w:p>
        </w:tc>
      </w:tr>
      <w:tr w:rsidR="00C34658" w:rsidRPr="00BB5484" w:rsidTr="00D55642">
        <w:trPr>
          <w:trHeight w:val="287"/>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LMV 6: Small and Medium Power</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633</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616</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620</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721</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903</w:t>
            </w:r>
          </w:p>
        </w:tc>
      </w:tr>
      <w:tr w:rsidR="00C34658" w:rsidRPr="00BB5484" w:rsidTr="00D55642">
        <w:trPr>
          <w:trHeight w:val="242"/>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LMV-7: Public Water Works</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229</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268</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334</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498</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562</w:t>
            </w:r>
          </w:p>
        </w:tc>
      </w:tr>
      <w:tr w:rsidR="00C34658" w:rsidRPr="00BB5484" w:rsidTr="00D55642">
        <w:trPr>
          <w:trHeight w:val="197"/>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LMV-8: State Tube Wells</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525</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623</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623</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684</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708</w:t>
            </w:r>
          </w:p>
        </w:tc>
      </w:tr>
      <w:tr w:rsidR="00C34658" w:rsidRPr="00BB5484" w:rsidTr="00D55642">
        <w:trPr>
          <w:trHeight w:val="323"/>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LMV-9: Temporary Supply</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10</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19</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26</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30</w:t>
            </w:r>
          </w:p>
        </w:tc>
      </w:tr>
      <w:tr w:rsidR="00C34658" w:rsidRPr="00BB5484" w:rsidTr="00D55642">
        <w:trPr>
          <w:trHeight w:val="170"/>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LMV-10: Departmental Employees</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98</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85</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94</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97</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113</w:t>
            </w:r>
          </w:p>
        </w:tc>
      </w:tr>
      <w:tr w:rsidR="00C34658" w:rsidRPr="00BB5484" w:rsidTr="00D55642">
        <w:trPr>
          <w:trHeight w:val="215"/>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HV-1: Non-Industrial Bulk Loads</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238</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296</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263</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384</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409</w:t>
            </w:r>
          </w:p>
        </w:tc>
      </w:tr>
      <w:tr w:rsidR="00C34658" w:rsidRPr="00BB5484" w:rsidTr="00D55642">
        <w:trPr>
          <w:trHeight w:val="170"/>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HV-2: Large and Heavy Power</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2080</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2248</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2342</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2797</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3026</w:t>
            </w:r>
          </w:p>
        </w:tc>
      </w:tr>
      <w:tr w:rsidR="00C34658" w:rsidRPr="00BB5484" w:rsidTr="00D55642">
        <w:trPr>
          <w:trHeight w:val="197"/>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HV-3: Railway Traction</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196</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216</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256</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597</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681</w:t>
            </w:r>
          </w:p>
        </w:tc>
      </w:tr>
      <w:tr w:rsidR="00C34658" w:rsidRPr="00BB5484" w:rsidTr="00D55642">
        <w:trPr>
          <w:trHeight w:val="242"/>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HV-4: Lift Irrigation</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126</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143</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144</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154</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161</w:t>
            </w:r>
          </w:p>
        </w:tc>
      </w:tr>
      <w:tr w:rsidR="00C34658" w:rsidRPr="00BB5484" w:rsidTr="00D55642">
        <w:trPr>
          <w:trHeight w:val="197"/>
        </w:trPr>
        <w:tc>
          <w:tcPr>
            <w:tcW w:w="1430" w:type="pct"/>
            <w:shd w:val="clear" w:color="auto" w:fill="auto"/>
            <w:noWrap/>
            <w:hideMark/>
          </w:tcPr>
          <w:p w:rsidR="00C34658" w:rsidRPr="00BB5484" w:rsidRDefault="00E34329" w:rsidP="00D55642">
            <w:pPr>
              <w:spacing w:before="0" w:line="240" w:lineRule="auto"/>
              <w:rPr>
                <w:rFonts w:asciiTheme="minorHAnsi" w:hAnsiTheme="minorHAnsi"/>
                <w:sz w:val="22"/>
                <w:szCs w:val="22"/>
              </w:rPr>
            </w:pPr>
            <w:r w:rsidRPr="00E34329">
              <w:rPr>
                <w:rFonts w:asciiTheme="minorHAnsi" w:hAnsiTheme="minorHAnsi"/>
                <w:sz w:val="22"/>
                <w:szCs w:val="22"/>
                <w:lang w:eastAsia="en-IN"/>
              </w:rPr>
              <w:t>Extra state &amp; Bulk</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color w:val="000000"/>
                <w:sz w:val="22"/>
                <w:szCs w:val="22"/>
              </w:rPr>
            </w:pPr>
            <w:r w:rsidRPr="00E34329">
              <w:rPr>
                <w:rFonts w:asciiTheme="minorHAnsi" w:hAnsiTheme="minorHAnsi" w:cs="Arial"/>
                <w:color w:val="000000"/>
                <w:sz w:val="22"/>
                <w:szCs w:val="22"/>
              </w:rPr>
              <w:t>0</w:t>
            </w:r>
          </w:p>
        </w:tc>
      </w:tr>
      <w:tr w:rsidR="00C34658" w:rsidRPr="00BB5484" w:rsidTr="00D55642">
        <w:trPr>
          <w:trHeight w:val="242"/>
        </w:trPr>
        <w:tc>
          <w:tcPr>
            <w:tcW w:w="1430" w:type="pct"/>
            <w:shd w:val="clear" w:color="auto" w:fill="auto"/>
            <w:noWrap/>
            <w:hideMark/>
          </w:tcPr>
          <w:p w:rsidR="00C34658" w:rsidRPr="00BB5484" w:rsidRDefault="00E34329" w:rsidP="00D55642">
            <w:pPr>
              <w:spacing w:before="0" w:line="240" w:lineRule="auto"/>
              <w:rPr>
                <w:rFonts w:asciiTheme="minorHAnsi" w:hAnsiTheme="minorHAnsi"/>
                <w:b/>
                <w:sz w:val="22"/>
                <w:szCs w:val="22"/>
              </w:rPr>
            </w:pPr>
            <w:r w:rsidRPr="00E34329">
              <w:rPr>
                <w:rFonts w:asciiTheme="minorHAnsi" w:hAnsiTheme="minorHAnsi"/>
                <w:b/>
                <w:sz w:val="22"/>
                <w:szCs w:val="22"/>
                <w:lang w:eastAsia="en-IN"/>
              </w:rPr>
              <w:t>Total</w:t>
            </w:r>
          </w:p>
        </w:tc>
        <w:tc>
          <w:tcPr>
            <w:tcW w:w="642"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10983</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12182</w:t>
            </w:r>
          </w:p>
        </w:tc>
        <w:tc>
          <w:tcPr>
            <w:tcW w:w="643"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13494</w:t>
            </w:r>
          </w:p>
        </w:tc>
        <w:tc>
          <w:tcPr>
            <w:tcW w:w="900"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17069</w:t>
            </w:r>
          </w:p>
        </w:tc>
        <w:tc>
          <w:tcPr>
            <w:tcW w:w="742" w:type="pct"/>
            <w:shd w:val="clear" w:color="auto" w:fill="auto"/>
            <w:noWrap/>
            <w:hideMark/>
          </w:tcPr>
          <w:p w:rsidR="00C34658" w:rsidRPr="00BB5484" w:rsidRDefault="00E34329" w:rsidP="00D55642">
            <w:pPr>
              <w:spacing w:before="0" w:line="240" w:lineRule="auto"/>
              <w:jc w:val="right"/>
              <w:rPr>
                <w:rFonts w:asciiTheme="minorHAnsi" w:hAnsiTheme="minorHAnsi" w:cs="Arial"/>
                <w:b/>
                <w:bCs/>
                <w:color w:val="000000"/>
                <w:sz w:val="22"/>
                <w:szCs w:val="22"/>
              </w:rPr>
            </w:pPr>
            <w:r w:rsidRPr="00E34329">
              <w:rPr>
                <w:rFonts w:asciiTheme="minorHAnsi" w:hAnsiTheme="minorHAnsi" w:cs="Arial"/>
                <w:b/>
                <w:bCs/>
                <w:color w:val="000000"/>
                <w:sz w:val="22"/>
                <w:szCs w:val="22"/>
              </w:rPr>
              <w:t>20552</w:t>
            </w:r>
          </w:p>
        </w:tc>
      </w:tr>
    </w:tbl>
    <w:p w:rsidR="00C34658" w:rsidRPr="00BB5484" w:rsidRDefault="00C34658" w:rsidP="00C34658">
      <w:pPr>
        <w:pStyle w:val="Heading3"/>
        <w:numPr>
          <w:ilvl w:val="0"/>
          <w:numId w:val="0"/>
        </w:numPr>
        <w:spacing w:before="0"/>
        <w:rPr>
          <w:rFonts w:asciiTheme="minorHAnsi" w:hAnsiTheme="minorHAnsi"/>
        </w:rPr>
      </w:pPr>
    </w:p>
    <w:p w:rsidR="00D5771F" w:rsidRDefault="00E34329">
      <w:pPr>
        <w:pStyle w:val="Heading3"/>
        <w:tabs>
          <w:tab w:val="clear" w:pos="720"/>
        </w:tabs>
        <w:spacing w:after="240"/>
        <w:ind w:left="993" w:hanging="993"/>
      </w:pPr>
      <w:bookmarkStart w:id="409" w:name="_Toc453367657"/>
      <w:bookmarkEnd w:id="409"/>
      <w:r w:rsidRPr="00E34329">
        <w:t>As regards the metering of consumers, Section 55 of the Electricity Act, 2003 stipulates as follows:</w:t>
      </w:r>
    </w:p>
    <w:p w:rsidR="00C34658" w:rsidRPr="00150725" w:rsidRDefault="00E34329" w:rsidP="00C34658">
      <w:pPr>
        <w:pStyle w:val="Heading3"/>
        <w:numPr>
          <w:ilvl w:val="0"/>
          <w:numId w:val="0"/>
        </w:numPr>
        <w:ind w:left="1440"/>
        <w:rPr>
          <w:i/>
        </w:rPr>
      </w:pPr>
      <w:r w:rsidRPr="00E34329">
        <w:rPr>
          <w:i/>
        </w:rPr>
        <w:t xml:space="preserve">“55. (1) No licensee shall supply electricity, after the expiry of two years from the appointed date, except through installation of a correct meter in accordance with regulations to be made in this behalf by the Authority:”  </w:t>
      </w:r>
    </w:p>
    <w:p w:rsidR="00D5771F" w:rsidRDefault="00E34329">
      <w:pPr>
        <w:pStyle w:val="Heading3"/>
        <w:tabs>
          <w:tab w:val="clear" w:pos="720"/>
        </w:tabs>
        <w:spacing w:after="240"/>
        <w:ind w:left="993" w:hanging="993"/>
      </w:pPr>
      <w:r w:rsidRPr="00E34329">
        <w:t>Chapter 5 ‘Metering’ of the U.P. Electricity Supply Code 2005, specifies as follows:</w:t>
      </w:r>
    </w:p>
    <w:p w:rsidR="00C34658" w:rsidRPr="00150725" w:rsidRDefault="00E34329" w:rsidP="00C34658">
      <w:pPr>
        <w:pStyle w:val="Heading3"/>
        <w:numPr>
          <w:ilvl w:val="0"/>
          <w:numId w:val="0"/>
        </w:numPr>
        <w:ind w:left="1440"/>
        <w:rPr>
          <w:i/>
        </w:rPr>
      </w:pPr>
      <w:r w:rsidRPr="00E34329">
        <w:rPr>
          <w:i/>
        </w:rPr>
        <w:t>“5.1 Licensees obligation to give supply on meters: Requirement of Meters</w:t>
      </w:r>
    </w:p>
    <w:p w:rsidR="00C34658" w:rsidRPr="00150725" w:rsidRDefault="00E34329" w:rsidP="00C34658">
      <w:pPr>
        <w:pStyle w:val="Heading3"/>
        <w:numPr>
          <w:ilvl w:val="0"/>
          <w:numId w:val="0"/>
        </w:numPr>
        <w:ind w:left="1440"/>
        <w:rPr>
          <w:i/>
        </w:rPr>
      </w:pPr>
      <w:r w:rsidRPr="00E34329">
        <w:rPr>
          <w:i/>
        </w:rPr>
        <w:lastRenderedPageBreak/>
        <w:t>(a) 2 [No new connection shall be given without a Meter and Miniature Circuit Breaker (MCB) or Circuit Breaker (CB) of appropriate specification from the date of issue of this code.</w:t>
      </w:r>
    </w:p>
    <w:p w:rsidR="00C34658" w:rsidRPr="00150725" w:rsidRDefault="00E34329" w:rsidP="00C34658">
      <w:pPr>
        <w:pStyle w:val="Heading3"/>
        <w:numPr>
          <w:ilvl w:val="0"/>
          <w:numId w:val="0"/>
        </w:numPr>
        <w:ind w:left="1440"/>
        <w:rPr>
          <w:i/>
        </w:rPr>
      </w:pPr>
      <w:r w:rsidRPr="00E34329">
        <w:rPr>
          <w:i/>
        </w:rPr>
        <w:t>(b) All unmetered connections including PTW, streetlights shall be metered by the licensee.</w:t>
      </w:r>
    </w:p>
    <w:p w:rsidR="00C34658" w:rsidRPr="00150725" w:rsidRDefault="00E34329" w:rsidP="00C34658">
      <w:pPr>
        <w:pStyle w:val="Heading3"/>
        <w:numPr>
          <w:ilvl w:val="0"/>
          <w:numId w:val="0"/>
        </w:numPr>
        <w:ind w:left="1440"/>
        <w:rPr>
          <w:i/>
        </w:rPr>
      </w:pPr>
      <w:r w:rsidRPr="00E34329">
        <w:rPr>
          <w:i/>
        </w:rPr>
        <w:t>(c) The Licensee shall not supply electricity to any person, except through installation of a correct meter in accordance with the regulations to be made by the Central Electricity Authority under Electricity Act, 2003.]</w:t>
      </w:r>
    </w:p>
    <w:p w:rsidR="00C34658" w:rsidRPr="00150725" w:rsidRDefault="00E34329" w:rsidP="00C34658">
      <w:pPr>
        <w:pStyle w:val="Heading3"/>
        <w:numPr>
          <w:ilvl w:val="0"/>
          <w:numId w:val="0"/>
        </w:numPr>
        <w:ind w:left="1440"/>
        <w:rPr>
          <w:i/>
        </w:rPr>
      </w:pPr>
      <w:r w:rsidRPr="00E34329">
        <w:rPr>
          <w:i/>
        </w:rPr>
        <w:t>Provided that the Commission may, by notification, extend the said period for a class or classes of persons or for such area as may be specified in that notification.</w:t>
      </w:r>
    </w:p>
    <w:p w:rsidR="00C34658" w:rsidRPr="00150725" w:rsidRDefault="00E34329" w:rsidP="00C34658">
      <w:pPr>
        <w:pStyle w:val="Heading3"/>
        <w:numPr>
          <w:ilvl w:val="0"/>
          <w:numId w:val="0"/>
        </w:numPr>
        <w:ind w:left="1440"/>
        <w:rPr>
          <w:i/>
        </w:rPr>
      </w:pPr>
      <w:r w:rsidRPr="00E34329">
        <w:rPr>
          <w:i/>
        </w:rPr>
        <w:t>2 [Provided also that if a person makes default in complying with the provisions contained in the clauses 5.1(a), (b) and (c), UPERC may make such order as it thinks fit for requiring the default to be made good by the generating company or licensee or by any officer of a company or other association or any person who is responsible for the default.”</w:t>
      </w:r>
    </w:p>
    <w:p w:rsidR="00D5771F" w:rsidRDefault="00E34329">
      <w:pPr>
        <w:pStyle w:val="Heading3"/>
        <w:tabs>
          <w:tab w:val="clear" w:pos="720"/>
        </w:tabs>
        <w:spacing w:after="240"/>
        <w:ind w:left="993" w:hanging="993"/>
      </w:pPr>
      <w:r w:rsidRPr="00E34329">
        <w:t>From the above, it is evident that metering of consumers is essential. However, by not complying with the above, the Distribution Licensee is contravening and is in default of above provisions / Regulations. The Distribution Licensee must demonstrate on best effort basis, their will and intent to comply with the provisions of the Act and Regulations, failing which they are liable for being dealt with appropriately as per provisions of the Act / Regulations.</w:t>
      </w:r>
    </w:p>
    <w:p w:rsidR="00D5771F" w:rsidRDefault="00E34329">
      <w:pPr>
        <w:pStyle w:val="Heading3"/>
        <w:tabs>
          <w:tab w:val="clear" w:pos="720"/>
        </w:tabs>
        <w:spacing w:after="240"/>
        <w:ind w:left="993" w:hanging="993"/>
      </w:pPr>
      <w:r w:rsidRPr="00E34329">
        <w:t>The Distribution Losses of the Distribution Licensees are at higher level and the major reasons for the same is larger number of unmetered connections, which ultimately leads to disallowance of power purchase cost on one hand and loss of revenue on the other hand. Thus, it becomes extremely necessary for the Distribution Licensee to ensure that it achieves the target of 100% metering within its distribution area.</w:t>
      </w:r>
    </w:p>
    <w:p w:rsidR="00D5771F" w:rsidRDefault="00E34329">
      <w:pPr>
        <w:pStyle w:val="Heading3"/>
        <w:tabs>
          <w:tab w:val="clear" w:pos="720"/>
        </w:tabs>
        <w:spacing w:after="240"/>
        <w:ind w:left="993" w:hanging="993"/>
      </w:pPr>
      <w:r w:rsidRPr="00E34329">
        <w:t xml:space="preserve">Although bound by the various provisions of the Electricity Act, 2003, various Regulations, and several directions given by the Commission, the Distribution Licensee has not been able to improve the metering status in its distribution area. The Commission opines that part of the problem has arisen because of lack of strong will power and determination of the Distribution Licensee to </w:t>
      </w:r>
      <w:r w:rsidRPr="00E34329">
        <w:lastRenderedPageBreak/>
        <w:t xml:space="preserve">tackle the above issue and part of the problem has been due to the resistance that the Distribution Licensee faces in this regard.  The Commission is of the view that a solution to the above problem can only be evolved if both the consumers and the Distribution Licensee work together under the supervision of the Commission to achieve the goal of 100% metering. </w:t>
      </w:r>
    </w:p>
    <w:p w:rsidR="00D5771F" w:rsidRDefault="00E34329">
      <w:pPr>
        <w:pStyle w:val="Heading3"/>
        <w:tabs>
          <w:tab w:val="clear" w:pos="720"/>
        </w:tabs>
        <w:spacing w:after="240"/>
        <w:ind w:left="993" w:hanging="993"/>
      </w:pPr>
      <w:r w:rsidRPr="00E34329">
        <w:t xml:space="preserve">In view of the above, to encourage the unmetered consumers to shift to metered connections the Commission in its Tariff Order for FY 2014-15 dated October 1, 2014, reduced the energy charge for such consumers who shift from unmetered to metered category to some extent. Further to discourage the unmetered connections, the Commission has also increased the Tariff for unmetered category of consumers, for instance the tariff for rural domestic consumers was specified based on per kW / month from the existing per / connection / month. However, considering the general grievance of many consumers under LMV-1 (a) and LMV-2 (a) categories having load upto 2 kW that their contracted load is higher than their actual load, the Commission vide letter no. UPERC / Secy / D(Tariff) / 14-1153 dated October 14, 2014 directed the Licensees to ascertain the actual load of consumer and accorded a time period of 3 months to complete such exercise and till such time for such sub-categories the tariff rate as per Tariff Order for FY 2013-14 was made applicable by the Commission. Further, vide letter no. UPERC / Secy / D(Tariff) / 15-1839 dated January 28, 2015, the Commission has extended the relief to the above categories of consumers till March 31, 2015 and directed the Licensees to prioritize the exercise and get it completed by March 31, 2015. </w:t>
      </w:r>
    </w:p>
    <w:p w:rsidR="00D5771F" w:rsidRDefault="00E34329">
      <w:pPr>
        <w:pStyle w:val="Heading3"/>
        <w:tabs>
          <w:tab w:val="clear" w:pos="720"/>
        </w:tabs>
        <w:spacing w:after="240"/>
        <w:ind w:left="993" w:hanging="993"/>
      </w:pPr>
      <w:r w:rsidRPr="00E34329">
        <w:t xml:space="preserve">Further, the Commission vide letter no. UPERC / D(T) 2015-475 dated June 03, 2015 in the matter of Load ascertainment for Rural Consumers &amp; Metering has directed the Distribution Licensees to confirm the status of the compliance to the above directive presuming that appropriate action have already been taken by the Licensees. </w:t>
      </w:r>
    </w:p>
    <w:p w:rsidR="00D5771F" w:rsidRDefault="00E34329">
      <w:pPr>
        <w:pStyle w:val="Heading3"/>
        <w:tabs>
          <w:tab w:val="clear" w:pos="720"/>
        </w:tabs>
        <w:spacing w:after="240"/>
        <w:ind w:left="993" w:hanging="993"/>
      </w:pPr>
      <w:r w:rsidRPr="00E34329">
        <w:t xml:space="preserve">To encourage the consumers to get metered connection, the Commission in its Orders for FY 2014-15 and FY 2015-16has also specified that the Cost of meter may be borne initially by the Licensee which shall be adjusted in the consumers’ bill within 6 months of time and the above scheme was made applicable only for the consumers who install the meters by March 31, 2015. </w:t>
      </w:r>
    </w:p>
    <w:p w:rsidR="00D5771F" w:rsidRDefault="00E34329">
      <w:pPr>
        <w:pStyle w:val="Heading3"/>
        <w:tabs>
          <w:tab w:val="clear" w:pos="720"/>
        </w:tabs>
        <w:spacing w:after="240"/>
        <w:ind w:left="993" w:hanging="993"/>
        <w:rPr>
          <w:b/>
        </w:rPr>
      </w:pPr>
      <w:r w:rsidRPr="00E34329">
        <w:rPr>
          <w:b/>
        </w:rPr>
        <w:lastRenderedPageBreak/>
        <w:t xml:space="preserve">Thus, in line with the direction provided by the Commission in earlier Orders, the Commission has decided to retain the provisions and directs the Licensee that that the Cost of meter may be borne initially by the Licensee which shall be adjusted in the consumers’ bill within 6 months of time and this scheme would be applicable only for the unmetered consumers who install the meters by March 31, 2017. </w:t>
      </w:r>
    </w:p>
    <w:p w:rsidR="00D5771F" w:rsidRDefault="00E34329">
      <w:pPr>
        <w:pStyle w:val="Heading3"/>
        <w:tabs>
          <w:tab w:val="clear" w:pos="720"/>
        </w:tabs>
        <w:spacing w:after="240"/>
        <w:ind w:left="993" w:hanging="993"/>
      </w:pPr>
      <w:r w:rsidRPr="00E34329">
        <w:t>The Commission vide its Order dated May 29, 2015, on Suo-Moto proceedings on provisional billing in case of defective meters/normative consumption for unmetered consumers &amp; facilitation charges done through internet, directed that in case of defective meters, the Licensees have to use the normative consumption billing method as per the provisions specified in the Electricity Supply Code, 2005 and for the consumers with no meters (i.e. in the case where the consumers were given metered connection but meters are not yet installed) the provisional billing shall continue only for a maximum period of two billing cycles, during which the Licensees should ensure the meters get installed. Thereafter, the Licensees shall not be entitled to raise any bill from the consumers without installation of meters and the revenue loss on this account will be borne by the Licensees which will also be considered as deemed revenue.</w:t>
      </w:r>
    </w:p>
    <w:p w:rsidR="00D5771F" w:rsidRDefault="00E34329">
      <w:pPr>
        <w:pStyle w:val="Heading3"/>
        <w:tabs>
          <w:tab w:val="clear" w:pos="720"/>
        </w:tabs>
        <w:spacing w:after="240"/>
        <w:ind w:left="993" w:hanging="993"/>
      </w:pPr>
      <w:r w:rsidRPr="00E34329">
        <w:t>The Distribution Licensees aggrieved by the above Order of the Commission filed an affidavit on June 04, 2015 in which it informed the Commission about the practical difficulties being faced on installation of meters and thus requested the Commission to extend the period of provisional billing from two months to six months by which time licensees were hopeful of arranging the meters and installing them.</w:t>
      </w:r>
    </w:p>
    <w:p w:rsidR="00D5771F" w:rsidRDefault="00E34329">
      <w:pPr>
        <w:pStyle w:val="Heading3"/>
        <w:tabs>
          <w:tab w:val="clear" w:pos="720"/>
        </w:tabs>
        <w:spacing w:after="240"/>
        <w:ind w:left="993" w:hanging="993"/>
      </w:pPr>
      <w:r w:rsidRPr="00E34329">
        <w:t>The Commission vide its Order dated August 21, 2015 allowed the Distribution Licensees to install meters at all the un-metered urban consumers upto October 31, 2015 beyond which the licensees will not be entitled to raise any bill from the consumers, and reiterated that the loss of revenue on this account shall be borne by the licenses, and the same will be considered as deemed revenue.</w:t>
      </w:r>
    </w:p>
    <w:p w:rsidR="00D5771F" w:rsidRDefault="00E34329">
      <w:pPr>
        <w:pStyle w:val="Heading3"/>
        <w:tabs>
          <w:tab w:val="clear" w:pos="720"/>
        </w:tabs>
        <w:spacing w:after="240"/>
        <w:ind w:left="993" w:hanging="993"/>
      </w:pPr>
      <w:r w:rsidRPr="00E34329">
        <w:t xml:space="preserve">The Distribution Licensees filed a Petition on October 6, 2015 before the Commission in which it was submitted that the Licensees have started the </w:t>
      </w:r>
      <w:r w:rsidRPr="00E34329">
        <w:lastRenderedPageBreak/>
        <w:t>installation of meters on war footing and about the problems faced by them in respect of some defiant consumers.</w:t>
      </w:r>
    </w:p>
    <w:p w:rsidR="00D5771F" w:rsidRDefault="00E34329">
      <w:pPr>
        <w:pStyle w:val="Heading3"/>
        <w:tabs>
          <w:tab w:val="clear" w:pos="720"/>
        </w:tabs>
        <w:spacing w:after="240"/>
        <w:ind w:left="993" w:hanging="993"/>
        <w:rPr>
          <w:rFonts w:asciiTheme="minorHAnsi" w:hAnsiTheme="minorHAnsi"/>
        </w:rPr>
      </w:pPr>
      <w:r w:rsidRPr="00E34329">
        <w:t>During the hearing dated December 9, 2015 in the matter of “</w:t>
      </w:r>
      <w:r w:rsidRPr="00E34329">
        <w:rPr>
          <w:i/>
        </w:rPr>
        <w:t>Installation of meters</w:t>
      </w:r>
      <w:r w:rsidRPr="00E34329">
        <w:t xml:space="preserve">” </w:t>
      </w:r>
      <w:r w:rsidRPr="00E34329">
        <w:rPr>
          <w:rFonts w:cs="TTE23FEB88t00"/>
          <w:szCs w:val="23"/>
        </w:rPr>
        <w:t>the representatives of the respective Licensees submitted the information about the status of metering in urban areas as provided below:</w:t>
      </w:r>
    </w:p>
    <w:p w:rsidR="00C34658" w:rsidRPr="00BB5484" w:rsidRDefault="00E34329" w:rsidP="00C34658">
      <w:pPr>
        <w:pStyle w:val="Heading3"/>
        <w:numPr>
          <w:ilvl w:val="0"/>
          <w:numId w:val="0"/>
        </w:numPr>
        <w:tabs>
          <w:tab w:val="clear" w:pos="720"/>
        </w:tabs>
        <w:ind w:left="993"/>
        <w:rPr>
          <w:rFonts w:asciiTheme="minorHAnsi" w:hAnsiTheme="minorHAnsi"/>
        </w:rPr>
      </w:pPr>
      <w:bookmarkStart w:id="410" w:name="_Toc453367658"/>
      <w:bookmarkStart w:id="411" w:name="_Toc457604025"/>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9</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xml:space="preserve">: </w:t>
      </w:r>
      <w:r w:rsidRPr="00E34329">
        <w:rPr>
          <w:rFonts w:asciiTheme="minorHAnsi" w:hAnsiTheme="minorHAnsi" w:cs="Calibri"/>
          <w:b/>
          <w:bCs w:val="0"/>
          <w:sz w:val="22"/>
          <w:szCs w:val="22"/>
          <w:lang w:val="en-US"/>
        </w:rPr>
        <w:t>NUMBER OF UN-METERED CONSUMERS AS SUBMITTED BY PETITIONER</w:t>
      </w:r>
      <w:bookmarkEnd w:id="410"/>
      <w:bookmarkEnd w:id="411"/>
    </w:p>
    <w:tbl>
      <w:tblPr>
        <w:tblStyle w:val="TableGrid"/>
        <w:tblW w:w="4760" w:type="pct"/>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442"/>
        <w:gridCol w:w="990"/>
        <w:gridCol w:w="1078"/>
        <w:gridCol w:w="1157"/>
        <w:gridCol w:w="986"/>
        <w:gridCol w:w="974"/>
        <w:gridCol w:w="1832"/>
      </w:tblGrid>
      <w:tr w:rsidR="00150725" w:rsidRPr="00150725" w:rsidTr="0022732D">
        <w:trPr>
          <w:tblHeader/>
        </w:trPr>
        <w:tc>
          <w:tcPr>
            <w:tcW w:w="852" w:type="pct"/>
            <w:shd w:val="clear" w:color="auto" w:fill="DBE5F1" w:themeFill="accent1" w:themeFillTint="33"/>
          </w:tcPr>
          <w:p w:rsidR="00337C98" w:rsidRDefault="00E34329" w:rsidP="00337C98">
            <w:pPr>
              <w:spacing w:before="0" w:line="240" w:lineRule="auto"/>
              <w:jc w:val="center"/>
              <w:rPr>
                <w:rFonts w:asciiTheme="minorHAnsi" w:hAnsiTheme="minorHAnsi"/>
                <w:b/>
                <w:sz w:val="22"/>
                <w:szCs w:val="22"/>
              </w:rPr>
            </w:pPr>
            <w:r w:rsidRPr="00E34329">
              <w:rPr>
                <w:rFonts w:asciiTheme="minorHAnsi" w:hAnsiTheme="minorHAnsi"/>
                <w:b/>
                <w:sz w:val="22"/>
                <w:szCs w:val="22"/>
              </w:rPr>
              <w:t>Particulars</w:t>
            </w:r>
          </w:p>
        </w:tc>
        <w:tc>
          <w:tcPr>
            <w:tcW w:w="585" w:type="pct"/>
            <w:shd w:val="clear" w:color="auto" w:fill="DBE5F1" w:themeFill="accent1" w:themeFillTint="33"/>
          </w:tcPr>
          <w:p w:rsidR="00337C98" w:rsidRDefault="00E34329" w:rsidP="00337C98">
            <w:pPr>
              <w:spacing w:before="0" w:line="240" w:lineRule="auto"/>
              <w:jc w:val="center"/>
              <w:rPr>
                <w:rFonts w:asciiTheme="minorHAnsi" w:hAnsiTheme="minorHAnsi"/>
                <w:b/>
                <w:color w:val="000000"/>
                <w:sz w:val="22"/>
                <w:szCs w:val="22"/>
              </w:rPr>
            </w:pPr>
            <w:r w:rsidRPr="00E34329">
              <w:rPr>
                <w:rFonts w:asciiTheme="minorHAnsi" w:hAnsiTheme="minorHAnsi"/>
                <w:b/>
                <w:color w:val="000000"/>
                <w:sz w:val="22"/>
                <w:szCs w:val="22"/>
              </w:rPr>
              <w:t>DVVNL</w:t>
            </w:r>
          </w:p>
        </w:tc>
        <w:tc>
          <w:tcPr>
            <w:tcW w:w="637" w:type="pct"/>
            <w:shd w:val="clear" w:color="auto" w:fill="DBE5F1" w:themeFill="accent1" w:themeFillTint="33"/>
          </w:tcPr>
          <w:p w:rsidR="00337C98" w:rsidRDefault="00E34329" w:rsidP="00337C98">
            <w:pPr>
              <w:spacing w:before="0" w:line="240" w:lineRule="auto"/>
              <w:jc w:val="center"/>
              <w:rPr>
                <w:rFonts w:asciiTheme="minorHAnsi" w:hAnsiTheme="minorHAnsi"/>
                <w:b/>
                <w:sz w:val="22"/>
                <w:szCs w:val="22"/>
              </w:rPr>
            </w:pPr>
            <w:r w:rsidRPr="00E34329">
              <w:rPr>
                <w:rFonts w:asciiTheme="minorHAnsi" w:hAnsiTheme="minorHAnsi"/>
                <w:b/>
                <w:sz w:val="22"/>
                <w:szCs w:val="22"/>
              </w:rPr>
              <w:t>MVVNL</w:t>
            </w:r>
          </w:p>
        </w:tc>
        <w:tc>
          <w:tcPr>
            <w:tcW w:w="684" w:type="pct"/>
            <w:shd w:val="clear" w:color="auto" w:fill="DBE5F1" w:themeFill="accent1" w:themeFillTint="33"/>
          </w:tcPr>
          <w:p w:rsidR="00337C98" w:rsidRDefault="00E34329" w:rsidP="00337C98">
            <w:pPr>
              <w:spacing w:before="0" w:line="240" w:lineRule="auto"/>
              <w:jc w:val="center"/>
              <w:rPr>
                <w:rFonts w:asciiTheme="minorHAnsi" w:hAnsiTheme="minorHAnsi"/>
                <w:b/>
                <w:sz w:val="22"/>
                <w:szCs w:val="22"/>
              </w:rPr>
            </w:pPr>
            <w:r w:rsidRPr="00E34329">
              <w:rPr>
                <w:rFonts w:asciiTheme="minorHAnsi" w:hAnsiTheme="minorHAnsi"/>
                <w:b/>
                <w:sz w:val="22"/>
                <w:szCs w:val="22"/>
              </w:rPr>
              <w:t>PuVVNL</w:t>
            </w:r>
          </w:p>
        </w:tc>
        <w:tc>
          <w:tcPr>
            <w:tcW w:w="583" w:type="pct"/>
            <w:shd w:val="clear" w:color="auto" w:fill="DBE5F1" w:themeFill="accent1" w:themeFillTint="33"/>
          </w:tcPr>
          <w:p w:rsidR="00337C98" w:rsidRDefault="00E34329" w:rsidP="00337C98">
            <w:pPr>
              <w:spacing w:before="0" w:line="240" w:lineRule="auto"/>
              <w:jc w:val="center"/>
              <w:rPr>
                <w:rFonts w:asciiTheme="minorHAnsi" w:hAnsiTheme="minorHAnsi"/>
                <w:b/>
                <w:sz w:val="22"/>
                <w:szCs w:val="22"/>
              </w:rPr>
            </w:pPr>
            <w:r w:rsidRPr="00E34329">
              <w:rPr>
                <w:rFonts w:asciiTheme="minorHAnsi" w:hAnsiTheme="minorHAnsi"/>
                <w:b/>
                <w:sz w:val="22"/>
                <w:szCs w:val="22"/>
              </w:rPr>
              <w:t>PVVNL</w:t>
            </w:r>
          </w:p>
        </w:tc>
        <w:tc>
          <w:tcPr>
            <w:tcW w:w="576" w:type="pct"/>
            <w:shd w:val="clear" w:color="auto" w:fill="DBE5F1" w:themeFill="accent1" w:themeFillTint="33"/>
          </w:tcPr>
          <w:p w:rsidR="00337C98" w:rsidRDefault="00E34329" w:rsidP="00337C98">
            <w:pPr>
              <w:spacing w:before="0" w:line="240" w:lineRule="auto"/>
              <w:jc w:val="center"/>
              <w:rPr>
                <w:rFonts w:asciiTheme="minorHAnsi" w:hAnsiTheme="minorHAnsi"/>
                <w:b/>
                <w:sz w:val="22"/>
                <w:szCs w:val="22"/>
              </w:rPr>
            </w:pPr>
            <w:r w:rsidRPr="00E34329">
              <w:rPr>
                <w:rFonts w:asciiTheme="minorHAnsi" w:hAnsiTheme="minorHAnsi"/>
                <w:b/>
                <w:sz w:val="22"/>
                <w:szCs w:val="22"/>
              </w:rPr>
              <w:t>KESCO</w:t>
            </w:r>
          </w:p>
        </w:tc>
        <w:tc>
          <w:tcPr>
            <w:tcW w:w="1083" w:type="pct"/>
            <w:shd w:val="clear" w:color="auto" w:fill="DBE5F1" w:themeFill="accent1" w:themeFillTint="33"/>
          </w:tcPr>
          <w:p w:rsidR="00337C98" w:rsidRDefault="00E34329" w:rsidP="00337C98">
            <w:pPr>
              <w:spacing w:before="0" w:line="240" w:lineRule="auto"/>
              <w:jc w:val="center"/>
              <w:rPr>
                <w:rFonts w:asciiTheme="minorHAnsi" w:hAnsiTheme="minorHAnsi"/>
                <w:b/>
                <w:sz w:val="22"/>
                <w:szCs w:val="22"/>
              </w:rPr>
            </w:pPr>
            <w:r w:rsidRPr="00E34329">
              <w:rPr>
                <w:rFonts w:asciiTheme="minorHAnsi" w:hAnsiTheme="minorHAnsi"/>
                <w:b/>
                <w:sz w:val="22"/>
                <w:szCs w:val="22"/>
              </w:rPr>
              <w:t>Consolidated</w:t>
            </w:r>
          </w:p>
        </w:tc>
      </w:tr>
      <w:tr w:rsidR="00150725" w:rsidRPr="00150725" w:rsidTr="00150725">
        <w:tc>
          <w:tcPr>
            <w:tcW w:w="852"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 xml:space="preserve">LMV -1 </w:t>
            </w:r>
          </w:p>
        </w:tc>
        <w:tc>
          <w:tcPr>
            <w:tcW w:w="585"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637"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684"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714</w:t>
            </w:r>
          </w:p>
        </w:tc>
        <w:tc>
          <w:tcPr>
            <w:tcW w:w="5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1724</w:t>
            </w:r>
          </w:p>
        </w:tc>
        <w:tc>
          <w:tcPr>
            <w:tcW w:w="576"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519</w:t>
            </w:r>
          </w:p>
        </w:tc>
        <w:tc>
          <w:tcPr>
            <w:tcW w:w="10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s="Arial"/>
                <w:sz w:val="22"/>
                <w:szCs w:val="22"/>
              </w:rPr>
              <w:t>2957</w:t>
            </w:r>
          </w:p>
        </w:tc>
      </w:tr>
      <w:tr w:rsidR="00150725" w:rsidRPr="00150725" w:rsidTr="00150725">
        <w:tc>
          <w:tcPr>
            <w:tcW w:w="852"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 xml:space="preserve">LMV -2 </w:t>
            </w:r>
          </w:p>
        </w:tc>
        <w:tc>
          <w:tcPr>
            <w:tcW w:w="585"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637"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684"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5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160</w:t>
            </w:r>
          </w:p>
        </w:tc>
        <w:tc>
          <w:tcPr>
            <w:tcW w:w="576"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108</w:t>
            </w:r>
          </w:p>
        </w:tc>
        <w:tc>
          <w:tcPr>
            <w:tcW w:w="10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s="Arial"/>
                <w:sz w:val="22"/>
                <w:szCs w:val="22"/>
              </w:rPr>
              <w:t>268</w:t>
            </w:r>
          </w:p>
        </w:tc>
      </w:tr>
      <w:tr w:rsidR="00150725" w:rsidRPr="00150725" w:rsidTr="00150725">
        <w:tc>
          <w:tcPr>
            <w:tcW w:w="852"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 xml:space="preserve">LMV-3 </w:t>
            </w:r>
          </w:p>
        </w:tc>
        <w:tc>
          <w:tcPr>
            <w:tcW w:w="585"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637"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146</w:t>
            </w:r>
          </w:p>
        </w:tc>
        <w:tc>
          <w:tcPr>
            <w:tcW w:w="684"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5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98</w:t>
            </w:r>
          </w:p>
        </w:tc>
        <w:tc>
          <w:tcPr>
            <w:tcW w:w="576"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18</w:t>
            </w:r>
          </w:p>
        </w:tc>
        <w:tc>
          <w:tcPr>
            <w:tcW w:w="10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s="Arial"/>
                <w:sz w:val="22"/>
                <w:szCs w:val="22"/>
              </w:rPr>
              <w:t>262</w:t>
            </w:r>
          </w:p>
        </w:tc>
      </w:tr>
      <w:tr w:rsidR="00150725" w:rsidRPr="00150725" w:rsidTr="00150725">
        <w:tc>
          <w:tcPr>
            <w:tcW w:w="852"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LMV-5</w:t>
            </w:r>
          </w:p>
        </w:tc>
        <w:tc>
          <w:tcPr>
            <w:tcW w:w="585"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637"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2100</w:t>
            </w:r>
          </w:p>
        </w:tc>
        <w:tc>
          <w:tcPr>
            <w:tcW w:w="684"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5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51</w:t>
            </w:r>
          </w:p>
        </w:tc>
        <w:tc>
          <w:tcPr>
            <w:tcW w:w="576"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10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s="Arial"/>
                <w:sz w:val="22"/>
                <w:szCs w:val="22"/>
              </w:rPr>
              <w:t>2151</w:t>
            </w:r>
          </w:p>
        </w:tc>
      </w:tr>
      <w:tr w:rsidR="00150725" w:rsidRPr="00150725" w:rsidTr="00150725">
        <w:tc>
          <w:tcPr>
            <w:tcW w:w="852"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 xml:space="preserve">LMV-8 </w:t>
            </w:r>
          </w:p>
        </w:tc>
        <w:tc>
          <w:tcPr>
            <w:tcW w:w="585"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637"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262</w:t>
            </w:r>
          </w:p>
        </w:tc>
        <w:tc>
          <w:tcPr>
            <w:tcW w:w="684"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5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576"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10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s="Arial"/>
                <w:sz w:val="22"/>
                <w:szCs w:val="22"/>
              </w:rPr>
              <w:t>262</w:t>
            </w:r>
          </w:p>
        </w:tc>
      </w:tr>
      <w:tr w:rsidR="00150725" w:rsidRPr="00150725" w:rsidTr="00150725">
        <w:tc>
          <w:tcPr>
            <w:tcW w:w="852" w:type="pct"/>
            <w:vAlign w:val="center"/>
          </w:tcPr>
          <w:p w:rsidR="00D5771F" w:rsidRDefault="00E34329">
            <w:pPr>
              <w:spacing w:before="0" w:line="240" w:lineRule="auto"/>
              <w:rPr>
                <w:rFonts w:asciiTheme="minorHAnsi" w:hAnsiTheme="minorHAnsi"/>
                <w:sz w:val="22"/>
                <w:szCs w:val="22"/>
              </w:rPr>
            </w:pPr>
            <w:r w:rsidRPr="00E34329">
              <w:rPr>
                <w:rFonts w:asciiTheme="minorHAnsi" w:hAnsiTheme="minorHAnsi"/>
                <w:sz w:val="22"/>
                <w:szCs w:val="22"/>
              </w:rPr>
              <w:t>Total</w:t>
            </w:r>
          </w:p>
        </w:tc>
        <w:tc>
          <w:tcPr>
            <w:tcW w:w="585"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w:t>
            </w:r>
          </w:p>
        </w:tc>
        <w:tc>
          <w:tcPr>
            <w:tcW w:w="637"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2508</w:t>
            </w:r>
          </w:p>
        </w:tc>
        <w:tc>
          <w:tcPr>
            <w:tcW w:w="684"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714</w:t>
            </w:r>
          </w:p>
        </w:tc>
        <w:tc>
          <w:tcPr>
            <w:tcW w:w="5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2033</w:t>
            </w:r>
          </w:p>
        </w:tc>
        <w:tc>
          <w:tcPr>
            <w:tcW w:w="576"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645</w:t>
            </w:r>
          </w:p>
        </w:tc>
        <w:tc>
          <w:tcPr>
            <w:tcW w:w="1083" w:type="pct"/>
            <w:vAlign w:val="center"/>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s="Arial"/>
                <w:sz w:val="22"/>
                <w:szCs w:val="22"/>
              </w:rPr>
              <w:t>5900</w:t>
            </w:r>
          </w:p>
        </w:tc>
      </w:tr>
    </w:tbl>
    <w:p w:rsidR="00D503E6" w:rsidRPr="00BB5484" w:rsidRDefault="00E34329" w:rsidP="00150725">
      <w:pPr>
        <w:pStyle w:val="Heading3"/>
        <w:numPr>
          <w:ilvl w:val="0"/>
          <w:numId w:val="0"/>
        </w:numPr>
        <w:tabs>
          <w:tab w:val="clear" w:pos="720"/>
        </w:tabs>
        <w:spacing w:before="0" w:after="240"/>
        <w:ind w:left="993"/>
        <w:rPr>
          <w:rFonts w:asciiTheme="minorHAnsi" w:hAnsiTheme="minorHAnsi" w:cs="TTE23FEB88t00"/>
          <w:i/>
          <w:sz w:val="22"/>
          <w:szCs w:val="23"/>
        </w:rPr>
      </w:pPr>
      <w:r w:rsidRPr="00E34329">
        <w:rPr>
          <w:rFonts w:asciiTheme="minorHAnsi" w:hAnsiTheme="minorHAnsi" w:cs="TTE23FEB88t00"/>
          <w:i/>
          <w:sz w:val="22"/>
          <w:szCs w:val="23"/>
        </w:rPr>
        <w:t xml:space="preserve">   #All the above figures are updated till November, 2015</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The Commission also observed some data discrepancies in the information submitted by the Licensees. However the Commission appreciated the efforts put in by the concerned officers of DVVNL, PuVVNL &amp; KESCo and further directs the MDs of MVVNL &amp; PVVNL to take strict action against the officers who have been responsible for not achieving the targets and intimate the Commission of the same.</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cs="TTE23FEB88t00"/>
          <w:szCs w:val="23"/>
        </w:rPr>
        <w:t>Further, the Commission in its Order dated December 21, 2015 directed the Licensees to provisionally bill all such consumers who do not get the meters installed at their premises, despite issuance of public as well as individual notices at the rate of 2 (Two) times of the normative consumption rates applicable at that time. For this purpose, a public notice be published, requesting the remaining consumers to get the meters installed within a maximum period of 7 (seven) days and simultaneously the licensees must serve individual notices to all such consumers giving them15days’ time to get the meter installed, failing which, the licensee will charge enhanced provisional billing @2 (Two) times of the normative consumption rates as applicable at that time. Consumers who have been served such notices will not be under the ambit of the provision of the ‘Licensees not to be entitled to raise any bill in case of unmetered consumers’ till a decision on their reply to the notice is taken.</w:t>
      </w:r>
    </w:p>
    <w:p w:rsidR="00D5771F" w:rsidRDefault="00E34329">
      <w:pPr>
        <w:pStyle w:val="Heading3"/>
        <w:tabs>
          <w:tab w:val="clear" w:pos="720"/>
        </w:tabs>
        <w:spacing w:after="240"/>
        <w:ind w:left="993" w:hanging="993"/>
        <w:rPr>
          <w:rFonts w:asciiTheme="minorHAnsi" w:hAnsiTheme="minorHAnsi" w:cs="TTE23FEB88t00"/>
          <w:szCs w:val="23"/>
        </w:rPr>
      </w:pPr>
      <w:r w:rsidRPr="00E34329">
        <w:rPr>
          <w:rFonts w:asciiTheme="minorHAnsi" w:hAnsiTheme="minorHAnsi" w:cs="TTE23FEB88t00"/>
          <w:szCs w:val="23"/>
        </w:rPr>
        <w:lastRenderedPageBreak/>
        <w:t>In the said Order dated December 21, 2015 the Commission directed that no Licensee will be entitled to raise any bill to the unmetered urban consumers from January 1, 2016, provided such consumers have not been issued notices to get the meters installed and till a decision on their reply to the notice is taken and the loss of revenue on this account shall be borne by the Licensees, and the same will be considered as deemed revenue.</w:t>
      </w:r>
    </w:p>
    <w:p w:rsidR="00D5771F" w:rsidRDefault="00E34329">
      <w:pPr>
        <w:pStyle w:val="Heading3"/>
        <w:tabs>
          <w:tab w:val="clear" w:pos="720"/>
        </w:tabs>
        <w:spacing w:after="240"/>
        <w:ind w:left="993" w:hanging="993"/>
        <w:rPr>
          <w:rFonts w:asciiTheme="minorHAnsi" w:hAnsiTheme="minorHAnsi" w:cs="TTE23FEB88t00"/>
          <w:b/>
          <w:szCs w:val="23"/>
        </w:rPr>
      </w:pPr>
      <w:r w:rsidRPr="00E34329">
        <w:rPr>
          <w:rFonts w:asciiTheme="minorHAnsi" w:hAnsiTheme="minorHAnsi" w:cs="TTE23FEB88t00"/>
          <w:szCs w:val="23"/>
        </w:rPr>
        <w:t xml:space="preserve">The Commission also expressed its satisfaction, and also appreciated the Discoms for the work done in respect of urban metering which has almost reached 100% level. The rural metering, however, still remains an area of grave concern. As 100% metering has been provided for in the Electricity Act, 2003, the Commission has been repeatedly directing and stressing the licensees to achieve 100% metering &amp; energy auditing. In this regard, </w:t>
      </w:r>
      <w:r w:rsidRPr="00E34329">
        <w:rPr>
          <w:rFonts w:asciiTheme="minorHAnsi" w:hAnsiTheme="minorHAnsi" w:cs="TTE23FEB88t00"/>
          <w:b/>
          <w:szCs w:val="23"/>
        </w:rPr>
        <w:t>the Commission directs the Licensees to put all efforts to get all the rural consumers metered and submit monthly progress report to the Commission. Further the Licensees / UPPCL are directed to put up a proposal to the Commission on payment of interest to all such consumers whose cost of the meter is deposited with them but the licensee has not installed their meters.</w:t>
      </w:r>
    </w:p>
    <w:p w:rsidR="00D5771F" w:rsidRDefault="00E34329">
      <w:pPr>
        <w:pStyle w:val="Heading3"/>
        <w:tabs>
          <w:tab w:val="clear" w:pos="720"/>
        </w:tabs>
        <w:spacing w:after="240"/>
        <w:ind w:left="993" w:hanging="993"/>
        <w:rPr>
          <w:rFonts w:asciiTheme="minorHAnsi" w:hAnsiTheme="minorHAnsi" w:cs="TTE23FEB88t00"/>
          <w:szCs w:val="23"/>
        </w:rPr>
      </w:pPr>
      <w:r w:rsidRPr="00E34329">
        <w:rPr>
          <w:rFonts w:asciiTheme="minorHAnsi" w:hAnsiTheme="minorHAnsi" w:cs="TTE23FEB88t00"/>
          <w:szCs w:val="23"/>
        </w:rPr>
        <w:t>In reply to the Commission’s deficiency note regarding number of unmetered connections up to FY 2014-15, the Petitioner has submitted the details as follows:</w:t>
      </w:r>
    </w:p>
    <w:p w:rsidR="00C34658" w:rsidRPr="00BB5484" w:rsidRDefault="00E34329" w:rsidP="00C34658">
      <w:pPr>
        <w:spacing w:before="0"/>
        <w:jc w:val="center"/>
        <w:rPr>
          <w:rFonts w:asciiTheme="minorHAnsi" w:hAnsiTheme="minorHAnsi" w:cs="Calibri"/>
          <w:b/>
          <w:sz w:val="22"/>
          <w:szCs w:val="22"/>
          <w:highlight w:val="yellow"/>
          <w:lang w:val="en-US"/>
        </w:rPr>
      </w:pPr>
      <w:bookmarkStart w:id="412" w:name="_Toc396573974"/>
      <w:bookmarkStart w:id="413" w:name="_Toc399624075"/>
      <w:bookmarkStart w:id="414" w:name="_Toc453367659"/>
      <w:bookmarkStart w:id="415" w:name="_Toc457604026"/>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10</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NUMBER OF UN-METERED CONSUMERS AS SUBMITTED BY DVVNL</w:t>
      </w:r>
      <w:bookmarkEnd w:id="412"/>
      <w:bookmarkEnd w:id="413"/>
      <w:bookmarkEnd w:id="414"/>
      <w:bookmarkEnd w:id="415"/>
    </w:p>
    <w:tbl>
      <w:tblPr>
        <w:tblStyle w:val="TableGrid"/>
        <w:tblW w:w="5330" w:type="pct"/>
        <w:jc w:val="center"/>
        <w:tblInd w:w="-8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606"/>
        <w:gridCol w:w="989"/>
        <w:gridCol w:w="902"/>
        <w:gridCol w:w="991"/>
        <w:gridCol w:w="902"/>
        <w:gridCol w:w="989"/>
        <w:gridCol w:w="991"/>
        <w:gridCol w:w="1101"/>
      </w:tblGrid>
      <w:tr w:rsidR="00C34658" w:rsidRPr="00BB5484" w:rsidTr="00D55642">
        <w:trPr>
          <w:tblHeader/>
          <w:jc w:val="center"/>
        </w:trPr>
        <w:tc>
          <w:tcPr>
            <w:tcW w:w="1376" w:type="pct"/>
            <w:shd w:val="clear" w:color="auto" w:fill="DBE5F1" w:themeFill="accent1" w:themeFillTint="33"/>
            <w:vAlign w:val="center"/>
          </w:tcPr>
          <w:p w:rsidR="00C34658" w:rsidRPr="00BB5484" w:rsidRDefault="00E34329" w:rsidP="00D55642">
            <w:pPr>
              <w:spacing w:before="0"/>
              <w:jc w:val="center"/>
              <w:rPr>
                <w:rFonts w:asciiTheme="minorHAnsi" w:hAnsiTheme="minorHAnsi"/>
                <w:b/>
                <w:sz w:val="20"/>
              </w:rPr>
            </w:pPr>
            <w:r w:rsidRPr="00E34329">
              <w:rPr>
                <w:rFonts w:asciiTheme="minorHAnsi" w:hAnsiTheme="minorHAnsi" w:cstheme="minorBidi"/>
                <w:b/>
                <w:sz w:val="20"/>
                <w:szCs w:val="22"/>
              </w:rPr>
              <w:t>Particulars</w:t>
            </w:r>
          </w:p>
        </w:tc>
        <w:tc>
          <w:tcPr>
            <w:tcW w:w="522" w:type="pct"/>
            <w:shd w:val="clear" w:color="auto" w:fill="DBE5F1" w:themeFill="accent1" w:themeFillTint="33"/>
            <w:vAlign w:val="center"/>
          </w:tcPr>
          <w:p w:rsidR="00C34658" w:rsidRPr="00BB5484" w:rsidRDefault="00E34329" w:rsidP="00D55642">
            <w:pPr>
              <w:spacing w:before="0"/>
              <w:jc w:val="center"/>
              <w:rPr>
                <w:rFonts w:asciiTheme="minorHAnsi" w:hAnsiTheme="minorHAnsi"/>
                <w:b/>
                <w:color w:val="000000"/>
                <w:sz w:val="22"/>
                <w:szCs w:val="22"/>
              </w:rPr>
            </w:pPr>
            <w:r w:rsidRPr="00E34329">
              <w:rPr>
                <w:rFonts w:asciiTheme="minorHAnsi" w:hAnsiTheme="minorHAnsi"/>
                <w:b/>
                <w:color w:val="000000"/>
                <w:sz w:val="22"/>
                <w:szCs w:val="22"/>
              </w:rPr>
              <w:t>FY 2008-09</w:t>
            </w:r>
          </w:p>
        </w:tc>
        <w:tc>
          <w:tcPr>
            <w:tcW w:w="476" w:type="pct"/>
            <w:shd w:val="clear" w:color="auto" w:fill="DBE5F1" w:themeFill="accent1" w:themeFillTint="33"/>
            <w:vAlign w:val="center"/>
          </w:tcPr>
          <w:p w:rsidR="00C34658" w:rsidRPr="00BB5484" w:rsidRDefault="00E34329" w:rsidP="00D55642">
            <w:pPr>
              <w:spacing w:before="0"/>
              <w:jc w:val="center"/>
              <w:rPr>
                <w:rFonts w:asciiTheme="minorHAnsi" w:hAnsiTheme="minorHAnsi"/>
                <w:b/>
                <w:sz w:val="20"/>
              </w:rPr>
            </w:pPr>
            <w:r w:rsidRPr="00E34329">
              <w:rPr>
                <w:rFonts w:asciiTheme="minorHAnsi" w:hAnsiTheme="minorHAnsi" w:cstheme="minorBidi"/>
                <w:b/>
                <w:sz w:val="20"/>
                <w:szCs w:val="22"/>
              </w:rPr>
              <w:t>FY 2009-10</w:t>
            </w:r>
          </w:p>
        </w:tc>
        <w:tc>
          <w:tcPr>
            <w:tcW w:w="523" w:type="pct"/>
            <w:shd w:val="clear" w:color="auto" w:fill="DBE5F1" w:themeFill="accent1" w:themeFillTint="33"/>
            <w:vAlign w:val="center"/>
          </w:tcPr>
          <w:p w:rsidR="00C34658" w:rsidRPr="00BB5484" w:rsidRDefault="00E34329" w:rsidP="00D55642">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 xml:space="preserve">FY </w:t>
            </w:r>
          </w:p>
          <w:p w:rsidR="00C34658" w:rsidRPr="00BB5484" w:rsidRDefault="00E34329" w:rsidP="00D55642">
            <w:pPr>
              <w:spacing w:before="0"/>
              <w:jc w:val="center"/>
              <w:rPr>
                <w:rFonts w:asciiTheme="minorHAnsi" w:hAnsiTheme="minorHAnsi"/>
                <w:b/>
                <w:sz w:val="20"/>
              </w:rPr>
            </w:pPr>
            <w:r w:rsidRPr="00E34329">
              <w:rPr>
                <w:rFonts w:asciiTheme="minorHAnsi" w:hAnsiTheme="minorHAnsi" w:cstheme="minorBidi"/>
                <w:b/>
                <w:sz w:val="20"/>
                <w:szCs w:val="22"/>
              </w:rPr>
              <w:t>2010-11</w:t>
            </w:r>
          </w:p>
        </w:tc>
        <w:tc>
          <w:tcPr>
            <w:tcW w:w="476" w:type="pct"/>
            <w:shd w:val="clear" w:color="auto" w:fill="DBE5F1" w:themeFill="accent1" w:themeFillTint="33"/>
            <w:vAlign w:val="center"/>
          </w:tcPr>
          <w:p w:rsidR="00C34658" w:rsidRPr="00BB5484" w:rsidRDefault="00E34329" w:rsidP="00D55642">
            <w:pPr>
              <w:spacing w:before="0"/>
              <w:jc w:val="center"/>
              <w:rPr>
                <w:rFonts w:asciiTheme="minorHAnsi" w:hAnsiTheme="minorHAnsi"/>
                <w:b/>
                <w:sz w:val="20"/>
              </w:rPr>
            </w:pPr>
            <w:r w:rsidRPr="00E34329">
              <w:rPr>
                <w:rFonts w:asciiTheme="minorHAnsi" w:hAnsiTheme="minorHAnsi" w:cstheme="minorBidi"/>
                <w:b/>
                <w:sz w:val="20"/>
                <w:szCs w:val="22"/>
              </w:rPr>
              <w:t>FY 2011-12</w:t>
            </w:r>
          </w:p>
        </w:tc>
        <w:tc>
          <w:tcPr>
            <w:tcW w:w="522" w:type="pct"/>
            <w:shd w:val="clear" w:color="auto" w:fill="DBE5F1" w:themeFill="accent1" w:themeFillTint="33"/>
            <w:vAlign w:val="center"/>
          </w:tcPr>
          <w:p w:rsidR="00C34658" w:rsidRPr="00BB5484" w:rsidRDefault="00E34329" w:rsidP="00D55642">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 xml:space="preserve">FY </w:t>
            </w:r>
          </w:p>
          <w:p w:rsidR="00C34658" w:rsidRPr="00BB5484" w:rsidRDefault="00E34329" w:rsidP="00D55642">
            <w:pPr>
              <w:spacing w:before="0"/>
              <w:jc w:val="center"/>
              <w:rPr>
                <w:rFonts w:asciiTheme="minorHAnsi" w:hAnsiTheme="minorHAnsi"/>
                <w:b/>
                <w:sz w:val="20"/>
              </w:rPr>
            </w:pPr>
            <w:r w:rsidRPr="00E34329">
              <w:rPr>
                <w:rFonts w:asciiTheme="minorHAnsi" w:hAnsiTheme="minorHAnsi" w:cstheme="minorBidi"/>
                <w:b/>
                <w:sz w:val="20"/>
                <w:szCs w:val="22"/>
              </w:rPr>
              <w:t>2012-13</w:t>
            </w:r>
          </w:p>
        </w:tc>
        <w:tc>
          <w:tcPr>
            <w:tcW w:w="523" w:type="pct"/>
            <w:shd w:val="clear" w:color="auto" w:fill="DBE5F1" w:themeFill="accent1" w:themeFillTint="33"/>
            <w:vAlign w:val="center"/>
          </w:tcPr>
          <w:p w:rsidR="00C34658" w:rsidRPr="00BB5484" w:rsidRDefault="00E34329" w:rsidP="00D55642">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 xml:space="preserve">FY </w:t>
            </w:r>
          </w:p>
          <w:p w:rsidR="00C34658" w:rsidRPr="00BB5484" w:rsidRDefault="00E34329" w:rsidP="00D55642">
            <w:pPr>
              <w:spacing w:before="0"/>
              <w:jc w:val="center"/>
              <w:rPr>
                <w:rFonts w:asciiTheme="minorHAnsi" w:hAnsiTheme="minorHAnsi"/>
                <w:b/>
                <w:sz w:val="20"/>
              </w:rPr>
            </w:pPr>
            <w:r w:rsidRPr="00E34329">
              <w:rPr>
                <w:rFonts w:asciiTheme="minorHAnsi" w:hAnsiTheme="minorHAnsi" w:cstheme="minorBidi"/>
                <w:b/>
                <w:sz w:val="20"/>
                <w:szCs w:val="22"/>
              </w:rPr>
              <w:t xml:space="preserve">2013-14 </w:t>
            </w:r>
          </w:p>
        </w:tc>
        <w:tc>
          <w:tcPr>
            <w:tcW w:w="581" w:type="pct"/>
            <w:shd w:val="clear" w:color="auto" w:fill="DBE5F1" w:themeFill="accent1" w:themeFillTint="33"/>
            <w:vAlign w:val="center"/>
          </w:tcPr>
          <w:p w:rsidR="00C34658" w:rsidRPr="00BB5484" w:rsidRDefault="00E34329" w:rsidP="00D55642">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 xml:space="preserve">FY </w:t>
            </w:r>
          </w:p>
          <w:p w:rsidR="00C34658" w:rsidRPr="00BB5484" w:rsidRDefault="00E34329" w:rsidP="00D55642">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 xml:space="preserve">2014-15 </w:t>
            </w:r>
          </w:p>
        </w:tc>
      </w:tr>
      <w:tr w:rsidR="00C34658" w:rsidRPr="00BB5484" w:rsidTr="00D55642">
        <w:trPr>
          <w:jc w:val="center"/>
        </w:trPr>
        <w:tc>
          <w:tcPr>
            <w:tcW w:w="1376"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 – 1 Rural Domestic</w:t>
            </w:r>
          </w:p>
        </w:tc>
        <w:tc>
          <w:tcPr>
            <w:tcW w:w="522"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436889</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525478</w:t>
            </w:r>
          </w:p>
        </w:tc>
        <w:tc>
          <w:tcPr>
            <w:tcW w:w="523"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546583</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615188</w:t>
            </w:r>
          </w:p>
        </w:tc>
        <w:tc>
          <w:tcPr>
            <w:tcW w:w="522"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607587</w:t>
            </w:r>
          </w:p>
        </w:tc>
        <w:tc>
          <w:tcPr>
            <w:tcW w:w="523"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616110</w:t>
            </w:r>
          </w:p>
        </w:tc>
        <w:tc>
          <w:tcPr>
            <w:tcW w:w="581" w:type="pct"/>
            <w:vAlign w:val="bottom"/>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696630</w:t>
            </w:r>
          </w:p>
        </w:tc>
      </w:tr>
      <w:tr w:rsidR="00C34658" w:rsidRPr="00BB5484" w:rsidTr="00D55642">
        <w:trPr>
          <w:jc w:val="center"/>
        </w:trPr>
        <w:tc>
          <w:tcPr>
            <w:tcW w:w="1376"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 – 2 Rural Commercial</w:t>
            </w:r>
          </w:p>
        </w:tc>
        <w:tc>
          <w:tcPr>
            <w:tcW w:w="522"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3058</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3297</w:t>
            </w:r>
          </w:p>
        </w:tc>
        <w:tc>
          <w:tcPr>
            <w:tcW w:w="523"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3492</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3556</w:t>
            </w:r>
          </w:p>
        </w:tc>
        <w:tc>
          <w:tcPr>
            <w:tcW w:w="522"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3953</w:t>
            </w:r>
          </w:p>
        </w:tc>
        <w:tc>
          <w:tcPr>
            <w:tcW w:w="523"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3326</w:t>
            </w:r>
          </w:p>
        </w:tc>
        <w:tc>
          <w:tcPr>
            <w:tcW w:w="581" w:type="pct"/>
            <w:vAlign w:val="bottom"/>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3855</w:t>
            </w:r>
          </w:p>
        </w:tc>
      </w:tr>
      <w:tr w:rsidR="00C34658" w:rsidRPr="00BB5484" w:rsidTr="00D55642">
        <w:trPr>
          <w:jc w:val="center"/>
        </w:trPr>
        <w:tc>
          <w:tcPr>
            <w:tcW w:w="1376"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LMV-3 Public Lamps</w:t>
            </w:r>
          </w:p>
        </w:tc>
        <w:tc>
          <w:tcPr>
            <w:tcW w:w="522"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1158</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1138</w:t>
            </w:r>
          </w:p>
        </w:tc>
        <w:tc>
          <w:tcPr>
            <w:tcW w:w="523"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531</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1197</w:t>
            </w:r>
          </w:p>
        </w:tc>
        <w:tc>
          <w:tcPr>
            <w:tcW w:w="522"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1330</w:t>
            </w:r>
          </w:p>
        </w:tc>
        <w:tc>
          <w:tcPr>
            <w:tcW w:w="523"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1334</w:t>
            </w:r>
          </w:p>
        </w:tc>
        <w:tc>
          <w:tcPr>
            <w:tcW w:w="581" w:type="pct"/>
            <w:vAlign w:val="bottom"/>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bCs/>
                <w:color w:val="000000"/>
                <w:sz w:val="22"/>
                <w:szCs w:val="22"/>
              </w:rPr>
              <w:t>1164</w:t>
            </w:r>
          </w:p>
        </w:tc>
      </w:tr>
      <w:tr w:rsidR="00C34658" w:rsidRPr="00BB5484" w:rsidTr="00D55642">
        <w:trPr>
          <w:jc w:val="center"/>
        </w:trPr>
        <w:tc>
          <w:tcPr>
            <w:tcW w:w="1376"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LMV-5 PTW</w:t>
            </w:r>
          </w:p>
        </w:tc>
        <w:tc>
          <w:tcPr>
            <w:tcW w:w="522"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102001</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107515</w:t>
            </w:r>
          </w:p>
        </w:tc>
        <w:tc>
          <w:tcPr>
            <w:tcW w:w="523"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111334</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117779</w:t>
            </w:r>
          </w:p>
        </w:tc>
        <w:tc>
          <w:tcPr>
            <w:tcW w:w="522"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122107</w:t>
            </w:r>
          </w:p>
        </w:tc>
        <w:tc>
          <w:tcPr>
            <w:tcW w:w="523"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126241</w:t>
            </w:r>
          </w:p>
        </w:tc>
        <w:tc>
          <w:tcPr>
            <w:tcW w:w="581" w:type="pct"/>
            <w:vAlign w:val="bottom"/>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132076</w:t>
            </w:r>
          </w:p>
        </w:tc>
      </w:tr>
      <w:tr w:rsidR="00C34658" w:rsidRPr="00BB5484" w:rsidTr="00D55642">
        <w:trPr>
          <w:jc w:val="center"/>
        </w:trPr>
        <w:tc>
          <w:tcPr>
            <w:tcW w:w="1376"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LMV-8 State Tube Wells</w:t>
            </w:r>
          </w:p>
        </w:tc>
        <w:tc>
          <w:tcPr>
            <w:tcW w:w="522"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4439</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4551</w:t>
            </w:r>
          </w:p>
        </w:tc>
        <w:tc>
          <w:tcPr>
            <w:tcW w:w="523"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4218</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4709</w:t>
            </w:r>
          </w:p>
        </w:tc>
        <w:tc>
          <w:tcPr>
            <w:tcW w:w="522"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4505</w:t>
            </w:r>
          </w:p>
        </w:tc>
        <w:tc>
          <w:tcPr>
            <w:tcW w:w="523"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4924</w:t>
            </w:r>
          </w:p>
        </w:tc>
        <w:tc>
          <w:tcPr>
            <w:tcW w:w="581" w:type="pct"/>
            <w:vAlign w:val="bottom"/>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bCs/>
                <w:color w:val="000000"/>
                <w:sz w:val="22"/>
                <w:szCs w:val="22"/>
              </w:rPr>
              <w:t>4065</w:t>
            </w:r>
          </w:p>
        </w:tc>
      </w:tr>
      <w:tr w:rsidR="00C34658" w:rsidRPr="00BB5484" w:rsidTr="00D55642">
        <w:trPr>
          <w:jc w:val="center"/>
        </w:trPr>
        <w:tc>
          <w:tcPr>
            <w:tcW w:w="1376"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LMV-9 Temporary Supply</w:t>
            </w:r>
          </w:p>
        </w:tc>
        <w:tc>
          <w:tcPr>
            <w:tcW w:w="522"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138</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29</w:t>
            </w:r>
          </w:p>
        </w:tc>
        <w:tc>
          <w:tcPr>
            <w:tcW w:w="523"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35</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163</w:t>
            </w:r>
          </w:p>
        </w:tc>
        <w:tc>
          <w:tcPr>
            <w:tcW w:w="522"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239</w:t>
            </w:r>
          </w:p>
        </w:tc>
        <w:tc>
          <w:tcPr>
            <w:tcW w:w="523"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268</w:t>
            </w:r>
          </w:p>
        </w:tc>
        <w:tc>
          <w:tcPr>
            <w:tcW w:w="581"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300</w:t>
            </w:r>
          </w:p>
        </w:tc>
      </w:tr>
      <w:tr w:rsidR="00C34658" w:rsidRPr="00BB5484" w:rsidTr="00D55642">
        <w:trPr>
          <w:jc w:val="center"/>
        </w:trPr>
        <w:tc>
          <w:tcPr>
            <w:tcW w:w="1376"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LMV-10 Employees</w:t>
            </w:r>
          </w:p>
        </w:tc>
        <w:tc>
          <w:tcPr>
            <w:tcW w:w="522"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13820</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15573</w:t>
            </w:r>
          </w:p>
        </w:tc>
        <w:tc>
          <w:tcPr>
            <w:tcW w:w="523"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13596</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13700</w:t>
            </w:r>
          </w:p>
        </w:tc>
        <w:tc>
          <w:tcPr>
            <w:tcW w:w="522"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14284</w:t>
            </w:r>
          </w:p>
        </w:tc>
        <w:tc>
          <w:tcPr>
            <w:tcW w:w="523"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14417</w:t>
            </w:r>
          </w:p>
        </w:tc>
        <w:tc>
          <w:tcPr>
            <w:tcW w:w="581"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14846</w:t>
            </w:r>
          </w:p>
        </w:tc>
      </w:tr>
      <w:tr w:rsidR="00C34658" w:rsidRPr="00BB5484" w:rsidTr="00D55642">
        <w:trPr>
          <w:jc w:val="center"/>
        </w:trPr>
        <w:tc>
          <w:tcPr>
            <w:tcW w:w="1376" w:type="pct"/>
            <w:vAlign w:val="center"/>
          </w:tcPr>
          <w:p w:rsidR="00C34658" w:rsidRPr="00BB5484" w:rsidRDefault="00E34329" w:rsidP="00D55642">
            <w:pPr>
              <w:spacing w:before="0"/>
              <w:jc w:val="center"/>
              <w:rPr>
                <w:rFonts w:asciiTheme="minorHAnsi" w:hAnsiTheme="minorHAnsi" w:cstheme="minorBidi"/>
                <w:b/>
                <w:sz w:val="22"/>
                <w:szCs w:val="22"/>
              </w:rPr>
            </w:pPr>
            <w:r w:rsidRPr="00E34329">
              <w:rPr>
                <w:rFonts w:asciiTheme="minorHAnsi" w:hAnsiTheme="minorHAnsi" w:cstheme="minorBidi"/>
                <w:b/>
                <w:sz w:val="22"/>
                <w:szCs w:val="22"/>
              </w:rPr>
              <w:t>Total</w:t>
            </w:r>
          </w:p>
        </w:tc>
        <w:tc>
          <w:tcPr>
            <w:tcW w:w="522" w:type="pct"/>
          </w:tcPr>
          <w:p w:rsidR="00C34658" w:rsidRPr="00BB5484" w:rsidRDefault="00E34329" w:rsidP="00D55642">
            <w:pPr>
              <w:spacing w:before="0"/>
              <w:jc w:val="right"/>
              <w:rPr>
                <w:rFonts w:asciiTheme="minorHAnsi" w:hAnsiTheme="minorHAnsi"/>
                <w:b/>
                <w:color w:val="000000"/>
                <w:sz w:val="22"/>
                <w:szCs w:val="22"/>
              </w:rPr>
            </w:pPr>
            <w:r w:rsidRPr="00E34329">
              <w:rPr>
                <w:rFonts w:asciiTheme="minorHAnsi" w:hAnsiTheme="minorHAnsi"/>
                <w:b/>
                <w:color w:val="000000"/>
                <w:sz w:val="22"/>
                <w:szCs w:val="22"/>
              </w:rPr>
              <w:t>561503</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b/>
                <w:color w:val="000000"/>
                <w:sz w:val="22"/>
                <w:szCs w:val="22"/>
              </w:rPr>
              <w:t>657581</w:t>
            </w:r>
          </w:p>
        </w:tc>
        <w:tc>
          <w:tcPr>
            <w:tcW w:w="523"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b/>
                <w:color w:val="000000"/>
                <w:sz w:val="22"/>
                <w:szCs w:val="22"/>
              </w:rPr>
              <w:t>679789</w:t>
            </w:r>
          </w:p>
        </w:tc>
        <w:tc>
          <w:tcPr>
            <w:tcW w:w="476"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b/>
                <w:color w:val="000000"/>
                <w:sz w:val="22"/>
                <w:szCs w:val="22"/>
              </w:rPr>
              <w:t>756292</w:t>
            </w:r>
          </w:p>
        </w:tc>
        <w:tc>
          <w:tcPr>
            <w:tcW w:w="522"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b/>
                <w:color w:val="000000"/>
                <w:sz w:val="22"/>
                <w:szCs w:val="22"/>
              </w:rPr>
              <w:t>754005</w:t>
            </w:r>
          </w:p>
        </w:tc>
        <w:tc>
          <w:tcPr>
            <w:tcW w:w="523" w:type="pct"/>
          </w:tcPr>
          <w:p w:rsidR="00C34658" w:rsidRPr="00BB5484" w:rsidRDefault="00E34329" w:rsidP="00D55642">
            <w:pPr>
              <w:spacing w:before="0"/>
              <w:jc w:val="right"/>
              <w:rPr>
                <w:rFonts w:asciiTheme="minorHAnsi" w:hAnsiTheme="minorHAnsi"/>
                <w:b/>
                <w:color w:val="000000"/>
                <w:sz w:val="22"/>
                <w:szCs w:val="22"/>
              </w:rPr>
            </w:pPr>
            <w:r w:rsidRPr="00E34329">
              <w:rPr>
                <w:rFonts w:asciiTheme="minorHAnsi" w:hAnsiTheme="minorHAnsi"/>
                <w:b/>
                <w:color w:val="000000"/>
                <w:sz w:val="22"/>
                <w:szCs w:val="22"/>
              </w:rPr>
              <w:t>766620</w:t>
            </w:r>
          </w:p>
        </w:tc>
        <w:tc>
          <w:tcPr>
            <w:tcW w:w="581" w:type="pct"/>
          </w:tcPr>
          <w:p w:rsidR="00C34658" w:rsidRPr="00BB5484" w:rsidRDefault="00E34329" w:rsidP="00D55642">
            <w:pPr>
              <w:spacing w:before="0"/>
              <w:jc w:val="right"/>
              <w:rPr>
                <w:rFonts w:asciiTheme="minorHAnsi" w:hAnsiTheme="minorHAnsi"/>
                <w:b/>
                <w:color w:val="000000"/>
                <w:sz w:val="22"/>
                <w:szCs w:val="22"/>
              </w:rPr>
            </w:pPr>
            <w:r w:rsidRPr="00E34329">
              <w:rPr>
                <w:rFonts w:asciiTheme="minorHAnsi" w:hAnsiTheme="minorHAnsi"/>
                <w:b/>
                <w:color w:val="000000"/>
                <w:sz w:val="22"/>
                <w:szCs w:val="22"/>
              </w:rPr>
              <w:t>852936</w:t>
            </w:r>
          </w:p>
        </w:tc>
      </w:tr>
    </w:tbl>
    <w:p w:rsidR="00C34658" w:rsidRPr="00BB5484" w:rsidRDefault="00C34658" w:rsidP="00C34658">
      <w:pPr>
        <w:pStyle w:val="Heading3"/>
        <w:numPr>
          <w:ilvl w:val="0"/>
          <w:numId w:val="0"/>
        </w:numPr>
        <w:tabs>
          <w:tab w:val="clear" w:pos="720"/>
          <w:tab w:val="left" w:pos="3690"/>
        </w:tabs>
        <w:spacing w:after="240"/>
        <w:ind w:left="993"/>
        <w:rPr>
          <w:rFonts w:asciiTheme="minorHAnsi" w:hAnsiTheme="minorHAnsi"/>
          <w:highlight w:val="yellow"/>
        </w:rPr>
      </w:pP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 xml:space="preserve">It is observed that the number of unmetered consumers has been increasing since FY 2008-09 and the Licensee has not been able to convert its consumers into metered connections since a very long time. It may be noted that the </w:t>
      </w:r>
      <w:r w:rsidRPr="00E34329">
        <w:rPr>
          <w:rFonts w:asciiTheme="minorHAnsi" w:hAnsiTheme="minorHAnsi"/>
        </w:rPr>
        <w:lastRenderedPageBreak/>
        <w:t>Commission in its Tariff Order dated May 31, 2013 had directed the Petitioner as follows:</w:t>
      </w:r>
    </w:p>
    <w:p w:rsidR="00C34658" w:rsidRPr="00BB5484" w:rsidRDefault="00E34329" w:rsidP="00C34658">
      <w:pPr>
        <w:pStyle w:val="Heading3"/>
        <w:numPr>
          <w:ilvl w:val="0"/>
          <w:numId w:val="0"/>
        </w:numPr>
        <w:ind w:left="1440"/>
        <w:rPr>
          <w:rFonts w:asciiTheme="minorHAnsi" w:hAnsiTheme="minorHAnsi"/>
          <w:i/>
        </w:rPr>
      </w:pPr>
      <w:r w:rsidRPr="00E34329">
        <w:rPr>
          <w:rFonts w:asciiTheme="minorHAnsi" w:hAnsiTheme="minorHAnsi"/>
          <w:i/>
        </w:rPr>
        <w:t>“Commission directs the Licensee to submit a road map for 100% metering in its licensed area. However, based on the ground realities, if the Distribution Licensee seeks exemption towards its metering obligation for any particular category of consumers, it must provide the Commission revised norms specific for its supply area, based on fresh studies, for assessment of consumption for these categories. Sales forecast for such un-metered categories shall be validated with norms approved by the Commission on the basis of above study carried out by the Licensee.”</w:t>
      </w:r>
    </w:p>
    <w:p w:rsidR="00D5771F" w:rsidRPr="00812CD1"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 xml:space="preserve">However, the Licensee has not submitted any explanation as to why it has not been able to convert the unmetered connections to metered connections </w:t>
      </w:r>
      <w:r w:rsidR="006C63AF" w:rsidRPr="006C63AF">
        <w:rPr>
          <w:rFonts w:asciiTheme="minorHAnsi" w:hAnsiTheme="minorHAnsi"/>
        </w:rPr>
        <w:t>till now</w:t>
      </w:r>
      <w:r w:rsidRPr="00812CD1">
        <w:rPr>
          <w:rFonts w:asciiTheme="minorHAnsi" w:hAnsiTheme="minorHAnsi"/>
        </w:rPr>
        <w:t>. This clearly implies that the Petitioner has not been making its full effo</w:t>
      </w:r>
      <w:r w:rsidRPr="00E34329">
        <w:rPr>
          <w:rFonts w:asciiTheme="minorHAnsi" w:hAnsiTheme="minorHAnsi"/>
        </w:rPr>
        <w:t xml:space="preserve">rts to convert the unmetered connections. </w:t>
      </w:r>
      <w:r w:rsidRPr="00E34329">
        <w:rPr>
          <w:rFonts w:asciiTheme="minorHAnsi" w:hAnsiTheme="minorHAnsi"/>
          <w:b/>
        </w:rPr>
        <w:t>Therefore, the Commission once again directs the Licensee to comply with the direction given by the Commission in this Order and accordingly put it</w:t>
      </w:r>
      <w:r w:rsidR="00EA521B">
        <w:rPr>
          <w:rFonts w:asciiTheme="minorHAnsi" w:hAnsiTheme="minorHAnsi"/>
          <w:b/>
        </w:rPr>
        <w:t>s</w:t>
      </w:r>
      <w:r w:rsidRPr="00E34329">
        <w:rPr>
          <w:rFonts w:asciiTheme="minorHAnsi" w:hAnsiTheme="minorHAnsi"/>
          <w:b/>
        </w:rPr>
        <w:t xml:space="preserve"> sincere efforts for converting the unmetered consumers to metered consumers.</w:t>
      </w:r>
      <w:r w:rsidR="00A946E6">
        <w:rPr>
          <w:rFonts w:asciiTheme="minorHAnsi" w:hAnsiTheme="minorHAnsi"/>
          <w:b/>
        </w:rPr>
        <w:t xml:space="preserve"> </w:t>
      </w:r>
      <w:r w:rsidR="006C63AF" w:rsidRPr="006C63AF">
        <w:rPr>
          <w:rFonts w:asciiTheme="minorHAnsi" w:hAnsiTheme="minorHAnsi"/>
          <w:b/>
        </w:rPr>
        <w:t>The Licensee must ensure that metering is achieved upto the satisfactory level, failing which the Commission may take a strict view for appropriate action</w:t>
      </w:r>
      <w:r w:rsidR="00A946E6" w:rsidRPr="00812CD1">
        <w:rPr>
          <w:rFonts w:asciiTheme="minorHAnsi" w:hAnsiTheme="minorHAnsi"/>
          <w:b/>
        </w:rPr>
        <w:t>.</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The details of un-metered consumers of the 4 Distribution Licensees, viz., DVVNL, MVVNL, PVVNL and PuVVNL for the period from FY 2008-09 to FY 2014-15 are shown in the Table below:</w:t>
      </w:r>
    </w:p>
    <w:p w:rsidR="00C34658" w:rsidRPr="00BB5484" w:rsidRDefault="00C34658" w:rsidP="00C34658">
      <w:pPr>
        <w:spacing w:before="0" w:line="240" w:lineRule="auto"/>
        <w:jc w:val="left"/>
        <w:rPr>
          <w:rFonts w:asciiTheme="minorHAnsi" w:hAnsiTheme="minorHAnsi" w:cs="Calibri"/>
          <w:b/>
          <w:sz w:val="22"/>
          <w:szCs w:val="22"/>
          <w:highlight w:val="yellow"/>
          <w:lang w:val="en-US"/>
        </w:rPr>
      </w:pPr>
      <w:bookmarkStart w:id="416" w:name="_Toc396573975"/>
      <w:bookmarkStart w:id="417" w:name="_Toc399624076"/>
    </w:p>
    <w:p w:rsidR="00C34658" w:rsidRPr="00BB5484" w:rsidRDefault="00E34329" w:rsidP="00C34658">
      <w:pPr>
        <w:spacing w:before="0"/>
        <w:jc w:val="center"/>
        <w:rPr>
          <w:rFonts w:asciiTheme="minorHAnsi" w:hAnsiTheme="minorHAnsi" w:cs="Calibri"/>
          <w:b/>
          <w:sz w:val="22"/>
          <w:szCs w:val="22"/>
          <w:lang w:val="en-US"/>
        </w:rPr>
      </w:pPr>
      <w:bookmarkStart w:id="418" w:name="_Toc419992313"/>
      <w:bookmarkStart w:id="419" w:name="_Toc453367660"/>
      <w:bookmarkStart w:id="420" w:name="_Toc457604027"/>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11</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NUMBER OF UN-METERED CONSUMERS OF FOUR DISCOMS (DVVNL, MVVNL, PUVVNL AND PVVNL)</w:t>
      </w:r>
      <w:bookmarkEnd w:id="416"/>
      <w:bookmarkEnd w:id="417"/>
      <w:bookmarkEnd w:id="418"/>
      <w:bookmarkEnd w:id="419"/>
      <w:bookmarkEnd w:id="420"/>
    </w:p>
    <w:tbl>
      <w:tblPr>
        <w:tblStyle w:val="TableGrid"/>
        <w:tblW w:w="5581" w:type="pct"/>
        <w:jc w:val="center"/>
        <w:tblInd w:w="-10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696"/>
        <w:gridCol w:w="1032"/>
        <w:gridCol w:w="1032"/>
        <w:gridCol w:w="1032"/>
        <w:gridCol w:w="1032"/>
        <w:gridCol w:w="1031"/>
        <w:gridCol w:w="1031"/>
        <w:gridCol w:w="1031"/>
      </w:tblGrid>
      <w:tr w:rsidR="00C34658" w:rsidRPr="00BB5484" w:rsidTr="0022732D">
        <w:trPr>
          <w:tblHeader/>
          <w:jc w:val="center"/>
        </w:trPr>
        <w:tc>
          <w:tcPr>
            <w:tcW w:w="1359" w:type="pct"/>
            <w:shd w:val="clear" w:color="auto" w:fill="DBE5F1" w:themeFill="accent1" w:themeFillTint="33"/>
          </w:tcPr>
          <w:p w:rsidR="007B00DC" w:rsidRDefault="00E34329">
            <w:pPr>
              <w:spacing w:before="0"/>
              <w:jc w:val="center"/>
              <w:rPr>
                <w:rFonts w:asciiTheme="minorHAnsi" w:hAnsiTheme="minorHAnsi"/>
                <w:b/>
                <w:sz w:val="20"/>
              </w:rPr>
            </w:pPr>
            <w:r w:rsidRPr="00E34329">
              <w:rPr>
                <w:rFonts w:asciiTheme="minorHAnsi" w:hAnsiTheme="minorHAnsi" w:cstheme="minorBidi"/>
                <w:b/>
                <w:sz w:val="20"/>
                <w:szCs w:val="22"/>
              </w:rPr>
              <w:t>Particulars</w:t>
            </w:r>
          </w:p>
        </w:tc>
        <w:tc>
          <w:tcPr>
            <w:tcW w:w="520" w:type="pct"/>
            <w:shd w:val="clear" w:color="auto" w:fill="DBE5F1" w:themeFill="accent1" w:themeFillTint="33"/>
          </w:tcPr>
          <w:p w:rsidR="007B00DC" w:rsidRDefault="00E34329">
            <w:pPr>
              <w:spacing w:before="0"/>
              <w:jc w:val="center"/>
              <w:rPr>
                <w:rFonts w:asciiTheme="minorHAnsi" w:hAnsiTheme="minorHAnsi"/>
                <w:b/>
                <w:color w:val="000000"/>
                <w:sz w:val="22"/>
                <w:szCs w:val="22"/>
              </w:rPr>
            </w:pPr>
            <w:r w:rsidRPr="00E34329">
              <w:rPr>
                <w:rFonts w:asciiTheme="minorHAnsi" w:hAnsiTheme="minorHAnsi"/>
                <w:b/>
                <w:color w:val="000000"/>
                <w:sz w:val="22"/>
                <w:szCs w:val="22"/>
              </w:rPr>
              <w:t>FY</w:t>
            </w:r>
          </w:p>
          <w:p w:rsidR="007B00DC" w:rsidRDefault="00E34329">
            <w:pPr>
              <w:spacing w:before="0"/>
              <w:jc w:val="center"/>
              <w:rPr>
                <w:rFonts w:asciiTheme="minorHAnsi" w:hAnsiTheme="minorHAnsi"/>
                <w:b/>
                <w:color w:val="000000"/>
                <w:sz w:val="22"/>
                <w:szCs w:val="22"/>
              </w:rPr>
            </w:pPr>
            <w:r w:rsidRPr="00E34329">
              <w:rPr>
                <w:rFonts w:asciiTheme="minorHAnsi" w:hAnsiTheme="minorHAnsi"/>
                <w:b/>
                <w:color w:val="000000"/>
                <w:sz w:val="22"/>
                <w:szCs w:val="22"/>
              </w:rPr>
              <w:t>2008-09</w:t>
            </w:r>
          </w:p>
        </w:tc>
        <w:tc>
          <w:tcPr>
            <w:tcW w:w="520" w:type="pct"/>
            <w:shd w:val="clear" w:color="auto" w:fill="DBE5F1" w:themeFill="accent1" w:themeFillTint="33"/>
          </w:tcPr>
          <w:p w:rsidR="007B00DC" w:rsidRDefault="00E34329">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FY</w:t>
            </w:r>
          </w:p>
          <w:p w:rsidR="007B00DC" w:rsidRDefault="00E34329">
            <w:pPr>
              <w:spacing w:before="0"/>
              <w:jc w:val="center"/>
              <w:rPr>
                <w:rFonts w:asciiTheme="minorHAnsi" w:hAnsiTheme="minorHAnsi"/>
                <w:b/>
                <w:sz w:val="20"/>
              </w:rPr>
            </w:pPr>
            <w:r w:rsidRPr="00E34329">
              <w:rPr>
                <w:rFonts w:asciiTheme="minorHAnsi" w:hAnsiTheme="minorHAnsi" w:cstheme="minorBidi"/>
                <w:b/>
                <w:sz w:val="20"/>
                <w:szCs w:val="22"/>
              </w:rPr>
              <w:t>2009-10</w:t>
            </w:r>
          </w:p>
        </w:tc>
        <w:tc>
          <w:tcPr>
            <w:tcW w:w="520" w:type="pct"/>
            <w:shd w:val="clear" w:color="auto" w:fill="DBE5F1" w:themeFill="accent1" w:themeFillTint="33"/>
          </w:tcPr>
          <w:p w:rsidR="007B00DC" w:rsidRDefault="00E34329">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FY</w:t>
            </w:r>
          </w:p>
          <w:p w:rsidR="007B00DC" w:rsidRDefault="00E34329">
            <w:pPr>
              <w:spacing w:before="0"/>
              <w:jc w:val="center"/>
              <w:rPr>
                <w:rFonts w:asciiTheme="minorHAnsi" w:hAnsiTheme="minorHAnsi"/>
                <w:b/>
                <w:sz w:val="20"/>
              </w:rPr>
            </w:pPr>
            <w:r w:rsidRPr="00E34329">
              <w:rPr>
                <w:rFonts w:asciiTheme="minorHAnsi" w:hAnsiTheme="minorHAnsi" w:cstheme="minorBidi"/>
                <w:b/>
                <w:sz w:val="20"/>
                <w:szCs w:val="22"/>
              </w:rPr>
              <w:t>2010-11</w:t>
            </w:r>
          </w:p>
        </w:tc>
        <w:tc>
          <w:tcPr>
            <w:tcW w:w="520" w:type="pct"/>
            <w:shd w:val="clear" w:color="auto" w:fill="DBE5F1" w:themeFill="accent1" w:themeFillTint="33"/>
          </w:tcPr>
          <w:p w:rsidR="007B00DC" w:rsidRDefault="00E34329">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FY</w:t>
            </w:r>
          </w:p>
          <w:p w:rsidR="007B00DC" w:rsidRDefault="00E34329">
            <w:pPr>
              <w:spacing w:before="0"/>
              <w:jc w:val="center"/>
              <w:rPr>
                <w:rFonts w:asciiTheme="minorHAnsi" w:hAnsiTheme="minorHAnsi"/>
                <w:b/>
                <w:sz w:val="20"/>
              </w:rPr>
            </w:pPr>
            <w:r w:rsidRPr="00E34329">
              <w:rPr>
                <w:rFonts w:asciiTheme="minorHAnsi" w:hAnsiTheme="minorHAnsi" w:cstheme="minorBidi"/>
                <w:b/>
                <w:sz w:val="20"/>
                <w:szCs w:val="22"/>
              </w:rPr>
              <w:t>2011-12</w:t>
            </w:r>
          </w:p>
        </w:tc>
        <w:tc>
          <w:tcPr>
            <w:tcW w:w="520" w:type="pct"/>
            <w:shd w:val="clear" w:color="auto" w:fill="DBE5F1" w:themeFill="accent1" w:themeFillTint="33"/>
          </w:tcPr>
          <w:p w:rsidR="007B00DC" w:rsidRDefault="00E34329">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FY</w:t>
            </w:r>
          </w:p>
          <w:p w:rsidR="007B00DC" w:rsidRDefault="00E34329">
            <w:pPr>
              <w:spacing w:before="0"/>
              <w:jc w:val="center"/>
              <w:rPr>
                <w:rFonts w:asciiTheme="minorHAnsi" w:hAnsiTheme="minorHAnsi"/>
                <w:b/>
                <w:sz w:val="20"/>
              </w:rPr>
            </w:pPr>
            <w:r w:rsidRPr="00E34329">
              <w:rPr>
                <w:rFonts w:asciiTheme="minorHAnsi" w:hAnsiTheme="minorHAnsi" w:cstheme="minorBidi"/>
                <w:b/>
                <w:sz w:val="20"/>
                <w:szCs w:val="22"/>
              </w:rPr>
              <w:t>2012-13</w:t>
            </w:r>
          </w:p>
        </w:tc>
        <w:tc>
          <w:tcPr>
            <w:tcW w:w="520" w:type="pct"/>
            <w:shd w:val="clear" w:color="auto" w:fill="DBE5F1" w:themeFill="accent1" w:themeFillTint="33"/>
          </w:tcPr>
          <w:p w:rsidR="007B00DC" w:rsidRDefault="00E34329">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FY</w:t>
            </w:r>
          </w:p>
          <w:p w:rsidR="007B00DC" w:rsidRDefault="00E34329">
            <w:pPr>
              <w:spacing w:before="0"/>
              <w:jc w:val="center"/>
              <w:rPr>
                <w:rFonts w:asciiTheme="minorHAnsi" w:hAnsiTheme="minorHAnsi"/>
                <w:b/>
                <w:sz w:val="20"/>
              </w:rPr>
            </w:pPr>
            <w:r w:rsidRPr="00E34329">
              <w:rPr>
                <w:rFonts w:asciiTheme="minorHAnsi" w:hAnsiTheme="minorHAnsi" w:cstheme="minorBidi"/>
                <w:b/>
                <w:sz w:val="20"/>
                <w:szCs w:val="22"/>
              </w:rPr>
              <w:t>2013-14</w:t>
            </w:r>
          </w:p>
        </w:tc>
        <w:tc>
          <w:tcPr>
            <w:tcW w:w="520" w:type="pct"/>
            <w:shd w:val="clear" w:color="auto" w:fill="DBE5F1" w:themeFill="accent1" w:themeFillTint="33"/>
          </w:tcPr>
          <w:p w:rsidR="007B00DC" w:rsidRDefault="00E34329">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FY</w:t>
            </w:r>
          </w:p>
          <w:p w:rsidR="007B00DC" w:rsidRDefault="00E34329">
            <w:pPr>
              <w:spacing w:before="0"/>
              <w:jc w:val="center"/>
              <w:rPr>
                <w:rFonts w:asciiTheme="minorHAnsi" w:hAnsiTheme="minorHAnsi" w:cstheme="minorBidi"/>
                <w:b/>
                <w:sz w:val="20"/>
                <w:szCs w:val="22"/>
              </w:rPr>
            </w:pPr>
            <w:r w:rsidRPr="00E34329">
              <w:rPr>
                <w:rFonts w:asciiTheme="minorHAnsi" w:hAnsiTheme="minorHAnsi" w:cstheme="minorBidi"/>
                <w:b/>
                <w:sz w:val="20"/>
                <w:szCs w:val="22"/>
              </w:rPr>
              <w:t>2014-15</w:t>
            </w:r>
          </w:p>
        </w:tc>
      </w:tr>
      <w:tr w:rsidR="00C34658" w:rsidRPr="00BB5484" w:rsidTr="00D55642">
        <w:trPr>
          <w:jc w:val="center"/>
        </w:trPr>
        <w:tc>
          <w:tcPr>
            <w:tcW w:w="1359"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 – 1 Rural Domestic</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3461091</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3688734</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3884519</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4108404</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4368890</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4716315</w:t>
            </w:r>
          </w:p>
        </w:tc>
        <w:tc>
          <w:tcPr>
            <w:tcW w:w="520" w:type="pct"/>
            <w:vAlign w:val="bottom"/>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5671510</w:t>
            </w:r>
          </w:p>
        </w:tc>
      </w:tr>
      <w:tr w:rsidR="00C34658" w:rsidRPr="00BB5484" w:rsidTr="00D55642">
        <w:trPr>
          <w:jc w:val="center"/>
        </w:trPr>
        <w:tc>
          <w:tcPr>
            <w:tcW w:w="1359"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 – 2 Rural Commercial</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72090</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84533</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83235</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88172</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96372</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100842</w:t>
            </w:r>
          </w:p>
        </w:tc>
        <w:tc>
          <w:tcPr>
            <w:tcW w:w="520" w:type="pct"/>
            <w:vAlign w:val="bottom"/>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110978</w:t>
            </w:r>
          </w:p>
        </w:tc>
      </w:tr>
      <w:tr w:rsidR="00C34658" w:rsidRPr="00BB5484" w:rsidTr="00D55642">
        <w:trPr>
          <w:jc w:val="center"/>
        </w:trPr>
        <w:tc>
          <w:tcPr>
            <w:tcW w:w="1359"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LMV-3 Public Lamps</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6802</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7233</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7294</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8174</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8969</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7131</w:t>
            </w:r>
          </w:p>
        </w:tc>
        <w:tc>
          <w:tcPr>
            <w:tcW w:w="520" w:type="pct"/>
            <w:vAlign w:val="bottom"/>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6582</w:t>
            </w:r>
          </w:p>
        </w:tc>
      </w:tr>
      <w:tr w:rsidR="00C34658" w:rsidRPr="00BB5484" w:rsidTr="00D55642">
        <w:trPr>
          <w:jc w:val="center"/>
        </w:trPr>
        <w:tc>
          <w:tcPr>
            <w:tcW w:w="1359"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LMV-5 PTW</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745919</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721451</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752153</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765552</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802308</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827654</w:t>
            </w:r>
          </w:p>
        </w:tc>
        <w:tc>
          <w:tcPr>
            <w:tcW w:w="520" w:type="pct"/>
            <w:vAlign w:val="bottom"/>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856688</w:t>
            </w:r>
          </w:p>
        </w:tc>
      </w:tr>
      <w:tr w:rsidR="00C34658" w:rsidRPr="00BB5484" w:rsidTr="00D55642">
        <w:trPr>
          <w:jc w:val="center"/>
        </w:trPr>
        <w:tc>
          <w:tcPr>
            <w:tcW w:w="1359"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LMV-8 State Tube Wells</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27788</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27458</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27332</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27865</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28325</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29420</w:t>
            </w:r>
          </w:p>
        </w:tc>
        <w:tc>
          <w:tcPr>
            <w:tcW w:w="520" w:type="pct"/>
            <w:vAlign w:val="bottom"/>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29975</w:t>
            </w:r>
          </w:p>
        </w:tc>
      </w:tr>
      <w:tr w:rsidR="00C34658" w:rsidRPr="00BB5484" w:rsidTr="00D55642">
        <w:trPr>
          <w:jc w:val="center"/>
        </w:trPr>
        <w:tc>
          <w:tcPr>
            <w:tcW w:w="1359"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LMV-9 Temporary Supply</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1167</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100</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490</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215</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251</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278</w:t>
            </w:r>
          </w:p>
        </w:tc>
        <w:tc>
          <w:tcPr>
            <w:tcW w:w="520"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476</w:t>
            </w:r>
          </w:p>
        </w:tc>
      </w:tr>
      <w:tr w:rsidR="00C34658" w:rsidRPr="00BB5484" w:rsidTr="00D55642">
        <w:trPr>
          <w:jc w:val="center"/>
        </w:trPr>
        <w:tc>
          <w:tcPr>
            <w:tcW w:w="1359" w:type="pct"/>
            <w:vAlign w:val="center"/>
          </w:tcPr>
          <w:p w:rsidR="00C34658" w:rsidRPr="00BB5484" w:rsidRDefault="00E34329" w:rsidP="00D55642">
            <w:pPr>
              <w:spacing w:before="0"/>
              <w:jc w:val="left"/>
              <w:rPr>
                <w:rFonts w:asciiTheme="minorHAnsi" w:hAnsiTheme="minorHAnsi"/>
                <w:sz w:val="22"/>
                <w:szCs w:val="22"/>
              </w:rPr>
            </w:pPr>
            <w:r w:rsidRPr="00E34329">
              <w:rPr>
                <w:rFonts w:asciiTheme="minorHAnsi" w:hAnsiTheme="minorHAnsi" w:cstheme="minorBidi"/>
                <w:sz w:val="22"/>
                <w:szCs w:val="22"/>
              </w:rPr>
              <w:t>LMV-10 Employees</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70700</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75327</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75722</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80468</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81966</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color w:val="000000"/>
                <w:sz w:val="22"/>
                <w:szCs w:val="22"/>
              </w:rPr>
              <w:t>84940</w:t>
            </w:r>
          </w:p>
        </w:tc>
        <w:tc>
          <w:tcPr>
            <w:tcW w:w="520" w:type="pct"/>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olor w:val="000000"/>
                <w:sz w:val="22"/>
                <w:szCs w:val="22"/>
              </w:rPr>
              <w:t>89234</w:t>
            </w:r>
          </w:p>
        </w:tc>
      </w:tr>
      <w:tr w:rsidR="00C34658" w:rsidRPr="00BB5484" w:rsidTr="00D55642">
        <w:trPr>
          <w:jc w:val="center"/>
        </w:trPr>
        <w:tc>
          <w:tcPr>
            <w:tcW w:w="1359" w:type="pct"/>
            <w:vAlign w:val="center"/>
          </w:tcPr>
          <w:p w:rsidR="00C34658" w:rsidRPr="00BB5484" w:rsidRDefault="00E34329" w:rsidP="00D55642">
            <w:pPr>
              <w:spacing w:before="0"/>
              <w:jc w:val="center"/>
              <w:rPr>
                <w:rFonts w:asciiTheme="minorHAnsi" w:hAnsiTheme="minorHAnsi" w:cstheme="minorBidi"/>
                <w:b/>
                <w:sz w:val="22"/>
                <w:szCs w:val="22"/>
              </w:rPr>
            </w:pPr>
            <w:r w:rsidRPr="00E34329">
              <w:rPr>
                <w:rFonts w:asciiTheme="minorHAnsi" w:hAnsiTheme="minorHAnsi" w:cstheme="minorBidi"/>
                <w:b/>
                <w:sz w:val="22"/>
                <w:szCs w:val="22"/>
              </w:rPr>
              <w:t>Total</w:t>
            </w:r>
          </w:p>
        </w:tc>
        <w:tc>
          <w:tcPr>
            <w:tcW w:w="520" w:type="pct"/>
            <w:vAlign w:val="center"/>
          </w:tcPr>
          <w:p w:rsidR="00C34658" w:rsidRPr="00BB5484" w:rsidRDefault="00E34329" w:rsidP="00D55642">
            <w:pPr>
              <w:spacing w:before="0"/>
              <w:jc w:val="right"/>
              <w:rPr>
                <w:rFonts w:asciiTheme="minorHAnsi" w:hAnsiTheme="minorHAnsi"/>
                <w:b/>
                <w:color w:val="000000"/>
                <w:sz w:val="22"/>
                <w:szCs w:val="22"/>
              </w:rPr>
            </w:pPr>
            <w:r w:rsidRPr="00E34329">
              <w:rPr>
                <w:rFonts w:asciiTheme="minorHAnsi" w:hAnsiTheme="minorHAnsi" w:cstheme="minorHAnsi"/>
                <w:b/>
                <w:color w:val="000000"/>
                <w:sz w:val="22"/>
                <w:szCs w:val="22"/>
              </w:rPr>
              <w:t>4385557</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b/>
                <w:color w:val="000000"/>
                <w:sz w:val="22"/>
                <w:szCs w:val="22"/>
              </w:rPr>
              <w:t>4604836</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b/>
                <w:color w:val="000000"/>
                <w:sz w:val="22"/>
                <w:szCs w:val="22"/>
              </w:rPr>
              <w:t>4830745</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b/>
                <w:color w:val="000000"/>
                <w:sz w:val="22"/>
                <w:szCs w:val="22"/>
              </w:rPr>
              <w:t>5078850</w:t>
            </w:r>
          </w:p>
        </w:tc>
        <w:tc>
          <w:tcPr>
            <w:tcW w:w="520" w:type="pct"/>
            <w:vAlign w:val="center"/>
          </w:tcPr>
          <w:p w:rsidR="00C34658" w:rsidRPr="00BB5484" w:rsidRDefault="00E34329" w:rsidP="00D55642">
            <w:pPr>
              <w:spacing w:before="0"/>
              <w:jc w:val="right"/>
              <w:rPr>
                <w:rFonts w:asciiTheme="minorHAnsi" w:hAnsiTheme="minorHAnsi"/>
                <w:color w:val="000000"/>
                <w:sz w:val="22"/>
                <w:szCs w:val="22"/>
              </w:rPr>
            </w:pPr>
            <w:r w:rsidRPr="00E34329">
              <w:rPr>
                <w:rFonts w:asciiTheme="minorHAnsi" w:hAnsiTheme="minorHAnsi" w:cstheme="minorHAnsi"/>
                <w:b/>
                <w:color w:val="000000"/>
                <w:sz w:val="22"/>
                <w:szCs w:val="22"/>
              </w:rPr>
              <w:t>5387081</w:t>
            </w:r>
          </w:p>
        </w:tc>
        <w:tc>
          <w:tcPr>
            <w:tcW w:w="520" w:type="pct"/>
            <w:vAlign w:val="center"/>
          </w:tcPr>
          <w:p w:rsidR="00C34658" w:rsidRPr="00BB5484" w:rsidRDefault="00E34329" w:rsidP="00D55642">
            <w:pPr>
              <w:spacing w:before="0"/>
              <w:jc w:val="right"/>
              <w:rPr>
                <w:rFonts w:asciiTheme="minorHAnsi" w:hAnsiTheme="minorHAnsi"/>
                <w:b/>
                <w:color w:val="000000"/>
                <w:sz w:val="22"/>
                <w:szCs w:val="22"/>
              </w:rPr>
            </w:pPr>
            <w:r w:rsidRPr="00E34329">
              <w:rPr>
                <w:rFonts w:asciiTheme="minorHAnsi" w:hAnsiTheme="minorHAnsi" w:cstheme="minorHAnsi"/>
                <w:b/>
                <w:color w:val="000000"/>
                <w:sz w:val="22"/>
                <w:szCs w:val="22"/>
              </w:rPr>
              <w:t>5766580</w:t>
            </w:r>
          </w:p>
        </w:tc>
        <w:tc>
          <w:tcPr>
            <w:tcW w:w="520" w:type="pct"/>
          </w:tcPr>
          <w:p w:rsidR="00C34658" w:rsidRPr="00BB5484" w:rsidRDefault="00E34329" w:rsidP="00D55642">
            <w:pPr>
              <w:spacing w:before="0"/>
              <w:jc w:val="right"/>
              <w:rPr>
                <w:rFonts w:asciiTheme="minorHAnsi" w:hAnsiTheme="minorHAnsi"/>
                <w:b/>
                <w:color w:val="000000"/>
                <w:sz w:val="22"/>
                <w:szCs w:val="22"/>
              </w:rPr>
            </w:pPr>
            <w:r w:rsidRPr="00E34329">
              <w:rPr>
                <w:rFonts w:asciiTheme="minorHAnsi" w:hAnsiTheme="minorHAnsi"/>
                <w:b/>
                <w:color w:val="000000"/>
                <w:sz w:val="22"/>
                <w:szCs w:val="22"/>
              </w:rPr>
              <w:t>6765443</w:t>
            </w:r>
          </w:p>
        </w:tc>
      </w:tr>
    </w:tbl>
    <w:p w:rsidR="00C34658" w:rsidRPr="00BB5484" w:rsidRDefault="00C34658" w:rsidP="00C34658">
      <w:pPr>
        <w:pStyle w:val="Heading3"/>
        <w:numPr>
          <w:ilvl w:val="0"/>
          <w:numId w:val="0"/>
        </w:numPr>
        <w:tabs>
          <w:tab w:val="clear" w:pos="720"/>
        </w:tabs>
        <w:spacing w:after="240"/>
        <w:ind w:left="993"/>
        <w:rPr>
          <w:rFonts w:asciiTheme="minorHAnsi" w:hAnsiTheme="minorHAnsi"/>
        </w:rPr>
      </w:pP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Looking at the status of unmetered consumers, as shown in the table above, it appears that the Distribution Licensees have not been able to comply with the direction of the Commission and instead of reducing the number of unmetered consumers, there has been a consistent increase in the number of unmetered consumers combined for all the Distribution Licensees, indicating the inefficiency of the Licensees.</w:t>
      </w:r>
    </w:p>
    <w:p w:rsidR="00C34658" w:rsidRPr="00BB5484" w:rsidRDefault="00E34329" w:rsidP="00C34658">
      <w:pPr>
        <w:pStyle w:val="Heading3"/>
        <w:numPr>
          <w:ilvl w:val="0"/>
          <w:numId w:val="0"/>
        </w:numPr>
        <w:tabs>
          <w:tab w:val="clear" w:pos="720"/>
        </w:tabs>
        <w:spacing w:before="0" w:after="240"/>
        <w:ind w:left="993"/>
        <w:rPr>
          <w:rFonts w:asciiTheme="minorHAnsi" w:hAnsiTheme="minorHAnsi"/>
          <w:highlight w:val="yellow"/>
        </w:rPr>
      </w:pPr>
      <w:r w:rsidRPr="00E34329">
        <w:rPr>
          <w:rFonts w:asciiTheme="minorHAnsi" w:hAnsiTheme="minorHAnsi"/>
          <w:bCs w:val="0"/>
        </w:rPr>
        <w:t>Further, with regard to the above the Petitioner in its ARR / Tariff Petition for FY 2016-17 has submitted that large number of meters are required for providing new connections as well as for replacement of defective meters for effective energy accounting. At present large section of the consumers are not correctly metered due to defective metering. This needs immediate replacement. Presently the Petitioner is releasing all the new connections with meters. In addition to investment on replacement and installation of meters, investment in respect of installation of 3-phase meters and investment in respect of double metering of high value consumers is being undertaken in the current year and is also projected in the ensuing year.</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The Commission in its Tariff order for FY 2015-16 in the matter of unmetered consumers of LMV-1(a) i.e. Consumers getting supply as per “Rural Schedule” directed the Petitioner that such consumers shall be converted into metered consumers by December 31, 2015 beyond which the Tariff for unmetered category of LMV-1(a) shall be increased by 10%. The relevant part of the said Tariff Order is reproduced below:</w:t>
      </w:r>
    </w:p>
    <w:p w:rsidR="00C34658" w:rsidRPr="00BB5484" w:rsidRDefault="00E34329" w:rsidP="00C34658">
      <w:pPr>
        <w:pStyle w:val="Heading3"/>
        <w:numPr>
          <w:ilvl w:val="0"/>
          <w:numId w:val="0"/>
        </w:numPr>
        <w:tabs>
          <w:tab w:val="clear" w:pos="720"/>
        </w:tabs>
        <w:spacing w:after="240"/>
        <w:ind w:left="1440"/>
        <w:rPr>
          <w:rFonts w:asciiTheme="minorHAnsi" w:hAnsiTheme="minorHAnsi"/>
          <w:b/>
        </w:rPr>
      </w:pPr>
      <w:r w:rsidRPr="00E34329">
        <w:rPr>
          <w:rFonts w:asciiTheme="minorHAnsi" w:hAnsiTheme="minorHAnsi"/>
          <w:b/>
        </w:rPr>
        <w:t>“In this regard, the Commission expressing its utmost concern directs the Distribution Licensees to ensure that all their unmetered consumers of LMV-1(a) i.e. Consumers getting supply as per “Rural Schedule” shall be converted into metered connection by December 31, 2015 beyond which the Tariff for unmetered category of LMV-1(a) shall be increased by 10%.”</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 xml:space="preserve">The Commission in its Order dated February 18, 2016 Suo-Moto, elaborated several options for giving relief to the farmers who are facing acute hardship due to drought conditions prevailing in the State and decided in public interest to grant relief to all the rural domestic consumers of the 50 districts notified as drought hit by the State Government, to defer the above increase of 10% </w:t>
      </w:r>
      <w:r w:rsidRPr="00E34329">
        <w:rPr>
          <w:rFonts w:asciiTheme="minorHAnsi" w:hAnsiTheme="minorHAnsi"/>
        </w:rPr>
        <w:lastRenderedPageBreak/>
        <w:t>after December 31, 2015, for next three months. This means that increase of 10% is only effective after March 31, 2016.</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Further in the said Order the Commission had also directed the State Distribution Licensees to submit their comments on the above observations along with the data /clarifications sought vide Commission’s letter dated February 8, 2016.The Distribution Licensees did not make any such submission as per the direction of the Commission. Further in Tariff Proposal for FY2016-17, the Distribution Licensees did not propose any hike for the concerned category. Taking the above facts into consideration the Commission in its Order dated April 18, 2016 decided to put the above discussed 10% rise in abeyance till further Order of the Commission.</w:t>
      </w:r>
    </w:p>
    <w:p w:rsidR="00D5771F" w:rsidRDefault="00E34329">
      <w:pPr>
        <w:pStyle w:val="Heading3"/>
        <w:tabs>
          <w:tab w:val="clear" w:pos="720"/>
        </w:tabs>
        <w:spacing w:after="240"/>
        <w:ind w:left="993" w:hanging="993"/>
        <w:rPr>
          <w:rFonts w:asciiTheme="minorHAnsi" w:hAnsiTheme="minorHAnsi"/>
          <w:b/>
        </w:rPr>
      </w:pPr>
      <w:r w:rsidRPr="00E34329">
        <w:rPr>
          <w:rFonts w:asciiTheme="minorHAnsi" w:hAnsiTheme="minorHAnsi"/>
          <w:b/>
        </w:rPr>
        <w:t>In this regard, the Commission expressing its utmost concern directs the Distribution Licensees to make sincere efforts to convert all their unmetered consumers of LMV-1(a) i.e. Consumers getting supply as per “Rural Schedule” into metered connection and bill all the rural unmetered consumers as per the rates provided in the Rate Schedule of this Tariff Order.</w:t>
      </w:r>
    </w:p>
    <w:p w:rsidR="00EA521B" w:rsidRPr="00EA521B" w:rsidRDefault="00337C98" w:rsidP="00EA521B">
      <w:pPr>
        <w:pStyle w:val="Heading3"/>
        <w:numPr>
          <w:ilvl w:val="2"/>
          <w:numId w:val="5"/>
        </w:numPr>
        <w:tabs>
          <w:tab w:val="clear" w:pos="720"/>
          <w:tab w:val="clear" w:pos="1929"/>
        </w:tabs>
        <w:spacing w:after="240"/>
        <w:ind w:left="993" w:hanging="993"/>
        <w:rPr>
          <w:rFonts w:asciiTheme="minorHAnsi" w:hAnsiTheme="minorHAnsi"/>
        </w:rPr>
      </w:pPr>
      <w:r w:rsidRPr="00337C98">
        <w:rPr>
          <w:rFonts w:asciiTheme="minorHAnsi" w:hAnsiTheme="minorHAnsi"/>
        </w:rPr>
        <w:t>Another important issue highlighted by the Commission in its Tariff Order for FY 2014-</w:t>
      </w:r>
      <w:r w:rsidRPr="00B754AD">
        <w:rPr>
          <w:rFonts w:asciiTheme="minorHAnsi" w:hAnsiTheme="minorHAnsi"/>
        </w:rPr>
        <w:t>15 was to increase the distribution network of the Licensee and to cover all the prospective electricity users to become the consumers of the Licensee. As per the population census of 2011 conducted by the Census Organization of India,</w:t>
      </w:r>
      <w:r w:rsidRPr="00337C98">
        <w:rPr>
          <w:rFonts w:asciiTheme="minorHAnsi" w:hAnsiTheme="minorHAnsi"/>
        </w:rPr>
        <w:t xml:space="preserve"> the total number of residential premises / households in the State of Uttar Pradesh are around 3.29 Crore. While from the actual data submitted by the Distribution Licensees for FY 2012-13, it was observed that the total number of residential consumers having electricity connections in the State is only 1.14 Crore.</w:t>
      </w:r>
    </w:p>
    <w:p w:rsidR="00EA521B" w:rsidRPr="00C60AD1" w:rsidRDefault="00337C98" w:rsidP="00EA521B">
      <w:pPr>
        <w:pStyle w:val="Heading3"/>
        <w:numPr>
          <w:ilvl w:val="2"/>
          <w:numId w:val="5"/>
        </w:numPr>
        <w:tabs>
          <w:tab w:val="clear" w:pos="720"/>
          <w:tab w:val="clear" w:pos="1929"/>
        </w:tabs>
        <w:spacing w:after="240"/>
        <w:ind w:left="993" w:hanging="993"/>
      </w:pPr>
      <w:r w:rsidRPr="00337C98">
        <w:rPr>
          <w:rFonts w:asciiTheme="minorHAnsi" w:hAnsiTheme="minorHAnsi"/>
        </w:rPr>
        <w:t xml:space="preserve">In this regard, </w:t>
      </w:r>
      <w:r w:rsidRPr="00B754AD">
        <w:rPr>
          <w:rFonts w:asciiTheme="minorHAnsi" w:hAnsiTheme="minorHAnsi"/>
        </w:rPr>
        <w:t>the Commission in its Tariff Order for FY 2014-15 has provided additional consumer addition</w:t>
      </w:r>
      <w:r w:rsidRPr="00337C98">
        <w:rPr>
          <w:rFonts w:asciiTheme="minorHAnsi" w:hAnsiTheme="minorHAnsi"/>
        </w:rPr>
        <w:t xml:space="preserve"> target to the Distribution Licensees to be added in FY 2014-15. The relevant extract of the said Order has been specified as under:</w:t>
      </w:r>
    </w:p>
    <w:p w:rsidR="00EA521B" w:rsidRPr="00C60AD1" w:rsidRDefault="00EA521B" w:rsidP="00EA521B">
      <w:pPr>
        <w:pStyle w:val="Heading3"/>
        <w:numPr>
          <w:ilvl w:val="0"/>
          <w:numId w:val="0"/>
        </w:numPr>
        <w:tabs>
          <w:tab w:val="clear" w:pos="720"/>
        </w:tabs>
        <w:spacing w:after="240"/>
        <w:ind w:left="1440"/>
        <w:rPr>
          <w:i/>
        </w:rPr>
      </w:pPr>
      <w:r w:rsidRPr="00C60AD1">
        <w:rPr>
          <w:i/>
        </w:rPr>
        <w:t xml:space="preserve">“The Commission is of the view that there is a pressing need for the Distribution Licensees to expand their consumer base by increasing the overall consumer addition per year. Considering the same, the Commission opines that in addition to the normal consumer addition </w:t>
      </w:r>
      <w:r w:rsidRPr="00C60AD1">
        <w:rPr>
          <w:i/>
        </w:rPr>
        <w:lastRenderedPageBreak/>
        <w:t xml:space="preserve">(which may only cater to the population growth) the Licensees are required to add consumers to fulfil the huge gap between potential and actual consumers who can be given an electricity connection. </w:t>
      </w:r>
    </w:p>
    <w:p w:rsidR="00EA521B" w:rsidRPr="00C60AD1" w:rsidRDefault="00EA521B" w:rsidP="00EA521B">
      <w:pPr>
        <w:pStyle w:val="Heading3"/>
        <w:numPr>
          <w:ilvl w:val="0"/>
          <w:numId w:val="0"/>
        </w:numPr>
        <w:tabs>
          <w:tab w:val="clear" w:pos="720"/>
        </w:tabs>
        <w:spacing w:after="240"/>
        <w:ind w:left="1440"/>
      </w:pPr>
      <w:r w:rsidRPr="00C60AD1">
        <w:rPr>
          <w:i/>
        </w:rPr>
        <w:t xml:space="preserve">.......the Commission sets an additional target of 25%  </w:t>
      </w:r>
      <w:r w:rsidRPr="00C60AD1">
        <w:rPr>
          <w:b/>
          <w:i/>
        </w:rPr>
        <w:t xml:space="preserve">(i.e., to cover all the potential household consumers in about 4 years) </w:t>
      </w:r>
      <w:r w:rsidRPr="00C60AD1">
        <w:rPr>
          <w:i/>
        </w:rPr>
        <w:t xml:space="preserve">of 70% of the difference between the numbers of consumers estimated as per the projections done by the Commission for FY 2014-15 and total number of households in the Licensees' area as per the 2011 census (Emphasis added)...” </w:t>
      </w:r>
    </w:p>
    <w:p w:rsidR="00EA521B" w:rsidRPr="00EA521B" w:rsidRDefault="00337C98" w:rsidP="00EA521B">
      <w:pPr>
        <w:pStyle w:val="Heading3"/>
        <w:numPr>
          <w:ilvl w:val="2"/>
          <w:numId w:val="5"/>
        </w:numPr>
        <w:tabs>
          <w:tab w:val="clear" w:pos="720"/>
          <w:tab w:val="clear" w:pos="1929"/>
        </w:tabs>
        <w:spacing w:after="240"/>
        <w:ind w:left="993" w:hanging="993"/>
        <w:rPr>
          <w:rFonts w:asciiTheme="minorHAnsi" w:hAnsiTheme="minorHAnsi"/>
        </w:rPr>
      </w:pPr>
      <w:bookmarkStart w:id="421" w:name="_Toc396573978"/>
      <w:bookmarkStart w:id="422" w:name="_Toc399624079"/>
      <w:r w:rsidRPr="00337C98">
        <w:rPr>
          <w:rFonts w:asciiTheme="minorHAnsi" w:hAnsiTheme="minorHAnsi"/>
        </w:rPr>
        <w:t xml:space="preserve">Thus, in </w:t>
      </w:r>
      <w:r w:rsidRPr="00B754AD">
        <w:rPr>
          <w:rFonts w:asciiTheme="minorHAnsi" w:hAnsiTheme="minorHAnsi"/>
        </w:rPr>
        <w:t>line with the direction provided by the Commission in its Tariff Order for FY 2014-15 the</w:t>
      </w:r>
      <w:r w:rsidRPr="00337C98">
        <w:rPr>
          <w:rFonts w:asciiTheme="minorHAnsi" w:hAnsiTheme="minorHAnsi"/>
        </w:rPr>
        <w:t xml:space="preserve"> consumer addition target the Commission decided the target for FY 2015-16 as specified below:</w:t>
      </w:r>
    </w:p>
    <w:p w:rsidR="00EA521B" w:rsidRPr="00C60AD1" w:rsidRDefault="00337C98" w:rsidP="00EA521B">
      <w:pPr>
        <w:jc w:val="center"/>
        <w:rPr>
          <w:rFonts w:cstheme="minorHAnsi"/>
          <w:b/>
        </w:rPr>
      </w:pPr>
      <w:bookmarkStart w:id="423" w:name="_Toc422309914"/>
      <w:bookmarkStart w:id="424" w:name="_Toc457604028"/>
      <w:r w:rsidRPr="00337C98">
        <w:rPr>
          <w:rFonts w:cs="Calibri"/>
          <w:b/>
          <w:sz w:val="22"/>
        </w:rPr>
        <w:t xml:space="preserve">TABLE </w:t>
      </w:r>
      <w:r w:rsidR="009741CA" w:rsidRPr="00337C98">
        <w:rPr>
          <w:rFonts w:cs="Calibri"/>
          <w:b/>
          <w:sz w:val="22"/>
        </w:rPr>
        <w:fldChar w:fldCharType="begin"/>
      </w:r>
      <w:r w:rsidRPr="00337C98">
        <w:rPr>
          <w:rFonts w:cs="Calibri"/>
          <w:b/>
          <w:sz w:val="22"/>
        </w:rPr>
        <w:instrText xml:space="preserve"> STYLEREF 1 \s </w:instrText>
      </w:r>
      <w:r w:rsidR="009741CA" w:rsidRPr="00337C98">
        <w:rPr>
          <w:rFonts w:cs="Calibri"/>
          <w:b/>
          <w:sz w:val="22"/>
        </w:rPr>
        <w:fldChar w:fldCharType="separate"/>
      </w:r>
      <w:r w:rsidR="00BA08F0">
        <w:rPr>
          <w:rFonts w:cs="Calibri"/>
          <w:b/>
          <w:noProof/>
          <w:sz w:val="22"/>
        </w:rPr>
        <w:t>5</w:t>
      </w:r>
      <w:r w:rsidR="009741CA" w:rsidRPr="00337C98">
        <w:rPr>
          <w:rFonts w:cs="Calibri"/>
          <w:b/>
          <w:sz w:val="22"/>
        </w:rPr>
        <w:fldChar w:fldCharType="end"/>
      </w:r>
      <w:r w:rsidRPr="00337C98">
        <w:rPr>
          <w:rFonts w:cs="Calibri"/>
          <w:b/>
          <w:sz w:val="22"/>
        </w:rPr>
        <w:noBreakHyphen/>
      </w:r>
      <w:r w:rsidR="009741CA" w:rsidRPr="00337C98">
        <w:rPr>
          <w:rFonts w:cs="Calibri"/>
          <w:b/>
          <w:sz w:val="22"/>
        </w:rPr>
        <w:fldChar w:fldCharType="begin"/>
      </w:r>
      <w:r w:rsidRPr="00337C98">
        <w:rPr>
          <w:rFonts w:cs="Calibri"/>
          <w:b/>
          <w:sz w:val="22"/>
        </w:rPr>
        <w:instrText xml:space="preserve"> SEQ Table \* ARABIC \s 1 </w:instrText>
      </w:r>
      <w:r w:rsidR="009741CA" w:rsidRPr="00337C98">
        <w:rPr>
          <w:rFonts w:cs="Calibri"/>
          <w:b/>
          <w:sz w:val="22"/>
        </w:rPr>
        <w:fldChar w:fldCharType="separate"/>
      </w:r>
      <w:r w:rsidR="00BA08F0">
        <w:rPr>
          <w:rFonts w:cs="Calibri"/>
          <w:b/>
          <w:noProof/>
          <w:sz w:val="22"/>
        </w:rPr>
        <w:t>12</w:t>
      </w:r>
      <w:r w:rsidR="009741CA" w:rsidRPr="00337C98">
        <w:rPr>
          <w:rFonts w:cs="Calibri"/>
          <w:b/>
          <w:sz w:val="22"/>
        </w:rPr>
        <w:fldChar w:fldCharType="end"/>
      </w:r>
      <w:r w:rsidRPr="00337C98">
        <w:rPr>
          <w:rFonts w:cs="Calibri"/>
          <w:b/>
          <w:sz w:val="22"/>
        </w:rPr>
        <w:t>: ADDITIONAL CONSUMER ADDITION TARGET FOR FY 2015-16</w:t>
      </w:r>
      <w:bookmarkEnd w:id="421"/>
      <w:bookmarkEnd w:id="422"/>
      <w:bookmarkEnd w:id="423"/>
      <w:bookmarkEnd w:id="424"/>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65"/>
        <w:gridCol w:w="1317"/>
        <w:gridCol w:w="1309"/>
        <w:gridCol w:w="1309"/>
        <w:gridCol w:w="1309"/>
        <w:gridCol w:w="1188"/>
        <w:gridCol w:w="1188"/>
      </w:tblGrid>
      <w:tr w:rsidR="00EA521B" w:rsidRPr="00C60AD1" w:rsidTr="00EA521B">
        <w:trPr>
          <w:trHeight w:val="1340"/>
          <w:tblHeader/>
          <w:jc w:val="center"/>
        </w:trPr>
        <w:tc>
          <w:tcPr>
            <w:tcW w:w="726" w:type="pct"/>
            <w:vMerge w:val="restar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Distribution Licensee</w:t>
            </w:r>
          </w:p>
        </w:tc>
        <w:tc>
          <w:tcPr>
            <w:tcW w:w="755" w:type="pc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2011 Census Data (No. of Households)</w:t>
            </w:r>
          </w:p>
        </w:tc>
        <w:tc>
          <w:tcPr>
            <w:tcW w:w="737" w:type="pc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Total No. of Domestic Consumers (LMV-1 Category) approved for FY 2014-15</w:t>
            </w:r>
          </w:p>
        </w:tc>
        <w:tc>
          <w:tcPr>
            <w:tcW w:w="737" w:type="pc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Additional Households to be covered</w:t>
            </w:r>
          </w:p>
        </w:tc>
        <w:tc>
          <w:tcPr>
            <w:tcW w:w="737" w:type="pc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70 % of Additional Household is considered for target setting</w:t>
            </w:r>
          </w:p>
        </w:tc>
        <w:tc>
          <w:tcPr>
            <w:tcW w:w="669" w:type="pc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Target number of Consumers to be added in 1st Year (FY 2014-15)</w:t>
            </w:r>
          </w:p>
        </w:tc>
        <w:tc>
          <w:tcPr>
            <w:tcW w:w="641" w:type="pct"/>
            <w:shd w:val="clear" w:color="auto" w:fill="DBE5F1" w:themeFill="accent1" w:themeFillTint="33"/>
          </w:tcPr>
          <w:p w:rsidR="00337C98" w:rsidRDefault="00EA521B" w:rsidP="00337C98">
            <w:pPr>
              <w:spacing w:before="0" w:line="240" w:lineRule="auto"/>
              <w:jc w:val="center"/>
              <w:rPr>
                <w:b/>
                <w:sz w:val="20"/>
              </w:rPr>
            </w:pPr>
            <w:r w:rsidRPr="00C60AD1">
              <w:rPr>
                <w:b/>
                <w:sz w:val="20"/>
              </w:rPr>
              <w:t>Target number of Consumers to be added in 2nd Year (FY 2015-16)</w:t>
            </w:r>
          </w:p>
        </w:tc>
      </w:tr>
      <w:tr w:rsidR="00EA521B" w:rsidRPr="00C60AD1" w:rsidTr="00EA521B">
        <w:trPr>
          <w:trHeight w:val="300"/>
          <w:tblHeader/>
          <w:jc w:val="center"/>
        </w:trPr>
        <w:tc>
          <w:tcPr>
            <w:tcW w:w="726" w:type="pct"/>
            <w:vMerge/>
            <w:shd w:val="clear" w:color="auto" w:fill="DBE5F1" w:themeFill="accent1" w:themeFillTint="33"/>
            <w:hideMark/>
          </w:tcPr>
          <w:p w:rsidR="00337C98" w:rsidRDefault="00337C98" w:rsidP="00337C98">
            <w:pPr>
              <w:spacing w:before="0" w:line="240" w:lineRule="auto"/>
              <w:jc w:val="center"/>
              <w:rPr>
                <w:b/>
                <w:sz w:val="20"/>
              </w:rPr>
            </w:pPr>
          </w:p>
        </w:tc>
        <w:tc>
          <w:tcPr>
            <w:tcW w:w="755" w:type="pc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A</w:t>
            </w:r>
          </w:p>
        </w:tc>
        <w:tc>
          <w:tcPr>
            <w:tcW w:w="737" w:type="pc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B</w:t>
            </w:r>
          </w:p>
        </w:tc>
        <w:tc>
          <w:tcPr>
            <w:tcW w:w="737" w:type="pc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C = A-B</w:t>
            </w:r>
          </w:p>
        </w:tc>
        <w:tc>
          <w:tcPr>
            <w:tcW w:w="737" w:type="pc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D = 70%*C</w:t>
            </w:r>
          </w:p>
        </w:tc>
        <w:tc>
          <w:tcPr>
            <w:tcW w:w="669" w:type="pct"/>
            <w:shd w:val="clear" w:color="auto" w:fill="DBE5F1" w:themeFill="accent1" w:themeFillTint="33"/>
            <w:hideMark/>
          </w:tcPr>
          <w:p w:rsidR="00337C98" w:rsidRDefault="00EA521B" w:rsidP="00337C98">
            <w:pPr>
              <w:spacing w:before="0" w:line="240" w:lineRule="auto"/>
              <w:jc w:val="center"/>
              <w:rPr>
                <w:b/>
                <w:sz w:val="20"/>
              </w:rPr>
            </w:pPr>
            <w:r w:rsidRPr="00C60AD1">
              <w:rPr>
                <w:b/>
                <w:sz w:val="20"/>
              </w:rPr>
              <w:t>E= 25%*D</w:t>
            </w:r>
          </w:p>
        </w:tc>
        <w:tc>
          <w:tcPr>
            <w:tcW w:w="641" w:type="pct"/>
            <w:shd w:val="clear" w:color="auto" w:fill="DBE5F1" w:themeFill="accent1" w:themeFillTint="33"/>
          </w:tcPr>
          <w:p w:rsidR="00337C98" w:rsidRDefault="00EA521B" w:rsidP="00337C98">
            <w:pPr>
              <w:spacing w:before="0" w:line="240" w:lineRule="auto"/>
              <w:jc w:val="center"/>
              <w:rPr>
                <w:b/>
                <w:sz w:val="20"/>
              </w:rPr>
            </w:pPr>
            <w:r w:rsidRPr="00C60AD1">
              <w:rPr>
                <w:b/>
                <w:sz w:val="20"/>
              </w:rPr>
              <w:t>F= 25%*D</w:t>
            </w:r>
          </w:p>
        </w:tc>
      </w:tr>
      <w:tr w:rsidR="00EA521B" w:rsidRPr="00C60AD1" w:rsidTr="007B00DC">
        <w:trPr>
          <w:trHeight w:val="300"/>
          <w:jc w:val="center"/>
        </w:trPr>
        <w:tc>
          <w:tcPr>
            <w:tcW w:w="726" w:type="pct"/>
            <w:shd w:val="clear" w:color="auto" w:fill="auto"/>
            <w:vAlign w:val="center"/>
            <w:hideMark/>
          </w:tcPr>
          <w:p w:rsidR="00337C98" w:rsidRDefault="00EA521B" w:rsidP="00337C98">
            <w:pPr>
              <w:spacing w:before="0" w:line="240" w:lineRule="auto"/>
            </w:pPr>
            <w:r w:rsidRPr="00C60AD1">
              <w:t>DVVNL</w:t>
            </w:r>
          </w:p>
        </w:tc>
        <w:tc>
          <w:tcPr>
            <w:tcW w:w="755" w:type="pct"/>
            <w:shd w:val="clear" w:color="auto" w:fill="auto"/>
            <w:vAlign w:val="center"/>
            <w:hideMark/>
          </w:tcPr>
          <w:p w:rsidR="00337C98" w:rsidRDefault="00EA521B" w:rsidP="00337C98">
            <w:pPr>
              <w:spacing w:before="0" w:line="240" w:lineRule="auto"/>
              <w:jc w:val="right"/>
            </w:pPr>
            <w:r w:rsidRPr="00C60AD1">
              <w:t>7,185,882</w:t>
            </w:r>
          </w:p>
        </w:tc>
        <w:tc>
          <w:tcPr>
            <w:tcW w:w="737" w:type="pct"/>
            <w:shd w:val="clear" w:color="auto" w:fill="auto"/>
            <w:vAlign w:val="center"/>
            <w:hideMark/>
          </w:tcPr>
          <w:p w:rsidR="00337C98" w:rsidRDefault="00EA521B" w:rsidP="00337C98">
            <w:pPr>
              <w:spacing w:before="0" w:line="240" w:lineRule="auto"/>
              <w:jc w:val="right"/>
            </w:pPr>
            <w:r w:rsidRPr="00C60AD1">
              <w:t>2,489,664</w:t>
            </w:r>
          </w:p>
        </w:tc>
        <w:tc>
          <w:tcPr>
            <w:tcW w:w="737" w:type="pct"/>
            <w:shd w:val="clear" w:color="auto" w:fill="auto"/>
            <w:noWrap/>
            <w:vAlign w:val="center"/>
            <w:hideMark/>
          </w:tcPr>
          <w:p w:rsidR="00337C98" w:rsidRDefault="00EA521B" w:rsidP="00337C98">
            <w:pPr>
              <w:spacing w:before="0" w:line="240" w:lineRule="auto"/>
              <w:jc w:val="right"/>
            </w:pPr>
            <w:r w:rsidRPr="00C60AD1">
              <w:t>4,696,218</w:t>
            </w:r>
          </w:p>
        </w:tc>
        <w:tc>
          <w:tcPr>
            <w:tcW w:w="737" w:type="pct"/>
            <w:shd w:val="clear" w:color="auto" w:fill="auto"/>
            <w:noWrap/>
            <w:vAlign w:val="center"/>
            <w:hideMark/>
          </w:tcPr>
          <w:p w:rsidR="00337C98" w:rsidRDefault="00EA521B" w:rsidP="00337C98">
            <w:pPr>
              <w:spacing w:before="0" w:line="240" w:lineRule="auto"/>
              <w:jc w:val="right"/>
            </w:pPr>
            <w:r w:rsidRPr="00C60AD1">
              <w:t>3,287,353</w:t>
            </w:r>
          </w:p>
        </w:tc>
        <w:tc>
          <w:tcPr>
            <w:tcW w:w="669" w:type="pct"/>
            <w:shd w:val="clear" w:color="auto" w:fill="auto"/>
            <w:noWrap/>
            <w:vAlign w:val="center"/>
            <w:hideMark/>
          </w:tcPr>
          <w:p w:rsidR="00337C98" w:rsidRDefault="00EA521B" w:rsidP="00337C98">
            <w:pPr>
              <w:spacing w:before="0" w:line="240" w:lineRule="auto"/>
              <w:jc w:val="right"/>
            </w:pPr>
            <w:r w:rsidRPr="00C60AD1">
              <w:t>821,838</w:t>
            </w:r>
          </w:p>
        </w:tc>
        <w:tc>
          <w:tcPr>
            <w:tcW w:w="641" w:type="pct"/>
            <w:vAlign w:val="center"/>
          </w:tcPr>
          <w:p w:rsidR="00337C98" w:rsidRDefault="00EA521B" w:rsidP="00337C98">
            <w:pPr>
              <w:spacing w:before="0" w:line="240" w:lineRule="auto"/>
              <w:jc w:val="right"/>
            </w:pPr>
            <w:r w:rsidRPr="00C60AD1">
              <w:t>821,838</w:t>
            </w:r>
          </w:p>
        </w:tc>
      </w:tr>
      <w:tr w:rsidR="00EA521B" w:rsidRPr="00C60AD1" w:rsidTr="007B00DC">
        <w:trPr>
          <w:trHeight w:val="300"/>
          <w:jc w:val="center"/>
        </w:trPr>
        <w:tc>
          <w:tcPr>
            <w:tcW w:w="726" w:type="pct"/>
            <w:shd w:val="clear" w:color="auto" w:fill="auto"/>
            <w:vAlign w:val="center"/>
            <w:hideMark/>
          </w:tcPr>
          <w:p w:rsidR="00337C98" w:rsidRDefault="00EA521B" w:rsidP="00337C98">
            <w:pPr>
              <w:spacing w:before="0" w:line="240" w:lineRule="auto"/>
            </w:pPr>
            <w:r w:rsidRPr="00C60AD1">
              <w:t>MVVNL</w:t>
            </w:r>
          </w:p>
        </w:tc>
        <w:tc>
          <w:tcPr>
            <w:tcW w:w="755" w:type="pct"/>
            <w:shd w:val="clear" w:color="auto" w:fill="auto"/>
            <w:vAlign w:val="center"/>
            <w:hideMark/>
          </w:tcPr>
          <w:p w:rsidR="00337C98" w:rsidRDefault="00EA521B" w:rsidP="00337C98">
            <w:pPr>
              <w:spacing w:before="0" w:line="240" w:lineRule="auto"/>
              <w:jc w:val="right"/>
            </w:pPr>
            <w:r w:rsidRPr="00C60AD1">
              <w:t>10,069,784</w:t>
            </w:r>
          </w:p>
        </w:tc>
        <w:tc>
          <w:tcPr>
            <w:tcW w:w="737" w:type="pct"/>
            <w:shd w:val="clear" w:color="auto" w:fill="auto"/>
            <w:vAlign w:val="center"/>
            <w:hideMark/>
          </w:tcPr>
          <w:p w:rsidR="00337C98" w:rsidRDefault="00EA521B" w:rsidP="00337C98">
            <w:pPr>
              <w:spacing w:before="0" w:line="240" w:lineRule="auto"/>
              <w:jc w:val="right"/>
            </w:pPr>
            <w:r w:rsidRPr="00C60AD1">
              <w:t>2,929,785</w:t>
            </w:r>
          </w:p>
        </w:tc>
        <w:tc>
          <w:tcPr>
            <w:tcW w:w="737" w:type="pct"/>
            <w:shd w:val="clear" w:color="auto" w:fill="auto"/>
            <w:noWrap/>
            <w:vAlign w:val="center"/>
            <w:hideMark/>
          </w:tcPr>
          <w:p w:rsidR="00337C98" w:rsidRDefault="00EA521B" w:rsidP="00337C98">
            <w:pPr>
              <w:spacing w:before="0" w:line="240" w:lineRule="auto"/>
              <w:jc w:val="right"/>
            </w:pPr>
            <w:r w:rsidRPr="00C60AD1">
              <w:t>7,139,999</w:t>
            </w:r>
          </w:p>
        </w:tc>
        <w:tc>
          <w:tcPr>
            <w:tcW w:w="737" w:type="pct"/>
            <w:shd w:val="clear" w:color="auto" w:fill="auto"/>
            <w:noWrap/>
            <w:vAlign w:val="center"/>
            <w:hideMark/>
          </w:tcPr>
          <w:p w:rsidR="00337C98" w:rsidRDefault="00EA521B" w:rsidP="00337C98">
            <w:pPr>
              <w:spacing w:before="0" w:line="240" w:lineRule="auto"/>
              <w:jc w:val="right"/>
            </w:pPr>
            <w:r w:rsidRPr="00C60AD1">
              <w:t>4,997,999</w:t>
            </w:r>
          </w:p>
        </w:tc>
        <w:tc>
          <w:tcPr>
            <w:tcW w:w="669" w:type="pct"/>
            <w:shd w:val="clear" w:color="auto" w:fill="auto"/>
            <w:noWrap/>
            <w:vAlign w:val="center"/>
            <w:hideMark/>
          </w:tcPr>
          <w:p w:rsidR="00337C98" w:rsidRDefault="00EA521B" w:rsidP="00337C98">
            <w:pPr>
              <w:spacing w:before="0" w:line="240" w:lineRule="auto"/>
              <w:jc w:val="right"/>
            </w:pPr>
            <w:r w:rsidRPr="00C60AD1">
              <w:t>1,249,500</w:t>
            </w:r>
          </w:p>
        </w:tc>
        <w:tc>
          <w:tcPr>
            <w:tcW w:w="641" w:type="pct"/>
            <w:vAlign w:val="center"/>
          </w:tcPr>
          <w:p w:rsidR="00337C98" w:rsidRDefault="00EA521B" w:rsidP="00337C98">
            <w:pPr>
              <w:spacing w:before="0" w:line="240" w:lineRule="auto"/>
              <w:jc w:val="right"/>
            </w:pPr>
            <w:r w:rsidRPr="00C60AD1">
              <w:t>1,249,500</w:t>
            </w:r>
          </w:p>
        </w:tc>
      </w:tr>
      <w:tr w:rsidR="00EA521B" w:rsidRPr="00C60AD1" w:rsidTr="007B00DC">
        <w:trPr>
          <w:trHeight w:val="300"/>
          <w:jc w:val="center"/>
        </w:trPr>
        <w:tc>
          <w:tcPr>
            <w:tcW w:w="726" w:type="pct"/>
            <w:shd w:val="clear" w:color="auto" w:fill="auto"/>
            <w:noWrap/>
            <w:vAlign w:val="center"/>
            <w:hideMark/>
          </w:tcPr>
          <w:p w:rsidR="00337C98" w:rsidRDefault="00EA521B" w:rsidP="00337C98">
            <w:pPr>
              <w:spacing w:before="0" w:line="240" w:lineRule="auto"/>
            </w:pPr>
            <w:r w:rsidRPr="00C60AD1">
              <w:t>PVVNL</w:t>
            </w:r>
          </w:p>
        </w:tc>
        <w:tc>
          <w:tcPr>
            <w:tcW w:w="755" w:type="pct"/>
            <w:shd w:val="clear" w:color="auto" w:fill="auto"/>
            <w:noWrap/>
            <w:vAlign w:val="center"/>
            <w:hideMark/>
          </w:tcPr>
          <w:p w:rsidR="00337C98" w:rsidRDefault="00EA521B" w:rsidP="00337C98">
            <w:pPr>
              <w:spacing w:before="0" w:line="240" w:lineRule="auto"/>
              <w:jc w:val="right"/>
            </w:pPr>
            <w:r w:rsidRPr="00C60AD1">
              <w:t>5,894,819</w:t>
            </w:r>
          </w:p>
        </w:tc>
        <w:tc>
          <w:tcPr>
            <w:tcW w:w="737" w:type="pct"/>
            <w:shd w:val="clear" w:color="auto" w:fill="auto"/>
            <w:noWrap/>
            <w:vAlign w:val="center"/>
            <w:hideMark/>
          </w:tcPr>
          <w:p w:rsidR="00337C98" w:rsidRDefault="00EA521B" w:rsidP="00337C98">
            <w:pPr>
              <w:spacing w:before="0" w:line="240" w:lineRule="auto"/>
              <w:jc w:val="right"/>
            </w:pPr>
            <w:r w:rsidRPr="00C60AD1">
              <w:t>3,491,752</w:t>
            </w:r>
          </w:p>
        </w:tc>
        <w:tc>
          <w:tcPr>
            <w:tcW w:w="737" w:type="pct"/>
            <w:shd w:val="clear" w:color="auto" w:fill="auto"/>
            <w:noWrap/>
            <w:vAlign w:val="center"/>
            <w:hideMark/>
          </w:tcPr>
          <w:p w:rsidR="00337C98" w:rsidRDefault="00EA521B" w:rsidP="00337C98">
            <w:pPr>
              <w:spacing w:before="0" w:line="240" w:lineRule="auto"/>
              <w:jc w:val="right"/>
            </w:pPr>
            <w:r w:rsidRPr="00C60AD1">
              <w:t>2,403,067</w:t>
            </w:r>
          </w:p>
        </w:tc>
        <w:tc>
          <w:tcPr>
            <w:tcW w:w="737" w:type="pct"/>
            <w:shd w:val="clear" w:color="auto" w:fill="auto"/>
            <w:noWrap/>
            <w:vAlign w:val="center"/>
            <w:hideMark/>
          </w:tcPr>
          <w:p w:rsidR="00337C98" w:rsidRDefault="00EA521B" w:rsidP="00337C98">
            <w:pPr>
              <w:spacing w:before="0" w:line="240" w:lineRule="auto"/>
              <w:jc w:val="right"/>
            </w:pPr>
            <w:r w:rsidRPr="00C60AD1">
              <w:t>1,682,147</w:t>
            </w:r>
          </w:p>
        </w:tc>
        <w:tc>
          <w:tcPr>
            <w:tcW w:w="669" w:type="pct"/>
            <w:shd w:val="clear" w:color="auto" w:fill="auto"/>
            <w:noWrap/>
            <w:vAlign w:val="center"/>
            <w:hideMark/>
          </w:tcPr>
          <w:p w:rsidR="00337C98" w:rsidRDefault="00EA521B" w:rsidP="00337C98">
            <w:pPr>
              <w:spacing w:before="0" w:line="240" w:lineRule="auto"/>
              <w:jc w:val="right"/>
            </w:pPr>
            <w:r w:rsidRPr="00C60AD1">
              <w:t>420,537</w:t>
            </w:r>
          </w:p>
        </w:tc>
        <w:tc>
          <w:tcPr>
            <w:tcW w:w="641" w:type="pct"/>
            <w:vAlign w:val="center"/>
          </w:tcPr>
          <w:p w:rsidR="00337C98" w:rsidRDefault="00EA521B" w:rsidP="00337C98">
            <w:pPr>
              <w:spacing w:before="0" w:line="240" w:lineRule="auto"/>
              <w:jc w:val="right"/>
            </w:pPr>
            <w:r w:rsidRPr="00C60AD1">
              <w:t>420,537</w:t>
            </w:r>
          </w:p>
        </w:tc>
      </w:tr>
      <w:tr w:rsidR="00EA521B" w:rsidRPr="00C60AD1" w:rsidTr="007B00DC">
        <w:trPr>
          <w:trHeight w:val="300"/>
          <w:jc w:val="center"/>
        </w:trPr>
        <w:tc>
          <w:tcPr>
            <w:tcW w:w="726" w:type="pct"/>
            <w:shd w:val="clear" w:color="auto" w:fill="auto"/>
            <w:noWrap/>
            <w:vAlign w:val="center"/>
            <w:hideMark/>
          </w:tcPr>
          <w:p w:rsidR="00337C98" w:rsidRDefault="00EA521B" w:rsidP="00337C98">
            <w:pPr>
              <w:spacing w:before="0" w:line="240" w:lineRule="auto"/>
            </w:pPr>
            <w:r w:rsidRPr="00C60AD1">
              <w:t>PuVVNL</w:t>
            </w:r>
          </w:p>
        </w:tc>
        <w:tc>
          <w:tcPr>
            <w:tcW w:w="755" w:type="pct"/>
            <w:shd w:val="clear" w:color="auto" w:fill="auto"/>
            <w:noWrap/>
            <w:vAlign w:val="center"/>
            <w:hideMark/>
          </w:tcPr>
          <w:p w:rsidR="00337C98" w:rsidRDefault="00EA521B" w:rsidP="00337C98">
            <w:pPr>
              <w:spacing w:before="0" w:line="240" w:lineRule="auto"/>
              <w:jc w:val="right"/>
            </w:pPr>
            <w:r w:rsidRPr="00C60AD1">
              <w:t>9,773,781</w:t>
            </w:r>
          </w:p>
        </w:tc>
        <w:tc>
          <w:tcPr>
            <w:tcW w:w="737" w:type="pct"/>
            <w:shd w:val="clear" w:color="auto" w:fill="auto"/>
            <w:noWrap/>
            <w:vAlign w:val="center"/>
            <w:hideMark/>
          </w:tcPr>
          <w:p w:rsidR="00337C98" w:rsidRDefault="00EA521B" w:rsidP="00337C98">
            <w:pPr>
              <w:spacing w:before="0" w:line="240" w:lineRule="auto"/>
              <w:jc w:val="right"/>
            </w:pPr>
            <w:r w:rsidRPr="00C60AD1">
              <w:t>3,464,136</w:t>
            </w:r>
          </w:p>
        </w:tc>
        <w:tc>
          <w:tcPr>
            <w:tcW w:w="737" w:type="pct"/>
            <w:shd w:val="clear" w:color="auto" w:fill="auto"/>
            <w:noWrap/>
            <w:vAlign w:val="center"/>
            <w:hideMark/>
          </w:tcPr>
          <w:p w:rsidR="00337C98" w:rsidRDefault="00EA521B" w:rsidP="00337C98">
            <w:pPr>
              <w:spacing w:before="0" w:line="240" w:lineRule="auto"/>
              <w:jc w:val="right"/>
            </w:pPr>
            <w:r w:rsidRPr="00C60AD1">
              <w:t>6,309,645</w:t>
            </w:r>
          </w:p>
        </w:tc>
        <w:tc>
          <w:tcPr>
            <w:tcW w:w="737" w:type="pct"/>
            <w:shd w:val="clear" w:color="auto" w:fill="auto"/>
            <w:noWrap/>
            <w:vAlign w:val="center"/>
            <w:hideMark/>
          </w:tcPr>
          <w:p w:rsidR="00337C98" w:rsidRDefault="00EA521B" w:rsidP="00337C98">
            <w:pPr>
              <w:spacing w:before="0" w:line="240" w:lineRule="auto"/>
              <w:jc w:val="right"/>
            </w:pPr>
            <w:r w:rsidRPr="00C60AD1">
              <w:t>4,416,752</w:t>
            </w:r>
          </w:p>
        </w:tc>
        <w:tc>
          <w:tcPr>
            <w:tcW w:w="669" w:type="pct"/>
            <w:shd w:val="clear" w:color="auto" w:fill="auto"/>
            <w:noWrap/>
            <w:vAlign w:val="center"/>
            <w:hideMark/>
          </w:tcPr>
          <w:p w:rsidR="00337C98" w:rsidRDefault="00EA521B" w:rsidP="00337C98">
            <w:pPr>
              <w:spacing w:before="0" w:line="240" w:lineRule="auto"/>
              <w:jc w:val="right"/>
            </w:pPr>
            <w:r w:rsidRPr="00C60AD1">
              <w:t>1,104,188</w:t>
            </w:r>
          </w:p>
        </w:tc>
        <w:tc>
          <w:tcPr>
            <w:tcW w:w="641" w:type="pct"/>
            <w:vAlign w:val="center"/>
          </w:tcPr>
          <w:p w:rsidR="00337C98" w:rsidRDefault="00EA521B" w:rsidP="00337C98">
            <w:pPr>
              <w:spacing w:before="0" w:line="240" w:lineRule="auto"/>
              <w:jc w:val="right"/>
            </w:pPr>
            <w:r w:rsidRPr="00C60AD1">
              <w:t>1,104,188</w:t>
            </w:r>
          </w:p>
        </w:tc>
      </w:tr>
      <w:tr w:rsidR="00EA521B" w:rsidRPr="00C60AD1" w:rsidTr="007B00DC">
        <w:trPr>
          <w:trHeight w:val="300"/>
          <w:jc w:val="center"/>
        </w:trPr>
        <w:tc>
          <w:tcPr>
            <w:tcW w:w="726" w:type="pct"/>
            <w:shd w:val="clear" w:color="auto" w:fill="auto"/>
            <w:noWrap/>
            <w:vAlign w:val="center"/>
            <w:hideMark/>
          </w:tcPr>
          <w:p w:rsidR="00337C98" w:rsidRDefault="00EA521B" w:rsidP="00337C98">
            <w:pPr>
              <w:spacing w:before="0" w:line="240" w:lineRule="auto"/>
            </w:pPr>
            <w:r w:rsidRPr="00C60AD1">
              <w:t>Total</w:t>
            </w:r>
          </w:p>
        </w:tc>
        <w:tc>
          <w:tcPr>
            <w:tcW w:w="755" w:type="pct"/>
            <w:shd w:val="clear" w:color="auto" w:fill="auto"/>
            <w:noWrap/>
            <w:vAlign w:val="center"/>
            <w:hideMark/>
          </w:tcPr>
          <w:p w:rsidR="00337C98" w:rsidRDefault="00EA521B" w:rsidP="00337C98">
            <w:pPr>
              <w:spacing w:before="0" w:line="240" w:lineRule="auto"/>
              <w:jc w:val="right"/>
            </w:pPr>
            <w:r w:rsidRPr="00C60AD1">
              <w:t>32,924,266</w:t>
            </w:r>
          </w:p>
        </w:tc>
        <w:tc>
          <w:tcPr>
            <w:tcW w:w="737" w:type="pct"/>
            <w:shd w:val="clear" w:color="auto" w:fill="auto"/>
            <w:noWrap/>
            <w:vAlign w:val="center"/>
            <w:hideMark/>
          </w:tcPr>
          <w:p w:rsidR="00337C98" w:rsidRDefault="00EA521B" w:rsidP="00337C98">
            <w:pPr>
              <w:spacing w:before="0" w:line="240" w:lineRule="auto"/>
              <w:jc w:val="right"/>
            </w:pPr>
            <w:r w:rsidRPr="00C60AD1">
              <w:t>12,375,337</w:t>
            </w:r>
          </w:p>
        </w:tc>
        <w:tc>
          <w:tcPr>
            <w:tcW w:w="737" w:type="pct"/>
            <w:shd w:val="clear" w:color="auto" w:fill="auto"/>
            <w:noWrap/>
            <w:vAlign w:val="center"/>
            <w:hideMark/>
          </w:tcPr>
          <w:p w:rsidR="00337C98" w:rsidRDefault="00EA521B" w:rsidP="00337C98">
            <w:pPr>
              <w:spacing w:before="0" w:line="240" w:lineRule="auto"/>
              <w:jc w:val="right"/>
            </w:pPr>
            <w:r w:rsidRPr="00C60AD1">
              <w:t>20,548,929</w:t>
            </w:r>
          </w:p>
        </w:tc>
        <w:tc>
          <w:tcPr>
            <w:tcW w:w="737" w:type="pct"/>
            <w:shd w:val="clear" w:color="auto" w:fill="auto"/>
            <w:noWrap/>
            <w:vAlign w:val="center"/>
            <w:hideMark/>
          </w:tcPr>
          <w:p w:rsidR="00337C98" w:rsidRDefault="00EA521B" w:rsidP="00337C98">
            <w:pPr>
              <w:spacing w:before="0" w:line="240" w:lineRule="auto"/>
              <w:jc w:val="right"/>
            </w:pPr>
            <w:r w:rsidRPr="00C60AD1">
              <w:t>14,384,250</w:t>
            </w:r>
          </w:p>
        </w:tc>
        <w:tc>
          <w:tcPr>
            <w:tcW w:w="669" w:type="pct"/>
            <w:shd w:val="clear" w:color="auto" w:fill="auto"/>
            <w:noWrap/>
            <w:vAlign w:val="center"/>
            <w:hideMark/>
          </w:tcPr>
          <w:p w:rsidR="00337C98" w:rsidRDefault="00EA521B" w:rsidP="00337C98">
            <w:pPr>
              <w:spacing w:before="0" w:line="240" w:lineRule="auto"/>
              <w:jc w:val="right"/>
            </w:pPr>
            <w:r w:rsidRPr="00C60AD1">
              <w:t>3,596,063</w:t>
            </w:r>
          </w:p>
        </w:tc>
        <w:tc>
          <w:tcPr>
            <w:tcW w:w="641" w:type="pct"/>
            <w:vAlign w:val="center"/>
          </w:tcPr>
          <w:p w:rsidR="00337C98" w:rsidRDefault="00EA521B" w:rsidP="00337C98">
            <w:pPr>
              <w:spacing w:before="0" w:line="240" w:lineRule="auto"/>
              <w:jc w:val="right"/>
            </w:pPr>
            <w:r w:rsidRPr="00C60AD1">
              <w:t>3,596,063</w:t>
            </w:r>
          </w:p>
        </w:tc>
      </w:tr>
    </w:tbl>
    <w:p w:rsidR="00337C98" w:rsidRDefault="00337C98" w:rsidP="00337C98">
      <w:pPr>
        <w:spacing w:before="0"/>
      </w:pPr>
    </w:p>
    <w:p w:rsidR="00EA521B" w:rsidRPr="00EA521B" w:rsidRDefault="00337C98" w:rsidP="00EA521B">
      <w:pPr>
        <w:pStyle w:val="Heading3"/>
        <w:numPr>
          <w:ilvl w:val="2"/>
          <w:numId w:val="5"/>
        </w:numPr>
        <w:tabs>
          <w:tab w:val="clear" w:pos="720"/>
          <w:tab w:val="clear" w:pos="1929"/>
        </w:tabs>
        <w:ind w:left="993" w:hanging="993"/>
        <w:rPr>
          <w:rFonts w:asciiTheme="minorHAnsi" w:hAnsiTheme="minorHAnsi"/>
        </w:rPr>
      </w:pPr>
      <w:r w:rsidRPr="00337C98">
        <w:rPr>
          <w:rFonts w:asciiTheme="minorHAnsi" w:hAnsiTheme="minorHAnsi"/>
        </w:rPr>
        <w:t xml:space="preserve">Further, in </w:t>
      </w:r>
      <w:r w:rsidRPr="00B754AD">
        <w:rPr>
          <w:rFonts w:asciiTheme="minorHAnsi" w:hAnsiTheme="minorHAnsi"/>
        </w:rPr>
        <w:t>compliance to the Commission’s directive for additional target consumer to be added</w:t>
      </w:r>
      <w:r w:rsidRPr="00337C98">
        <w:rPr>
          <w:rFonts w:asciiTheme="minorHAnsi" w:hAnsiTheme="minorHAnsi"/>
        </w:rPr>
        <w:t xml:space="preserve"> in FY 2014-15, for last year the Petitioner submitted that from July, 2014 onwards it has been running new connection drives and by means of various campaigns have been successfully able to add considerable number of consumers within few months. The Licensees submitted the following table depicting actual no of consumers added and load enhanced by the Licensees since July, 2014 during the proceedings of Tariff </w:t>
      </w:r>
      <w:r w:rsidR="001758E0">
        <w:rPr>
          <w:rFonts w:asciiTheme="minorHAnsi" w:hAnsiTheme="minorHAnsi"/>
        </w:rPr>
        <w:t>d</w:t>
      </w:r>
      <w:r w:rsidR="00EA521B">
        <w:rPr>
          <w:rFonts w:asciiTheme="minorHAnsi" w:hAnsiTheme="minorHAnsi"/>
        </w:rPr>
        <w:t>etermination</w:t>
      </w:r>
      <w:r w:rsidRPr="00337C98">
        <w:rPr>
          <w:rFonts w:asciiTheme="minorHAnsi" w:hAnsiTheme="minorHAnsi"/>
        </w:rPr>
        <w:t xml:space="preserve"> for FY 2015-16.</w:t>
      </w:r>
    </w:p>
    <w:p w:rsidR="00EA521B" w:rsidRPr="00015B15" w:rsidRDefault="00337C98" w:rsidP="00EA521B">
      <w:pPr>
        <w:pStyle w:val="Heading3"/>
        <w:numPr>
          <w:ilvl w:val="0"/>
          <w:numId w:val="0"/>
        </w:numPr>
        <w:tabs>
          <w:tab w:val="clear" w:pos="720"/>
        </w:tabs>
        <w:ind w:left="993"/>
        <w:jc w:val="center"/>
        <w:rPr>
          <w:sz w:val="22"/>
          <w:szCs w:val="22"/>
        </w:rPr>
      </w:pPr>
      <w:bookmarkStart w:id="425" w:name="_Toc419992315"/>
      <w:bookmarkStart w:id="426" w:name="_Toc422309915"/>
      <w:bookmarkStart w:id="427" w:name="_Toc457604029"/>
      <w:r w:rsidRPr="00337C98">
        <w:rPr>
          <w:rFonts w:asciiTheme="minorHAnsi" w:hAnsiTheme="minorHAnsi" w:cs="Calibri"/>
          <w:b/>
          <w:sz w:val="22"/>
          <w:szCs w:val="22"/>
          <w:lang w:val="en-US"/>
        </w:rPr>
        <w:t xml:space="preserve">TABLE </w:t>
      </w:r>
      <w:r w:rsidR="009741CA" w:rsidRPr="00337C98">
        <w:rPr>
          <w:rFonts w:asciiTheme="minorHAnsi" w:hAnsiTheme="minorHAnsi" w:cs="Calibri"/>
          <w:b/>
          <w:sz w:val="22"/>
          <w:szCs w:val="22"/>
          <w:lang w:val="en-US"/>
        </w:rPr>
        <w:fldChar w:fldCharType="begin"/>
      </w:r>
      <w:r w:rsidRPr="00337C98">
        <w:rPr>
          <w:rFonts w:asciiTheme="minorHAnsi" w:hAnsiTheme="minorHAnsi" w:cs="Calibri"/>
          <w:b/>
          <w:sz w:val="22"/>
          <w:szCs w:val="22"/>
          <w:lang w:val="en-US"/>
        </w:rPr>
        <w:instrText xml:space="preserve"> STYLEREF 1 \s </w:instrText>
      </w:r>
      <w:r w:rsidR="009741CA" w:rsidRPr="00337C98">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337C98">
        <w:rPr>
          <w:rFonts w:asciiTheme="minorHAnsi" w:hAnsiTheme="minorHAnsi" w:cs="Calibri"/>
          <w:b/>
          <w:sz w:val="22"/>
          <w:szCs w:val="22"/>
          <w:lang w:val="en-US"/>
        </w:rPr>
        <w:fldChar w:fldCharType="end"/>
      </w:r>
      <w:r w:rsidRPr="00337C98">
        <w:rPr>
          <w:rFonts w:asciiTheme="minorHAnsi" w:hAnsiTheme="minorHAnsi" w:cs="Calibri"/>
          <w:b/>
          <w:sz w:val="22"/>
          <w:szCs w:val="22"/>
          <w:lang w:val="en-US"/>
        </w:rPr>
        <w:noBreakHyphen/>
      </w:r>
      <w:r w:rsidR="009741CA" w:rsidRPr="00337C98">
        <w:rPr>
          <w:rFonts w:asciiTheme="minorHAnsi" w:hAnsiTheme="minorHAnsi" w:cs="Calibri"/>
          <w:b/>
          <w:sz w:val="22"/>
          <w:szCs w:val="22"/>
          <w:lang w:val="en-US"/>
        </w:rPr>
        <w:fldChar w:fldCharType="begin"/>
      </w:r>
      <w:r w:rsidRPr="00337C98">
        <w:rPr>
          <w:rFonts w:asciiTheme="minorHAnsi" w:hAnsiTheme="minorHAnsi" w:cs="Calibri"/>
          <w:b/>
          <w:sz w:val="22"/>
          <w:szCs w:val="22"/>
          <w:lang w:val="en-US"/>
        </w:rPr>
        <w:instrText xml:space="preserve"> SEQ Table \* ARABIC \s 1 </w:instrText>
      </w:r>
      <w:r w:rsidR="009741CA" w:rsidRPr="00337C98">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13</w:t>
      </w:r>
      <w:r w:rsidR="009741CA" w:rsidRPr="00337C98">
        <w:rPr>
          <w:rFonts w:asciiTheme="minorHAnsi" w:hAnsiTheme="minorHAnsi" w:cs="Calibri"/>
          <w:b/>
          <w:sz w:val="22"/>
          <w:szCs w:val="22"/>
          <w:lang w:val="en-US"/>
        </w:rPr>
        <w:fldChar w:fldCharType="end"/>
      </w:r>
      <w:r w:rsidRPr="00337C98">
        <w:rPr>
          <w:rFonts w:asciiTheme="minorHAnsi" w:hAnsiTheme="minorHAnsi" w:cs="Calibri"/>
          <w:b/>
          <w:sz w:val="22"/>
          <w:szCs w:val="22"/>
          <w:lang w:val="en-US"/>
        </w:rPr>
        <w:t>: A</w:t>
      </w:r>
      <w:r w:rsidRPr="00337C98">
        <w:rPr>
          <w:rFonts w:cs="Calibri"/>
          <w:b/>
          <w:sz w:val="22"/>
          <w:szCs w:val="22"/>
          <w:lang w:val="en-US"/>
        </w:rPr>
        <w:t>DDITIONAL CONSUMER ADDITION AND LOAD ENHANCEMENT UNDERTAKEN BY THE LICENSEES THROUGH VARIOUS DRIVES IN FY 2014-15</w:t>
      </w:r>
      <w:bookmarkEnd w:id="425"/>
      <w:bookmarkEnd w:id="426"/>
      <w:bookmarkEnd w:id="427"/>
    </w:p>
    <w:tbl>
      <w:tblPr>
        <w:tblW w:w="4648" w:type="pct"/>
        <w:tblInd w:w="879" w:type="dxa"/>
        <w:tblCellMar>
          <w:left w:w="0" w:type="dxa"/>
          <w:right w:w="0" w:type="dxa"/>
        </w:tblCellMar>
        <w:tblLook w:val="04A0"/>
      </w:tblPr>
      <w:tblGrid>
        <w:gridCol w:w="1750"/>
        <w:gridCol w:w="3779"/>
        <w:gridCol w:w="2730"/>
      </w:tblGrid>
      <w:tr w:rsidR="00EA521B" w:rsidRPr="00C60AD1" w:rsidTr="00EA521B">
        <w:trPr>
          <w:trHeight w:val="435"/>
        </w:trPr>
        <w:tc>
          <w:tcPr>
            <w:tcW w:w="1059" w:type="pct"/>
            <w:tcBorders>
              <w:top w:val="dotted" w:sz="2" w:space="0" w:color="000000"/>
              <w:left w:val="dotted" w:sz="2" w:space="0" w:color="000000"/>
              <w:bottom w:val="dotted" w:sz="2" w:space="0" w:color="000000"/>
              <w:right w:val="dotted" w:sz="2" w:space="0" w:color="000000"/>
            </w:tcBorders>
            <w:shd w:val="clear" w:color="auto" w:fill="B8CCE4"/>
            <w:tcMar>
              <w:top w:w="19" w:type="dxa"/>
              <w:left w:w="108" w:type="dxa"/>
              <w:bottom w:w="0" w:type="dxa"/>
              <w:right w:w="108" w:type="dxa"/>
            </w:tcMar>
            <w:hideMark/>
          </w:tcPr>
          <w:p w:rsidR="00337C98" w:rsidRDefault="00EA521B" w:rsidP="00337C98">
            <w:pPr>
              <w:spacing w:before="0" w:line="240" w:lineRule="auto"/>
              <w:jc w:val="center"/>
            </w:pPr>
            <w:r w:rsidRPr="00C60AD1">
              <w:rPr>
                <w:rFonts w:cs="Arial"/>
                <w:b/>
                <w:bCs/>
                <w:color w:val="000000"/>
                <w:kern w:val="24"/>
                <w:lang w:eastAsia="en-IN"/>
              </w:rPr>
              <w:lastRenderedPageBreak/>
              <w:t>Particulars</w:t>
            </w:r>
          </w:p>
        </w:tc>
        <w:tc>
          <w:tcPr>
            <w:tcW w:w="2288" w:type="pct"/>
            <w:tcBorders>
              <w:top w:val="dotted" w:sz="2" w:space="0" w:color="000000"/>
              <w:left w:val="dotted" w:sz="2" w:space="0" w:color="000000"/>
              <w:bottom w:val="dotted" w:sz="2" w:space="0" w:color="000000"/>
              <w:right w:val="dotted" w:sz="2" w:space="0" w:color="000000"/>
            </w:tcBorders>
            <w:shd w:val="clear" w:color="auto" w:fill="B8CCE4"/>
            <w:tcMar>
              <w:top w:w="19" w:type="dxa"/>
              <w:left w:w="108" w:type="dxa"/>
              <w:bottom w:w="0" w:type="dxa"/>
              <w:right w:w="108" w:type="dxa"/>
            </w:tcMar>
            <w:hideMark/>
          </w:tcPr>
          <w:p w:rsidR="00337C98" w:rsidRDefault="00EA521B" w:rsidP="00337C98">
            <w:pPr>
              <w:spacing w:before="0" w:line="240" w:lineRule="auto"/>
              <w:jc w:val="center"/>
              <w:rPr>
                <w:rFonts w:cs="Arial"/>
                <w:lang w:eastAsia="en-IN"/>
              </w:rPr>
            </w:pPr>
            <w:r w:rsidRPr="00C60AD1">
              <w:rPr>
                <w:rFonts w:cs="Arial"/>
                <w:b/>
                <w:bCs/>
                <w:color w:val="000000"/>
                <w:kern w:val="24"/>
                <w:lang w:eastAsia="en-IN"/>
              </w:rPr>
              <w:t>New Service Connection provided by the Licensees (In Nos.)</w:t>
            </w:r>
          </w:p>
        </w:tc>
        <w:tc>
          <w:tcPr>
            <w:tcW w:w="1653" w:type="pct"/>
            <w:tcBorders>
              <w:top w:val="dotted" w:sz="2" w:space="0" w:color="000000"/>
              <w:left w:val="dotted" w:sz="2" w:space="0" w:color="000000"/>
              <w:bottom w:val="dotted" w:sz="2" w:space="0" w:color="000000"/>
              <w:right w:val="dotted" w:sz="2" w:space="0" w:color="000000"/>
            </w:tcBorders>
            <w:shd w:val="clear" w:color="auto" w:fill="B8CCE4"/>
            <w:tcMar>
              <w:top w:w="19" w:type="dxa"/>
              <w:left w:w="108" w:type="dxa"/>
              <w:bottom w:w="0" w:type="dxa"/>
              <w:right w:w="108" w:type="dxa"/>
            </w:tcMar>
            <w:hideMark/>
          </w:tcPr>
          <w:p w:rsidR="00337C98" w:rsidRDefault="00EA521B" w:rsidP="00337C98">
            <w:pPr>
              <w:spacing w:before="0" w:line="240" w:lineRule="auto"/>
              <w:jc w:val="center"/>
              <w:rPr>
                <w:rFonts w:cs="Arial"/>
                <w:lang w:eastAsia="en-IN"/>
              </w:rPr>
            </w:pPr>
            <w:r w:rsidRPr="00C60AD1">
              <w:rPr>
                <w:rFonts w:cs="Arial"/>
                <w:b/>
                <w:bCs/>
                <w:color w:val="000000"/>
                <w:kern w:val="24"/>
                <w:lang w:eastAsia="en-IN"/>
              </w:rPr>
              <w:t>Load enhancement done by Licensees (In kW)</w:t>
            </w:r>
          </w:p>
        </w:tc>
      </w:tr>
      <w:tr w:rsidR="00EA521B" w:rsidRPr="00C60AD1" w:rsidTr="007B00DC">
        <w:trPr>
          <w:trHeight w:val="271"/>
        </w:trPr>
        <w:tc>
          <w:tcPr>
            <w:tcW w:w="1059" w:type="pct"/>
            <w:tcBorders>
              <w:top w:val="dotted" w:sz="2" w:space="0" w:color="000000"/>
              <w:left w:val="dotted" w:sz="2" w:space="0" w:color="000000"/>
              <w:bottom w:val="dotted" w:sz="2" w:space="0" w:color="000000"/>
              <w:right w:val="dotted" w:sz="2" w:space="0" w:color="000000"/>
            </w:tcBorders>
            <w:tcMar>
              <w:top w:w="19" w:type="dxa"/>
              <w:left w:w="108" w:type="dxa"/>
              <w:bottom w:w="0" w:type="dxa"/>
              <w:right w:w="108" w:type="dxa"/>
            </w:tcMar>
            <w:vAlign w:val="center"/>
            <w:hideMark/>
          </w:tcPr>
          <w:p w:rsidR="00337C98" w:rsidRDefault="00EA521B" w:rsidP="00337C98">
            <w:pPr>
              <w:spacing w:before="0"/>
              <w:jc w:val="center"/>
              <w:rPr>
                <w:rFonts w:cs="Arial"/>
                <w:lang w:eastAsia="en-IN"/>
              </w:rPr>
            </w:pPr>
            <w:r w:rsidRPr="00C60AD1">
              <w:rPr>
                <w:rFonts w:cs="Arial"/>
                <w:b/>
                <w:bCs/>
                <w:color w:val="000000"/>
                <w:kern w:val="24"/>
                <w:lang w:eastAsia="en-IN"/>
              </w:rPr>
              <w:t xml:space="preserve">TOTAL </w:t>
            </w:r>
          </w:p>
        </w:tc>
        <w:tc>
          <w:tcPr>
            <w:tcW w:w="2288" w:type="pct"/>
            <w:tcBorders>
              <w:top w:val="dotted" w:sz="2" w:space="0" w:color="000000"/>
              <w:left w:val="dotted" w:sz="2" w:space="0" w:color="000000"/>
              <w:bottom w:val="dotted" w:sz="2" w:space="0" w:color="000000"/>
              <w:right w:val="dotted" w:sz="2" w:space="0" w:color="000000"/>
            </w:tcBorders>
            <w:tcMar>
              <w:top w:w="19" w:type="dxa"/>
              <w:left w:w="108" w:type="dxa"/>
              <w:bottom w:w="0" w:type="dxa"/>
              <w:right w:w="108" w:type="dxa"/>
            </w:tcMar>
            <w:vAlign w:val="center"/>
            <w:hideMark/>
          </w:tcPr>
          <w:p w:rsidR="00EA521B" w:rsidRPr="00C60AD1" w:rsidRDefault="00EA521B" w:rsidP="007B00DC">
            <w:pPr>
              <w:jc w:val="center"/>
              <w:rPr>
                <w:rFonts w:cs="Arial"/>
                <w:lang w:eastAsia="en-IN"/>
              </w:rPr>
            </w:pPr>
            <w:r w:rsidRPr="00C60AD1">
              <w:rPr>
                <w:rFonts w:cs="Arial"/>
                <w:b/>
                <w:bCs/>
                <w:color w:val="000000"/>
                <w:kern w:val="24"/>
                <w:lang w:eastAsia="en-IN"/>
              </w:rPr>
              <w:t xml:space="preserve">2402465 </w:t>
            </w:r>
          </w:p>
        </w:tc>
        <w:tc>
          <w:tcPr>
            <w:tcW w:w="1653" w:type="pct"/>
            <w:tcBorders>
              <w:top w:val="dotted" w:sz="2" w:space="0" w:color="000000"/>
              <w:left w:val="dotted" w:sz="2" w:space="0" w:color="000000"/>
              <w:bottom w:val="dotted" w:sz="2" w:space="0" w:color="000000"/>
              <w:right w:val="dotted" w:sz="2" w:space="0" w:color="000000"/>
            </w:tcBorders>
            <w:tcMar>
              <w:top w:w="15" w:type="dxa"/>
              <w:left w:w="15" w:type="dxa"/>
              <w:bottom w:w="0" w:type="dxa"/>
              <w:right w:w="15" w:type="dxa"/>
            </w:tcMar>
            <w:vAlign w:val="center"/>
            <w:hideMark/>
          </w:tcPr>
          <w:p w:rsidR="00EA521B" w:rsidRPr="00C60AD1" w:rsidRDefault="00EA521B" w:rsidP="007B00DC">
            <w:pPr>
              <w:jc w:val="center"/>
              <w:textAlignment w:val="bottom"/>
              <w:rPr>
                <w:rFonts w:cs="Arial"/>
                <w:lang w:eastAsia="en-IN"/>
              </w:rPr>
            </w:pPr>
            <w:r w:rsidRPr="00C60AD1">
              <w:rPr>
                <w:rFonts w:cs="Arial"/>
                <w:b/>
                <w:bCs/>
                <w:color w:val="000000"/>
                <w:kern w:val="24"/>
                <w:lang w:eastAsia="en-IN"/>
              </w:rPr>
              <w:t xml:space="preserve">304658 </w:t>
            </w:r>
          </w:p>
        </w:tc>
      </w:tr>
    </w:tbl>
    <w:p w:rsidR="00EA521B" w:rsidRPr="00C60AD1" w:rsidRDefault="00EA521B" w:rsidP="00EA521B">
      <w:pPr>
        <w:pStyle w:val="Heading3"/>
        <w:numPr>
          <w:ilvl w:val="0"/>
          <w:numId w:val="0"/>
        </w:numPr>
        <w:tabs>
          <w:tab w:val="clear" w:pos="720"/>
        </w:tabs>
        <w:spacing w:before="0" w:after="240"/>
        <w:ind w:left="993"/>
      </w:pPr>
      <w:r w:rsidRPr="00C60AD1">
        <w:rPr>
          <w:i/>
          <w:sz w:val="22"/>
        </w:rPr>
        <w:t>*The above figures are at State Level</w:t>
      </w:r>
    </w:p>
    <w:p w:rsidR="00EA521B" w:rsidRPr="00EA521B" w:rsidRDefault="00337C98" w:rsidP="00EA521B">
      <w:pPr>
        <w:pStyle w:val="Heading3"/>
        <w:tabs>
          <w:tab w:val="clear" w:pos="720"/>
        </w:tabs>
        <w:spacing w:after="240"/>
        <w:ind w:left="993" w:hanging="993"/>
        <w:rPr>
          <w:rFonts w:asciiTheme="minorHAnsi" w:hAnsiTheme="minorHAnsi"/>
          <w:b/>
        </w:rPr>
      </w:pPr>
      <w:r w:rsidRPr="00337C98">
        <w:rPr>
          <w:rFonts w:asciiTheme="minorHAnsi" w:hAnsiTheme="minorHAnsi"/>
        </w:rPr>
        <w:t xml:space="preserve">The Commission </w:t>
      </w:r>
      <w:r w:rsidRPr="00B754AD">
        <w:rPr>
          <w:rFonts w:asciiTheme="minorHAnsi" w:hAnsiTheme="minorHAnsi"/>
        </w:rPr>
        <w:t>had at that time appreciated the efforts put in by the Licensees. But, the Licensees seem to have again become lax and have shown no appreciable progress</w:t>
      </w:r>
      <w:r w:rsidRPr="00337C98">
        <w:rPr>
          <w:rFonts w:asciiTheme="minorHAnsi" w:hAnsiTheme="minorHAnsi"/>
        </w:rPr>
        <w:t xml:space="preserve"> thereafter and have also not submitted periodical progress report regarding the addition of consumers. </w:t>
      </w:r>
      <w:r w:rsidRPr="00337C98">
        <w:rPr>
          <w:rFonts w:asciiTheme="minorHAnsi" w:hAnsiTheme="minorHAnsi"/>
          <w:b/>
        </w:rPr>
        <w:t>The Licensees are strongly advised to add to its number of existing consumers in a big way and also ensure to provide metered connection, only while adding new consumers. Any laxity in this matter would be viewed seriously by the Commission and may result into appropriate action.</w:t>
      </w:r>
    </w:p>
    <w:p w:rsidR="00C34658" w:rsidRPr="00BB5484" w:rsidRDefault="00E34329" w:rsidP="00C34658">
      <w:pPr>
        <w:pStyle w:val="Heading2"/>
        <w:numPr>
          <w:ilvl w:val="1"/>
          <w:numId w:val="16"/>
        </w:numPr>
      </w:pPr>
      <w:bookmarkStart w:id="428" w:name="_Toc419992314"/>
      <w:bookmarkStart w:id="429" w:name="_Toc420016250"/>
      <w:bookmarkStart w:id="430" w:name="_Toc420016294"/>
      <w:bookmarkStart w:id="431" w:name="_Toc420196328"/>
      <w:bookmarkStart w:id="432" w:name="_Toc420196410"/>
      <w:bookmarkStart w:id="433" w:name="_Toc420197579"/>
      <w:bookmarkStart w:id="434" w:name="_Toc453367478"/>
      <w:bookmarkStart w:id="435" w:name="_Toc453367601"/>
      <w:bookmarkStart w:id="436" w:name="_Toc396573825"/>
      <w:bookmarkStart w:id="437" w:name="_Toc399623723"/>
      <w:bookmarkStart w:id="438" w:name="_Toc453367602"/>
      <w:bookmarkStart w:id="439" w:name="_Toc457603939"/>
      <w:bookmarkStart w:id="440" w:name="_Toc419992293"/>
      <w:bookmarkEnd w:id="428"/>
      <w:bookmarkEnd w:id="429"/>
      <w:bookmarkEnd w:id="430"/>
      <w:bookmarkEnd w:id="431"/>
      <w:bookmarkEnd w:id="432"/>
      <w:bookmarkEnd w:id="433"/>
      <w:bookmarkEnd w:id="434"/>
      <w:bookmarkEnd w:id="435"/>
      <w:r w:rsidRPr="00E34329">
        <w:t>DISTRIBUTION LOSSES AND ENERGY BALANCE</w:t>
      </w:r>
      <w:bookmarkEnd w:id="436"/>
      <w:bookmarkEnd w:id="437"/>
      <w:bookmarkEnd w:id="438"/>
      <w:bookmarkEnd w:id="439"/>
    </w:p>
    <w:p w:rsidR="00D5771F" w:rsidRDefault="00E34329">
      <w:pPr>
        <w:pStyle w:val="Heading3"/>
        <w:tabs>
          <w:tab w:val="clear" w:pos="720"/>
        </w:tabs>
        <w:spacing w:after="240"/>
        <w:ind w:left="993" w:hanging="993"/>
        <w:rPr>
          <w:rFonts w:asciiTheme="minorHAnsi" w:hAnsiTheme="minorHAnsi"/>
        </w:rPr>
      </w:pPr>
      <w:bookmarkStart w:id="441" w:name="_Toc357349053"/>
      <w:bookmarkStart w:id="442" w:name="_Toc357356106"/>
      <w:r w:rsidRPr="00E34329">
        <w:rPr>
          <w:rFonts w:asciiTheme="minorHAnsi" w:hAnsiTheme="minorHAnsi"/>
        </w:rPr>
        <w:t>Based on review of actual performance of the Licensees, the Commission is of the view that there is ample room for reduction in distribution losses; however, the Licensee has failed to act upon the same. There is an urgent need to have an appreciable loss reduction trajectory and aggressive follow-up efforts to achieve it.</w:t>
      </w:r>
      <w:bookmarkEnd w:id="441"/>
      <w:bookmarkEnd w:id="442"/>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In this regard, the Commission in its previous Tariff Orders, had directed the Distribution Licensees to conduct proper loss estimate studies for assessment of technical and commercial losses under its supervision and submit the report to the Commission so that the Commission may set the base line losses in accordance with Clause 3.2.3 and Clause 3.2.4 of the Distribution Tariff Regulations, 2006. The study shall segregate voltage-wise distribution losses into technical loss (i.e., Ohmic / Core loss in the lines, substations and equipment) and commercial loss (i.e., unaccounted energy due to metering inaccuracies / inadequacies, pilferage of energy, improper billing, no billing, bad debts, etc.). The Commission also directed the Licensee to complete the study and submit the report within 3 months of the Order, i.e., by August 31, 2013.</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In this regard, the Distribution Licensees submitted that M/s PFC Consulting Ltd. has been appointed to draft a strategy paper for the turnaround of the Distribution Licensees, which covers the voltage wise loss studies.</w:t>
      </w:r>
    </w:p>
    <w:p w:rsidR="00D5771F" w:rsidRDefault="00E34329">
      <w:pPr>
        <w:pStyle w:val="Heading3"/>
        <w:tabs>
          <w:tab w:val="clear" w:pos="720"/>
        </w:tabs>
        <w:spacing w:after="240"/>
        <w:ind w:left="993" w:hanging="993"/>
        <w:rPr>
          <w:rFonts w:asciiTheme="minorHAnsi" w:hAnsiTheme="minorHAnsi"/>
        </w:rPr>
      </w:pPr>
      <w:bookmarkStart w:id="443" w:name="_Toc357349055"/>
      <w:bookmarkStart w:id="444" w:name="_Toc357356108"/>
      <w:r w:rsidRPr="00E34329">
        <w:rPr>
          <w:rFonts w:asciiTheme="minorHAnsi" w:hAnsiTheme="minorHAnsi"/>
        </w:rPr>
        <w:lastRenderedPageBreak/>
        <w:t>As per the current status of compliance of the Commission’s Directive, the petitioner has submitted that the PFC Consulting Ltd. has prepared a draft approach paper which is in discussion stage. Once the approach paper is finalized, the Petitioner would submit the same to the Commission. The Commission is of the view that the Petitioner should expedite the process as the time period allowed for conducting the study was 3 months. The Commission would like to reiterate that the distribution loss proposal of the Licensee should be based on correct energy audit data and supported by a report on the study carried out on such data. The Commission has been continuously stressing upon such study so that the appropriate target of distribution losses could be given to the Distribution Licensee.</w:t>
      </w:r>
      <w:bookmarkEnd w:id="443"/>
      <w:bookmarkEnd w:id="444"/>
    </w:p>
    <w:p w:rsidR="00D5771F" w:rsidRDefault="00E34329">
      <w:pPr>
        <w:pStyle w:val="Heading3"/>
        <w:tabs>
          <w:tab w:val="clear" w:pos="720"/>
        </w:tabs>
        <w:spacing w:after="240"/>
        <w:ind w:left="993" w:hanging="993"/>
        <w:rPr>
          <w:rFonts w:asciiTheme="minorHAnsi" w:hAnsiTheme="minorHAnsi"/>
        </w:rPr>
      </w:pPr>
      <w:bookmarkStart w:id="445" w:name="_Toc357349056"/>
      <w:bookmarkStart w:id="446" w:name="_Toc357356109"/>
      <w:r w:rsidRPr="00E34329">
        <w:rPr>
          <w:rFonts w:asciiTheme="minorHAnsi" w:hAnsiTheme="minorHAnsi"/>
        </w:rPr>
        <w:t>The State owned Distribution Licensees namely, MVVNL, PVVNL, DVVNL, PuVVNL and KESCO in their ARR Petition for FY 2016-17 have projected the following Distribution Losses for FY 2016-17:</w:t>
      </w:r>
    </w:p>
    <w:p w:rsidR="00C34658" w:rsidRPr="00BB5484" w:rsidRDefault="00E34329" w:rsidP="00C34658">
      <w:pPr>
        <w:spacing w:before="0"/>
        <w:jc w:val="center"/>
        <w:rPr>
          <w:rFonts w:asciiTheme="minorHAnsi" w:hAnsiTheme="minorHAnsi" w:cs="Calibri"/>
          <w:b/>
          <w:sz w:val="22"/>
          <w:szCs w:val="22"/>
          <w:lang w:val="en-US"/>
        </w:rPr>
      </w:pPr>
      <w:bookmarkStart w:id="447" w:name="_Toc395657928"/>
      <w:bookmarkStart w:id="448" w:name="_Toc396573979"/>
      <w:bookmarkStart w:id="449" w:name="_Toc399624080"/>
      <w:bookmarkStart w:id="450" w:name="_Toc453367661"/>
      <w:bookmarkStart w:id="451" w:name="_Toc457604030"/>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xml:space="preserve">: DISTRIBUTION LOSS PROJECTED BY THE DISTRIBUTION LICENSEES FOR FY </w:t>
      </w:r>
      <w:bookmarkEnd w:id="447"/>
      <w:bookmarkEnd w:id="448"/>
      <w:bookmarkEnd w:id="449"/>
      <w:r w:rsidRPr="00E34329">
        <w:rPr>
          <w:rFonts w:asciiTheme="minorHAnsi" w:hAnsiTheme="minorHAnsi" w:cs="Calibri"/>
          <w:b/>
          <w:sz w:val="22"/>
          <w:szCs w:val="22"/>
          <w:lang w:val="en-US"/>
        </w:rPr>
        <w:t>2016-17</w:t>
      </w:r>
      <w:bookmarkEnd w:id="450"/>
      <w:bookmarkEnd w:id="451"/>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05"/>
        <w:gridCol w:w="2095"/>
      </w:tblGrid>
      <w:tr w:rsidR="00C34658" w:rsidRPr="00BB5484" w:rsidTr="00D55642">
        <w:trPr>
          <w:trHeight w:val="83"/>
          <w:tblHeader/>
          <w:jc w:val="center"/>
        </w:trPr>
        <w:tc>
          <w:tcPr>
            <w:tcW w:w="1905" w:type="dxa"/>
            <w:shd w:val="clear" w:color="000000" w:fill="DBE5F1"/>
            <w:noWrap/>
            <w:vAlign w:val="center"/>
            <w:hideMark/>
          </w:tcPr>
          <w:p w:rsidR="00337C98" w:rsidRDefault="00E34329" w:rsidP="00337C98">
            <w:pPr>
              <w:spacing w:before="0" w:line="240" w:lineRule="auto"/>
              <w:jc w:val="center"/>
              <w:rPr>
                <w:rFonts w:asciiTheme="minorHAnsi" w:hAnsiTheme="minorHAnsi"/>
                <w:b/>
              </w:rPr>
            </w:pPr>
            <w:r w:rsidRPr="00E34329">
              <w:rPr>
                <w:rFonts w:asciiTheme="minorHAnsi" w:hAnsiTheme="minorHAnsi"/>
                <w:b/>
              </w:rPr>
              <w:t>Discom</w:t>
            </w:r>
          </w:p>
        </w:tc>
        <w:tc>
          <w:tcPr>
            <w:tcW w:w="2095" w:type="dxa"/>
            <w:shd w:val="clear" w:color="000000" w:fill="DBE5F1"/>
            <w:vAlign w:val="center"/>
            <w:hideMark/>
          </w:tcPr>
          <w:p w:rsidR="00337C98" w:rsidRDefault="00E34329" w:rsidP="00337C98">
            <w:pPr>
              <w:spacing w:before="0" w:line="240" w:lineRule="auto"/>
              <w:jc w:val="center"/>
              <w:rPr>
                <w:rFonts w:asciiTheme="minorHAnsi" w:hAnsiTheme="minorHAnsi"/>
                <w:b/>
              </w:rPr>
            </w:pPr>
            <w:r w:rsidRPr="00E34329">
              <w:rPr>
                <w:rFonts w:asciiTheme="minorHAnsi" w:hAnsiTheme="minorHAnsi"/>
                <w:b/>
              </w:rPr>
              <w:t>FY 2016-17</w:t>
            </w:r>
          </w:p>
        </w:tc>
      </w:tr>
      <w:tr w:rsidR="00C34658" w:rsidRPr="00BB5484" w:rsidTr="00D55642">
        <w:trPr>
          <w:trHeight w:val="300"/>
          <w:jc w:val="center"/>
        </w:trPr>
        <w:tc>
          <w:tcPr>
            <w:tcW w:w="1905" w:type="dxa"/>
            <w:shd w:val="clear" w:color="auto" w:fill="auto"/>
            <w:noWrap/>
            <w:hideMark/>
          </w:tcPr>
          <w:p w:rsidR="00337C98" w:rsidRDefault="00E34329" w:rsidP="00337C98">
            <w:pPr>
              <w:spacing w:before="0" w:line="240" w:lineRule="auto"/>
              <w:jc w:val="left"/>
              <w:rPr>
                <w:rFonts w:asciiTheme="minorHAnsi" w:hAnsiTheme="minorHAnsi"/>
              </w:rPr>
            </w:pPr>
            <w:r w:rsidRPr="00E34329">
              <w:rPr>
                <w:rFonts w:asciiTheme="minorHAnsi" w:hAnsiTheme="minorHAnsi"/>
              </w:rPr>
              <w:t>PVVNL (Retail)</w:t>
            </w:r>
          </w:p>
        </w:tc>
        <w:tc>
          <w:tcPr>
            <w:tcW w:w="2095" w:type="dxa"/>
            <w:shd w:val="clear" w:color="auto" w:fill="auto"/>
            <w:noWrap/>
            <w:vAlign w:val="bottom"/>
            <w:hideMark/>
          </w:tcPr>
          <w:p w:rsidR="00337C98" w:rsidRDefault="00E34329" w:rsidP="00337C98">
            <w:pPr>
              <w:spacing w:before="0" w:line="240" w:lineRule="auto"/>
              <w:jc w:val="right"/>
              <w:rPr>
                <w:rFonts w:asciiTheme="minorHAnsi" w:hAnsiTheme="minorHAnsi" w:cs="Arial"/>
              </w:rPr>
            </w:pPr>
            <w:r w:rsidRPr="00E34329">
              <w:rPr>
                <w:rFonts w:asciiTheme="minorHAnsi" w:hAnsiTheme="minorHAnsi" w:cs="Calibri"/>
              </w:rPr>
              <w:t>18.00%</w:t>
            </w:r>
          </w:p>
        </w:tc>
      </w:tr>
      <w:tr w:rsidR="00C34658" w:rsidRPr="00BB5484" w:rsidTr="00D55642">
        <w:trPr>
          <w:trHeight w:val="300"/>
          <w:jc w:val="center"/>
        </w:trPr>
        <w:tc>
          <w:tcPr>
            <w:tcW w:w="1905" w:type="dxa"/>
            <w:shd w:val="clear" w:color="auto" w:fill="auto"/>
            <w:noWrap/>
            <w:hideMark/>
          </w:tcPr>
          <w:p w:rsidR="00337C98" w:rsidRDefault="00E34329" w:rsidP="00337C98">
            <w:pPr>
              <w:spacing w:before="0" w:line="240" w:lineRule="auto"/>
              <w:jc w:val="left"/>
              <w:rPr>
                <w:rFonts w:asciiTheme="minorHAnsi" w:hAnsiTheme="minorHAnsi"/>
              </w:rPr>
            </w:pPr>
            <w:r w:rsidRPr="00E34329">
              <w:rPr>
                <w:rFonts w:asciiTheme="minorHAnsi" w:hAnsiTheme="minorHAnsi"/>
              </w:rPr>
              <w:t>PuVVNL</w:t>
            </w:r>
          </w:p>
        </w:tc>
        <w:tc>
          <w:tcPr>
            <w:tcW w:w="2095" w:type="dxa"/>
            <w:shd w:val="clear" w:color="auto" w:fill="auto"/>
            <w:noWrap/>
            <w:vAlign w:val="bottom"/>
            <w:hideMark/>
          </w:tcPr>
          <w:p w:rsidR="00337C98" w:rsidRDefault="00E34329" w:rsidP="00337C98">
            <w:pPr>
              <w:spacing w:before="0" w:line="240" w:lineRule="auto"/>
              <w:jc w:val="right"/>
              <w:rPr>
                <w:rFonts w:asciiTheme="minorHAnsi" w:hAnsiTheme="minorHAnsi" w:cs="Arial"/>
              </w:rPr>
            </w:pPr>
            <w:r w:rsidRPr="00E34329">
              <w:rPr>
                <w:rFonts w:asciiTheme="minorHAnsi" w:hAnsiTheme="minorHAnsi" w:cs="Calibri"/>
              </w:rPr>
              <w:t>19.25%</w:t>
            </w:r>
          </w:p>
        </w:tc>
      </w:tr>
      <w:tr w:rsidR="00C34658" w:rsidRPr="00BB5484" w:rsidTr="00D55642">
        <w:trPr>
          <w:trHeight w:val="300"/>
          <w:jc w:val="center"/>
        </w:trPr>
        <w:tc>
          <w:tcPr>
            <w:tcW w:w="1905" w:type="dxa"/>
            <w:shd w:val="clear" w:color="auto" w:fill="auto"/>
            <w:noWrap/>
            <w:hideMark/>
          </w:tcPr>
          <w:p w:rsidR="00337C98" w:rsidRDefault="00E34329" w:rsidP="00337C98">
            <w:pPr>
              <w:spacing w:before="0" w:line="240" w:lineRule="auto"/>
              <w:jc w:val="left"/>
              <w:rPr>
                <w:rFonts w:asciiTheme="minorHAnsi" w:hAnsiTheme="minorHAnsi"/>
              </w:rPr>
            </w:pPr>
            <w:r w:rsidRPr="00E34329">
              <w:rPr>
                <w:rFonts w:asciiTheme="minorHAnsi" w:hAnsiTheme="minorHAnsi"/>
              </w:rPr>
              <w:t>MVVNL</w:t>
            </w:r>
          </w:p>
        </w:tc>
        <w:tc>
          <w:tcPr>
            <w:tcW w:w="2095" w:type="dxa"/>
            <w:shd w:val="clear" w:color="auto" w:fill="auto"/>
            <w:noWrap/>
            <w:vAlign w:val="bottom"/>
            <w:hideMark/>
          </w:tcPr>
          <w:p w:rsidR="00337C98" w:rsidRDefault="00E34329" w:rsidP="00337C98">
            <w:pPr>
              <w:spacing w:before="0" w:line="240" w:lineRule="auto"/>
              <w:jc w:val="right"/>
              <w:rPr>
                <w:rFonts w:asciiTheme="minorHAnsi" w:hAnsiTheme="minorHAnsi" w:cs="Arial"/>
              </w:rPr>
            </w:pPr>
            <w:r w:rsidRPr="00E34329">
              <w:rPr>
                <w:rFonts w:asciiTheme="minorHAnsi" w:hAnsiTheme="minorHAnsi" w:cs="Calibri"/>
              </w:rPr>
              <w:t>19.00%</w:t>
            </w:r>
          </w:p>
        </w:tc>
      </w:tr>
      <w:tr w:rsidR="00C34658" w:rsidRPr="00BB5484" w:rsidTr="00D55642">
        <w:trPr>
          <w:trHeight w:val="300"/>
          <w:jc w:val="center"/>
        </w:trPr>
        <w:tc>
          <w:tcPr>
            <w:tcW w:w="1905" w:type="dxa"/>
            <w:shd w:val="clear" w:color="auto" w:fill="auto"/>
            <w:noWrap/>
            <w:hideMark/>
          </w:tcPr>
          <w:p w:rsidR="00337C98" w:rsidRDefault="00E34329" w:rsidP="00337C98">
            <w:pPr>
              <w:spacing w:before="0" w:line="240" w:lineRule="auto"/>
              <w:jc w:val="left"/>
              <w:rPr>
                <w:rFonts w:asciiTheme="minorHAnsi" w:hAnsiTheme="minorHAnsi"/>
              </w:rPr>
            </w:pPr>
            <w:r w:rsidRPr="00E34329">
              <w:rPr>
                <w:rFonts w:asciiTheme="minorHAnsi" w:hAnsiTheme="minorHAnsi"/>
              </w:rPr>
              <w:t>DVVNL (Retail)</w:t>
            </w:r>
          </w:p>
        </w:tc>
        <w:tc>
          <w:tcPr>
            <w:tcW w:w="2095" w:type="dxa"/>
            <w:shd w:val="clear" w:color="auto" w:fill="auto"/>
            <w:noWrap/>
            <w:vAlign w:val="bottom"/>
            <w:hideMark/>
          </w:tcPr>
          <w:p w:rsidR="00337C98" w:rsidRDefault="00E34329" w:rsidP="00337C98">
            <w:pPr>
              <w:spacing w:before="0" w:line="240" w:lineRule="auto"/>
              <w:jc w:val="right"/>
              <w:rPr>
                <w:rFonts w:asciiTheme="minorHAnsi" w:hAnsiTheme="minorHAnsi" w:cs="Arial"/>
              </w:rPr>
            </w:pPr>
            <w:r w:rsidRPr="00E34329">
              <w:rPr>
                <w:rFonts w:asciiTheme="minorHAnsi" w:hAnsiTheme="minorHAnsi" w:cs="Calibri"/>
              </w:rPr>
              <w:t>26.00%</w:t>
            </w:r>
          </w:p>
        </w:tc>
      </w:tr>
      <w:tr w:rsidR="00C34658" w:rsidRPr="00BB5484" w:rsidTr="00D55642">
        <w:trPr>
          <w:trHeight w:val="300"/>
          <w:jc w:val="center"/>
        </w:trPr>
        <w:tc>
          <w:tcPr>
            <w:tcW w:w="1905" w:type="dxa"/>
            <w:shd w:val="clear" w:color="auto" w:fill="auto"/>
            <w:hideMark/>
          </w:tcPr>
          <w:p w:rsidR="00337C98" w:rsidRDefault="00E34329" w:rsidP="00337C98">
            <w:pPr>
              <w:spacing w:before="0" w:line="240" w:lineRule="auto"/>
              <w:jc w:val="left"/>
              <w:rPr>
                <w:rFonts w:asciiTheme="minorHAnsi" w:hAnsiTheme="minorHAnsi"/>
              </w:rPr>
            </w:pPr>
            <w:r w:rsidRPr="00E34329">
              <w:rPr>
                <w:rFonts w:asciiTheme="minorHAnsi" w:hAnsiTheme="minorHAnsi"/>
              </w:rPr>
              <w:t>KESCO</w:t>
            </w:r>
          </w:p>
        </w:tc>
        <w:tc>
          <w:tcPr>
            <w:tcW w:w="2095" w:type="dxa"/>
            <w:shd w:val="clear" w:color="auto" w:fill="auto"/>
            <w:noWrap/>
            <w:vAlign w:val="bottom"/>
            <w:hideMark/>
          </w:tcPr>
          <w:p w:rsidR="00337C98" w:rsidRDefault="00E34329" w:rsidP="00337C98">
            <w:pPr>
              <w:spacing w:before="0" w:line="240" w:lineRule="auto"/>
              <w:jc w:val="right"/>
              <w:rPr>
                <w:rFonts w:asciiTheme="minorHAnsi" w:hAnsiTheme="minorHAnsi" w:cs="Arial"/>
              </w:rPr>
            </w:pPr>
            <w:r w:rsidRPr="00E34329">
              <w:rPr>
                <w:rFonts w:asciiTheme="minorHAnsi" w:hAnsiTheme="minorHAnsi" w:cs="Calibri"/>
              </w:rPr>
              <w:t>22.00%</w:t>
            </w:r>
          </w:p>
        </w:tc>
      </w:tr>
    </w:tbl>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The Commission, in its deficiency note, asked the Distribution Licensees to submit the actual Distribution losses for FY 2015-16 (till December, 2015) and the reason for variation in the projected losses as per the ARR / Tariff Petition and as approved in the FRP.</w:t>
      </w:r>
    </w:p>
    <w:p w:rsidR="00D5771F" w:rsidRDefault="00E34329">
      <w:pPr>
        <w:pStyle w:val="Heading3"/>
        <w:tabs>
          <w:tab w:val="clear" w:pos="720"/>
        </w:tabs>
        <w:spacing w:after="240"/>
        <w:ind w:left="993" w:hanging="993"/>
        <w:rPr>
          <w:rFonts w:asciiTheme="minorHAnsi" w:hAnsiTheme="minorHAnsi" w:cs="Calibri"/>
        </w:rPr>
      </w:pPr>
      <w:r w:rsidRPr="00E34329">
        <w:rPr>
          <w:rFonts w:asciiTheme="minorHAnsi" w:hAnsiTheme="minorHAnsi" w:cs="Calibri"/>
        </w:rPr>
        <w:t xml:space="preserve">In response to the query of the Commission, Petitioner submitted that data in respect of actual distribution losses for FY 2015-16 (till December) has yet not been prepared and the same can be made available only on the annual basis when the provisional accounts of the Licensee are in shape. The Licensees further submitted that the major reason for variation in the Distribution losses projected for FY 2016-17 and the Distribution Loss considered in FRP is due to the gap in the funding of cash gap estimated by the Petitioner in the FRP and the actual funding made by the participating banks. Due to the substantial gap in the availability of funds, the petitioner has not been able to make the envisaged capital investments for implementing loss reduction schemes and </w:t>
      </w:r>
      <w:r w:rsidRPr="00E34329">
        <w:rPr>
          <w:rFonts w:asciiTheme="minorHAnsi" w:hAnsiTheme="minorHAnsi" w:cs="Calibri"/>
        </w:rPr>
        <w:lastRenderedPageBreak/>
        <w:t>other performance improvement measures planned in the FRP. However the Petitioner is in the process of finding new sources of funding for implementation of aforementioned measures at the earliest possible to curb the distribution losses and bring down the same to the desired level as projected in the FRP.</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cs="Calibri"/>
        </w:rPr>
        <w:t xml:space="preserve">The Petitioner in its Petition has mentioned that it has submitted a loss trajectory before the Commission being in line with the loss reduction trajectory suggested by Ministry of Power, Government of India. Thus considering the commitments made by the Petitioner in the aforesaid submission, it has considered the losses for FY 2014-15, FY 2015-16&amp; FY 2016-17. Also, if in case the actual losses for FY 2014-15 are lower than the committed losses as per the trajectory, the Petitioner has estimated a 2% reduction in the Distribution Losses each year over the actual loss level of FY 2014-15. </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The summary of the actual distribution loss for the past years as submitted by the Distribution Licensees, distribution loss approved in the FRP for FY 2016-17 and the distribution loss as projected by the Licensees for FY 2016-17 in their Petitions is shown in the Table below:</w:t>
      </w:r>
    </w:p>
    <w:p w:rsidR="00C34658" w:rsidRPr="00BB5484" w:rsidRDefault="00E34329" w:rsidP="00C34658">
      <w:pPr>
        <w:spacing w:before="0"/>
        <w:jc w:val="center"/>
        <w:rPr>
          <w:rFonts w:asciiTheme="minorHAnsi" w:hAnsiTheme="minorHAnsi" w:cs="Calibri"/>
          <w:b/>
          <w:sz w:val="22"/>
          <w:szCs w:val="22"/>
          <w:lang w:val="en-US"/>
        </w:rPr>
      </w:pPr>
      <w:bookmarkStart w:id="452" w:name="_Ref395085986"/>
      <w:bookmarkStart w:id="453" w:name="_Toc395657929"/>
      <w:bookmarkStart w:id="454" w:name="_Toc396573980"/>
      <w:bookmarkStart w:id="455" w:name="_Toc399624081"/>
      <w:bookmarkStart w:id="456" w:name="_Toc453367662"/>
      <w:bookmarkStart w:id="457" w:name="_Toc457604031"/>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w:t>
      </w:r>
      <w:bookmarkEnd w:id="452"/>
      <w:r w:rsidRPr="00E34329">
        <w:rPr>
          <w:rFonts w:asciiTheme="minorHAnsi" w:hAnsiTheme="minorHAnsi" w:cs="Calibri"/>
          <w:b/>
          <w:sz w:val="22"/>
          <w:szCs w:val="22"/>
          <w:lang w:val="en-US"/>
        </w:rPr>
        <w:t xml:space="preserve"> SUMMARY OF DISTRIBUTION LOSSES</w:t>
      </w:r>
      <w:bookmarkEnd w:id="453"/>
      <w:bookmarkEnd w:id="454"/>
      <w:bookmarkEnd w:id="455"/>
      <w:bookmarkEnd w:id="456"/>
      <w:bookmarkEnd w:id="457"/>
    </w:p>
    <w:tbl>
      <w:tblPr>
        <w:tblW w:w="8233" w:type="dxa"/>
        <w:jc w:val="center"/>
        <w:tblInd w:w="-6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209"/>
        <w:gridCol w:w="1404"/>
        <w:gridCol w:w="1280"/>
        <w:gridCol w:w="1530"/>
        <w:gridCol w:w="1405"/>
        <w:gridCol w:w="1405"/>
      </w:tblGrid>
      <w:tr w:rsidR="00C34658" w:rsidRPr="00BB5484" w:rsidTr="00D55642">
        <w:trPr>
          <w:trHeight w:val="395"/>
          <w:tblHeader/>
          <w:jc w:val="center"/>
        </w:trPr>
        <w:tc>
          <w:tcPr>
            <w:tcW w:w="1209" w:type="dxa"/>
            <w:shd w:val="clear" w:color="000000" w:fill="DBE5F1"/>
            <w:hideMark/>
          </w:tcPr>
          <w:p w:rsidR="00C34658" w:rsidRPr="00BB5484" w:rsidRDefault="00E34329" w:rsidP="00D55642">
            <w:pPr>
              <w:spacing w:before="0"/>
              <w:jc w:val="center"/>
              <w:rPr>
                <w:rFonts w:asciiTheme="minorHAnsi" w:hAnsiTheme="minorHAnsi"/>
                <w:b/>
                <w:sz w:val="20"/>
              </w:rPr>
            </w:pPr>
            <w:r w:rsidRPr="00E34329">
              <w:rPr>
                <w:rFonts w:asciiTheme="minorHAnsi" w:hAnsiTheme="minorHAnsi"/>
                <w:b/>
                <w:sz w:val="20"/>
              </w:rPr>
              <w:t>Distribution Licensee</w:t>
            </w:r>
          </w:p>
        </w:tc>
        <w:tc>
          <w:tcPr>
            <w:tcW w:w="1404" w:type="dxa"/>
            <w:shd w:val="clear" w:color="000000" w:fill="DBE5F1"/>
          </w:tcPr>
          <w:p w:rsidR="00C34658" w:rsidRPr="00BB5484" w:rsidRDefault="00E34329" w:rsidP="00D55642">
            <w:pPr>
              <w:spacing w:before="0"/>
              <w:jc w:val="center"/>
              <w:rPr>
                <w:rFonts w:asciiTheme="minorHAnsi" w:hAnsiTheme="minorHAnsi"/>
                <w:b/>
                <w:sz w:val="20"/>
              </w:rPr>
            </w:pPr>
            <w:r w:rsidRPr="00E34329">
              <w:rPr>
                <w:rFonts w:asciiTheme="minorHAnsi" w:hAnsiTheme="minorHAnsi"/>
                <w:b/>
                <w:sz w:val="20"/>
              </w:rPr>
              <w:t>Actual</w:t>
            </w:r>
          </w:p>
          <w:p w:rsidR="00C34658" w:rsidRPr="00BB5484" w:rsidRDefault="00E34329" w:rsidP="00D55642">
            <w:pPr>
              <w:spacing w:before="0"/>
              <w:jc w:val="center"/>
              <w:rPr>
                <w:rFonts w:asciiTheme="minorHAnsi" w:hAnsiTheme="minorHAnsi"/>
                <w:b/>
                <w:sz w:val="20"/>
              </w:rPr>
            </w:pPr>
            <w:r w:rsidRPr="00E34329">
              <w:rPr>
                <w:rFonts w:asciiTheme="minorHAnsi" w:hAnsiTheme="minorHAnsi"/>
                <w:b/>
                <w:sz w:val="20"/>
              </w:rPr>
              <w:t>FY 2013-14</w:t>
            </w:r>
          </w:p>
        </w:tc>
        <w:tc>
          <w:tcPr>
            <w:tcW w:w="1280" w:type="dxa"/>
            <w:shd w:val="clear" w:color="000000" w:fill="DBE5F1"/>
          </w:tcPr>
          <w:p w:rsidR="00C34658" w:rsidRPr="00BB5484" w:rsidRDefault="00E34329" w:rsidP="00D55642">
            <w:pPr>
              <w:spacing w:before="0"/>
              <w:jc w:val="center"/>
              <w:rPr>
                <w:rFonts w:asciiTheme="minorHAnsi" w:hAnsiTheme="minorHAnsi"/>
                <w:b/>
                <w:sz w:val="20"/>
              </w:rPr>
            </w:pPr>
            <w:r w:rsidRPr="00E34329">
              <w:rPr>
                <w:rFonts w:asciiTheme="minorHAnsi" w:hAnsiTheme="minorHAnsi"/>
                <w:b/>
                <w:sz w:val="20"/>
              </w:rPr>
              <w:t>Provisional</w:t>
            </w:r>
          </w:p>
          <w:p w:rsidR="00C34658" w:rsidRPr="00BB5484" w:rsidRDefault="00E34329" w:rsidP="00D55642">
            <w:pPr>
              <w:spacing w:before="0"/>
              <w:jc w:val="center"/>
              <w:rPr>
                <w:rFonts w:asciiTheme="minorHAnsi" w:hAnsiTheme="minorHAnsi"/>
                <w:b/>
                <w:sz w:val="20"/>
              </w:rPr>
            </w:pPr>
            <w:r w:rsidRPr="00E34329">
              <w:rPr>
                <w:rFonts w:asciiTheme="minorHAnsi" w:hAnsiTheme="minorHAnsi"/>
                <w:b/>
                <w:sz w:val="20"/>
              </w:rPr>
              <w:t>FY 2014-15</w:t>
            </w:r>
          </w:p>
        </w:tc>
        <w:tc>
          <w:tcPr>
            <w:tcW w:w="1530" w:type="dxa"/>
            <w:shd w:val="clear" w:color="000000" w:fill="DBE5F1"/>
          </w:tcPr>
          <w:p w:rsidR="00C34658" w:rsidRPr="00BB5484" w:rsidRDefault="00E34329" w:rsidP="00D55642">
            <w:pPr>
              <w:spacing w:before="0"/>
              <w:jc w:val="center"/>
              <w:rPr>
                <w:rFonts w:asciiTheme="minorHAnsi" w:hAnsiTheme="minorHAnsi"/>
                <w:b/>
                <w:sz w:val="20"/>
              </w:rPr>
            </w:pPr>
            <w:r w:rsidRPr="00E34329">
              <w:rPr>
                <w:rFonts w:asciiTheme="minorHAnsi" w:hAnsiTheme="minorHAnsi"/>
                <w:b/>
                <w:sz w:val="20"/>
              </w:rPr>
              <w:t>Approved by the Commission for FY 2015-16</w:t>
            </w:r>
          </w:p>
        </w:tc>
        <w:tc>
          <w:tcPr>
            <w:tcW w:w="1405" w:type="dxa"/>
            <w:shd w:val="clear" w:color="000000" w:fill="DBE5F1"/>
            <w:hideMark/>
          </w:tcPr>
          <w:p w:rsidR="00C34658" w:rsidRPr="00BB5484" w:rsidRDefault="00E34329" w:rsidP="00D55642">
            <w:pPr>
              <w:spacing w:before="0"/>
              <w:jc w:val="center"/>
              <w:rPr>
                <w:rFonts w:asciiTheme="minorHAnsi" w:hAnsiTheme="minorHAnsi"/>
                <w:b/>
                <w:sz w:val="20"/>
              </w:rPr>
            </w:pPr>
            <w:r w:rsidRPr="00E34329">
              <w:rPr>
                <w:rFonts w:asciiTheme="minorHAnsi" w:hAnsiTheme="minorHAnsi"/>
                <w:b/>
                <w:sz w:val="20"/>
              </w:rPr>
              <w:t>Approved in FRP for FY 2016-17</w:t>
            </w:r>
          </w:p>
        </w:tc>
        <w:tc>
          <w:tcPr>
            <w:tcW w:w="1405" w:type="dxa"/>
            <w:shd w:val="clear" w:color="000000" w:fill="DBE5F1"/>
            <w:hideMark/>
          </w:tcPr>
          <w:p w:rsidR="00C34658" w:rsidRPr="00BB5484" w:rsidRDefault="00E34329" w:rsidP="00D55642">
            <w:pPr>
              <w:spacing w:before="0"/>
              <w:jc w:val="center"/>
              <w:rPr>
                <w:rFonts w:asciiTheme="minorHAnsi" w:hAnsiTheme="minorHAnsi"/>
                <w:b/>
                <w:sz w:val="20"/>
              </w:rPr>
            </w:pPr>
            <w:r w:rsidRPr="00E34329">
              <w:rPr>
                <w:rFonts w:asciiTheme="minorHAnsi" w:hAnsiTheme="minorHAnsi"/>
                <w:b/>
                <w:sz w:val="20"/>
              </w:rPr>
              <w:t>Projected by Licensees for FY 2016-17 in their Petitions</w:t>
            </w:r>
          </w:p>
        </w:tc>
      </w:tr>
      <w:tr w:rsidR="00C34658" w:rsidRPr="00BB5484" w:rsidTr="00D55642">
        <w:trPr>
          <w:trHeight w:val="83"/>
          <w:jc w:val="center"/>
        </w:trPr>
        <w:tc>
          <w:tcPr>
            <w:tcW w:w="1209" w:type="dxa"/>
            <w:shd w:val="clear" w:color="auto" w:fill="auto"/>
            <w:vAlign w:val="center"/>
            <w:hideMark/>
          </w:tcPr>
          <w:p w:rsidR="00C34658" w:rsidRPr="00BB5484" w:rsidRDefault="00E34329" w:rsidP="00D55642">
            <w:pPr>
              <w:spacing w:before="0"/>
              <w:rPr>
                <w:rFonts w:asciiTheme="minorHAnsi" w:hAnsiTheme="minorHAnsi"/>
              </w:rPr>
            </w:pPr>
            <w:r w:rsidRPr="00E34329">
              <w:rPr>
                <w:rFonts w:asciiTheme="minorHAnsi" w:hAnsiTheme="minorHAnsi"/>
              </w:rPr>
              <w:t>DVVNL</w:t>
            </w:r>
          </w:p>
        </w:tc>
        <w:tc>
          <w:tcPr>
            <w:tcW w:w="1404" w:type="dxa"/>
          </w:tcPr>
          <w:p w:rsidR="00C34658" w:rsidRPr="00BB5484" w:rsidRDefault="00E34329" w:rsidP="00D55642">
            <w:pPr>
              <w:spacing w:before="0"/>
              <w:jc w:val="right"/>
              <w:rPr>
                <w:rFonts w:asciiTheme="minorHAnsi" w:hAnsiTheme="minorHAnsi"/>
              </w:rPr>
            </w:pPr>
            <w:r w:rsidRPr="00E34329">
              <w:rPr>
                <w:rFonts w:asciiTheme="minorHAnsi" w:hAnsiTheme="minorHAnsi"/>
              </w:rPr>
              <w:t>28.69%</w:t>
            </w:r>
          </w:p>
        </w:tc>
        <w:tc>
          <w:tcPr>
            <w:tcW w:w="1280" w:type="dxa"/>
            <w:vAlign w:val="center"/>
          </w:tcPr>
          <w:p w:rsidR="00C34658" w:rsidRPr="00BB5484" w:rsidRDefault="00E34329" w:rsidP="00D55642">
            <w:pPr>
              <w:spacing w:before="0"/>
              <w:jc w:val="right"/>
              <w:rPr>
                <w:rFonts w:asciiTheme="minorHAnsi" w:hAnsiTheme="minorHAnsi"/>
              </w:rPr>
            </w:pPr>
            <w:r w:rsidRPr="00E34329">
              <w:rPr>
                <w:rFonts w:asciiTheme="minorHAnsi" w:hAnsiTheme="minorHAnsi"/>
              </w:rPr>
              <w:t>29.49%</w:t>
            </w:r>
          </w:p>
        </w:tc>
        <w:tc>
          <w:tcPr>
            <w:tcW w:w="1530" w:type="dxa"/>
          </w:tcPr>
          <w:p w:rsidR="00C34658" w:rsidRPr="00BB5484" w:rsidRDefault="00E34329" w:rsidP="00D55642">
            <w:pPr>
              <w:spacing w:before="0"/>
              <w:jc w:val="right"/>
              <w:rPr>
                <w:rFonts w:asciiTheme="minorHAnsi" w:hAnsiTheme="minorHAnsi"/>
              </w:rPr>
            </w:pPr>
            <w:r w:rsidRPr="00E34329">
              <w:rPr>
                <w:rFonts w:asciiTheme="minorHAnsi" w:hAnsiTheme="minorHAnsi"/>
              </w:rPr>
              <w:t>29.00%</w:t>
            </w:r>
          </w:p>
        </w:tc>
        <w:tc>
          <w:tcPr>
            <w:tcW w:w="1405" w:type="dxa"/>
            <w:shd w:val="clear" w:color="auto" w:fill="auto"/>
            <w:noWrap/>
            <w:vAlign w:val="center"/>
            <w:hideMark/>
          </w:tcPr>
          <w:p w:rsidR="00C34658" w:rsidRPr="00BB5484" w:rsidRDefault="00E34329" w:rsidP="00D55642">
            <w:pPr>
              <w:spacing w:before="0"/>
              <w:jc w:val="right"/>
              <w:rPr>
                <w:rFonts w:asciiTheme="minorHAnsi" w:hAnsiTheme="minorHAnsi"/>
              </w:rPr>
            </w:pPr>
            <w:r w:rsidRPr="00E34329">
              <w:rPr>
                <w:rFonts w:asciiTheme="minorHAnsi" w:hAnsiTheme="minorHAnsi"/>
              </w:rPr>
              <w:t>18.55%</w:t>
            </w:r>
          </w:p>
        </w:tc>
        <w:tc>
          <w:tcPr>
            <w:tcW w:w="1405" w:type="dxa"/>
            <w:shd w:val="clear" w:color="auto" w:fill="auto"/>
            <w:vAlign w:val="center"/>
            <w:hideMark/>
          </w:tcPr>
          <w:p w:rsidR="00C34658" w:rsidRPr="00BB5484" w:rsidRDefault="00E34329" w:rsidP="00D55642">
            <w:pPr>
              <w:spacing w:before="0"/>
              <w:jc w:val="right"/>
              <w:rPr>
                <w:rFonts w:asciiTheme="minorHAnsi" w:hAnsiTheme="minorHAnsi"/>
              </w:rPr>
            </w:pPr>
            <w:r w:rsidRPr="00E34329">
              <w:rPr>
                <w:rFonts w:asciiTheme="minorHAnsi" w:hAnsiTheme="minorHAnsi"/>
              </w:rPr>
              <w:t>26.00%</w:t>
            </w:r>
          </w:p>
        </w:tc>
      </w:tr>
      <w:tr w:rsidR="00C34658" w:rsidRPr="00BB5484" w:rsidTr="00D55642">
        <w:trPr>
          <w:trHeight w:val="315"/>
          <w:jc w:val="center"/>
        </w:trPr>
        <w:tc>
          <w:tcPr>
            <w:tcW w:w="1209" w:type="dxa"/>
            <w:shd w:val="clear" w:color="auto" w:fill="auto"/>
            <w:vAlign w:val="center"/>
            <w:hideMark/>
          </w:tcPr>
          <w:p w:rsidR="00C34658" w:rsidRPr="00BB5484" w:rsidRDefault="00E34329" w:rsidP="00D55642">
            <w:pPr>
              <w:spacing w:before="0"/>
              <w:rPr>
                <w:rFonts w:asciiTheme="minorHAnsi" w:hAnsiTheme="minorHAnsi"/>
              </w:rPr>
            </w:pPr>
            <w:r w:rsidRPr="00E34329">
              <w:rPr>
                <w:rFonts w:asciiTheme="minorHAnsi" w:hAnsiTheme="minorHAnsi"/>
              </w:rPr>
              <w:t>MVVNL</w:t>
            </w:r>
          </w:p>
        </w:tc>
        <w:tc>
          <w:tcPr>
            <w:tcW w:w="1404" w:type="dxa"/>
          </w:tcPr>
          <w:p w:rsidR="00C34658" w:rsidRPr="00BB5484" w:rsidRDefault="00E34329" w:rsidP="00D55642">
            <w:pPr>
              <w:spacing w:before="0"/>
              <w:jc w:val="right"/>
              <w:rPr>
                <w:rFonts w:asciiTheme="minorHAnsi" w:hAnsiTheme="minorHAnsi"/>
              </w:rPr>
            </w:pPr>
            <w:r w:rsidRPr="00E34329">
              <w:rPr>
                <w:rFonts w:asciiTheme="minorHAnsi" w:hAnsiTheme="minorHAnsi"/>
              </w:rPr>
              <w:t>24.85%</w:t>
            </w:r>
          </w:p>
        </w:tc>
        <w:tc>
          <w:tcPr>
            <w:tcW w:w="1280" w:type="dxa"/>
            <w:vAlign w:val="center"/>
          </w:tcPr>
          <w:p w:rsidR="00C34658" w:rsidRPr="00BB5484" w:rsidRDefault="00E34329" w:rsidP="00D55642">
            <w:pPr>
              <w:spacing w:before="0"/>
              <w:jc w:val="right"/>
              <w:rPr>
                <w:rFonts w:asciiTheme="minorHAnsi" w:hAnsiTheme="minorHAnsi"/>
              </w:rPr>
            </w:pPr>
            <w:r w:rsidRPr="00E34329">
              <w:rPr>
                <w:rFonts w:asciiTheme="minorHAnsi" w:hAnsiTheme="minorHAnsi"/>
              </w:rPr>
              <w:t>22.88%</w:t>
            </w:r>
          </w:p>
        </w:tc>
        <w:tc>
          <w:tcPr>
            <w:tcW w:w="1530" w:type="dxa"/>
          </w:tcPr>
          <w:p w:rsidR="00C34658" w:rsidRPr="00BB5484" w:rsidRDefault="00E34329" w:rsidP="00D55642">
            <w:pPr>
              <w:spacing w:before="0"/>
              <w:jc w:val="right"/>
              <w:rPr>
                <w:rFonts w:asciiTheme="minorHAnsi" w:hAnsiTheme="minorHAnsi"/>
              </w:rPr>
            </w:pPr>
            <w:r w:rsidRPr="00E34329">
              <w:rPr>
                <w:rFonts w:asciiTheme="minorHAnsi" w:hAnsiTheme="minorHAnsi"/>
              </w:rPr>
              <w:t>21.03%</w:t>
            </w:r>
          </w:p>
        </w:tc>
        <w:tc>
          <w:tcPr>
            <w:tcW w:w="1405" w:type="dxa"/>
            <w:shd w:val="clear" w:color="auto" w:fill="auto"/>
            <w:noWrap/>
            <w:vAlign w:val="center"/>
            <w:hideMark/>
          </w:tcPr>
          <w:p w:rsidR="00C34658" w:rsidRPr="00BB5484" w:rsidRDefault="00E34329" w:rsidP="00D55642">
            <w:pPr>
              <w:spacing w:before="0"/>
              <w:jc w:val="right"/>
              <w:rPr>
                <w:rFonts w:asciiTheme="minorHAnsi" w:hAnsiTheme="minorHAnsi"/>
              </w:rPr>
            </w:pPr>
            <w:r w:rsidRPr="00E34329">
              <w:rPr>
                <w:rFonts w:asciiTheme="minorHAnsi" w:hAnsiTheme="minorHAnsi"/>
              </w:rPr>
              <w:t>17.00%</w:t>
            </w:r>
          </w:p>
        </w:tc>
        <w:tc>
          <w:tcPr>
            <w:tcW w:w="1405" w:type="dxa"/>
            <w:shd w:val="clear" w:color="auto" w:fill="auto"/>
            <w:vAlign w:val="center"/>
            <w:hideMark/>
          </w:tcPr>
          <w:p w:rsidR="00C34658" w:rsidRPr="00BB5484" w:rsidRDefault="00E34329" w:rsidP="00D55642">
            <w:pPr>
              <w:spacing w:before="0"/>
              <w:jc w:val="right"/>
              <w:rPr>
                <w:rFonts w:asciiTheme="minorHAnsi" w:hAnsiTheme="minorHAnsi"/>
              </w:rPr>
            </w:pPr>
            <w:r w:rsidRPr="00E34329">
              <w:rPr>
                <w:rFonts w:asciiTheme="minorHAnsi" w:hAnsiTheme="minorHAnsi"/>
              </w:rPr>
              <w:t>19.00%</w:t>
            </w:r>
          </w:p>
        </w:tc>
      </w:tr>
      <w:tr w:rsidR="00C34658" w:rsidRPr="00BB5484" w:rsidTr="00D55642">
        <w:trPr>
          <w:trHeight w:val="315"/>
          <w:jc w:val="center"/>
        </w:trPr>
        <w:tc>
          <w:tcPr>
            <w:tcW w:w="1209" w:type="dxa"/>
            <w:shd w:val="clear" w:color="auto" w:fill="auto"/>
            <w:vAlign w:val="center"/>
            <w:hideMark/>
          </w:tcPr>
          <w:p w:rsidR="00C34658" w:rsidRPr="00BB5484" w:rsidRDefault="00E34329" w:rsidP="00D55642">
            <w:pPr>
              <w:spacing w:before="0"/>
              <w:rPr>
                <w:rFonts w:asciiTheme="minorHAnsi" w:hAnsiTheme="minorHAnsi"/>
              </w:rPr>
            </w:pPr>
            <w:r w:rsidRPr="00E34329">
              <w:rPr>
                <w:rFonts w:asciiTheme="minorHAnsi" w:hAnsiTheme="minorHAnsi"/>
              </w:rPr>
              <w:t>PVVNL</w:t>
            </w:r>
          </w:p>
        </w:tc>
        <w:tc>
          <w:tcPr>
            <w:tcW w:w="1404" w:type="dxa"/>
          </w:tcPr>
          <w:p w:rsidR="00C34658" w:rsidRPr="00BB5484" w:rsidRDefault="00E34329" w:rsidP="00D55642">
            <w:pPr>
              <w:spacing w:before="0"/>
              <w:jc w:val="right"/>
              <w:rPr>
                <w:rFonts w:asciiTheme="minorHAnsi" w:hAnsiTheme="minorHAnsi"/>
              </w:rPr>
            </w:pPr>
            <w:r w:rsidRPr="00E34329">
              <w:rPr>
                <w:rFonts w:asciiTheme="minorHAnsi" w:hAnsiTheme="minorHAnsi"/>
              </w:rPr>
              <w:t>23.08%</w:t>
            </w:r>
          </w:p>
        </w:tc>
        <w:tc>
          <w:tcPr>
            <w:tcW w:w="1280" w:type="dxa"/>
            <w:vAlign w:val="center"/>
          </w:tcPr>
          <w:p w:rsidR="00C34658" w:rsidRPr="00BB5484" w:rsidRDefault="00E34329" w:rsidP="00D55642">
            <w:pPr>
              <w:spacing w:before="0"/>
              <w:jc w:val="right"/>
              <w:rPr>
                <w:rFonts w:asciiTheme="minorHAnsi" w:hAnsiTheme="minorHAnsi"/>
              </w:rPr>
            </w:pPr>
            <w:r w:rsidRPr="00E34329">
              <w:rPr>
                <w:rFonts w:asciiTheme="minorHAnsi" w:hAnsiTheme="minorHAnsi"/>
              </w:rPr>
              <w:t>19.66%</w:t>
            </w:r>
          </w:p>
        </w:tc>
        <w:tc>
          <w:tcPr>
            <w:tcW w:w="1530" w:type="dxa"/>
          </w:tcPr>
          <w:p w:rsidR="00C34658" w:rsidRPr="00BB5484" w:rsidRDefault="00E34329" w:rsidP="00D55642">
            <w:pPr>
              <w:spacing w:before="0"/>
              <w:jc w:val="right"/>
              <w:rPr>
                <w:rFonts w:asciiTheme="minorHAnsi" w:hAnsiTheme="minorHAnsi"/>
              </w:rPr>
            </w:pPr>
            <w:r w:rsidRPr="00E34329">
              <w:rPr>
                <w:rFonts w:asciiTheme="minorHAnsi" w:hAnsiTheme="minorHAnsi"/>
              </w:rPr>
              <w:t>19.52%</w:t>
            </w:r>
          </w:p>
        </w:tc>
        <w:tc>
          <w:tcPr>
            <w:tcW w:w="1405" w:type="dxa"/>
            <w:shd w:val="clear" w:color="auto" w:fill="auto"/>
            <w:noWrap/>
            <w:vAlign w:val="center"/>
            <w:hideMark/>
          </w:tcPr>
          <w:p w:rsidR="00C34658" w:rsidRPr="00BB5484" w:rsidRDefault="00E34329" w:rsidP="00D55642">
            <w:pPr>
              <w:spacing w:before="0"/>
              <w:jc w:val="right"/>
              <w:rPr>
                <w:rFonts w:asciiTheme="minorHAnsi" w:hAnsiTheme="minorHAnsi"/>
              </w:rPr>
            </w:pPr>
            <w:r w:rsidRPr="00E34329">
              <w:rPr>
                <w:rFonts w:asciiTheme="minorHAnsi" w:hAnsiTheme="minorHAnsi"/>
              </w:rPr>
              <w:t>17.00%</w:t>
            </w:r>
          </w:p>
        </w:tc>
        <w:tc>
          <w:tcPr>
            <w:tcW w:w="1405" w:type="dxa"/>
            <w:shd w:val="clear" w:color="auto" w:fill="auto"/>
            <w:vAlign w:val="center"/>
            <w:hideMark/>
          </w:tcPr>
          <w:p w:rsidR="00C34658" w:rsidRPr="00BB5484" w:rsidRDefault="00E34329" w:rsidP="00D55642">
            <w:pPr>
              <w:spacing w:before="0"/>
              <w:jc w:val="right"/>
              <w:rPr>
                <w:rFonts w:asciiTheme="minorHAnsi" w:hAnsiTheme="minorHAnsi"/>
              </w:rPr>
            </w:pPr>
            <w:r w:rsidRPr="00E34329">
              <w:rPr>
                <w:rFonts w:asciiTheme="minorHAnsi" w:hAnsiTheme="minorHAnsi"/>
              </w:rPr>
              <w:t>18.00%</w:t>
            </w:r>
          </w:p>
        </w:tc>
      </w:tr>
      <w:tr w:rsidR="00C34658" w:rsidRPr="00BB5484" w:rsidTr="00D55642">
        <w:trPr>
          <w:trHeight w:val="315"/>
          <w:jc w:val="center"/>
        </w:trPr>
        <w:tc>
          <w:tcPr>
            <w:tcW w:w="1209" w:type="dxa"/>
            <w:shd w:val="clear" w:color="auto" w:fill="auto"/>
            <w:vAlign w:val="center"/>
            <w:hideMark/>
          </w:tcPr>
          <w:p w:rsidR="00C34658" w:rsidRPr="00BB5484" w:rsidRDefault="00E34329" w:rsidP="00D55642">
            <w:pPr>
              <w:spacing w:before="0"/>
              <w:rPr>
                <w:rFonts w:asciiTheme="minorHAnsi" w:hAnsiTheme="minorHAnsi"/>
              </w:rPr>
            </w:pPr>
            <w:r w:rsidRPr="00E34329">
              <w:rPr>
                <w:rFonts w:asciiTheme="minorHAnsi" w:hAnsiTheme="minorHAnsi"/>
              </w:rPr>
              <w:t>PuVNNL</w:t>
            </w:r>
          </w:p>
        </w:tc>
        <w:tc>
          <w:tcPr>
            <w:tcW w:w="1404" w:type="dxa"/>
          </w:tcPr>
          <w:p w:rsidR="00C34658" w:rsidRPr="00BB5484" w:rsidRDefault="00E34329" w:rsidP="00D55642">
            <w:pPr>
              <w:spacing w:before="0"/>
              <w:jc w:val="right"/>
              <w:rPr>
                <w:rFonts w:asciiTheme="minorHAnsi" w:hAnsiTheme="minorHAnsi"/>
              </w:rPr>
            </w:pPr>
            <w:r w:rsidRPr="00E34329">
              <w:rPr>
                <w:rFonts w:asciiTheme="minorHAnsi" w:hAnsiTheme="minorHAnsi"/>
              </w:rPr>
              <w:t>24.73%</w:t>
            </w:r>
          </w:p>
        </w:tc>
        <w:tc>
          <w:tcPr>
            <w:tcW w:w="1280" w:type="dxa"/>
            <w:vAlign w:val="center"/>
          </w:tcPr>
          <w:p w:rsidR="00C34658" w:rsidRPr="00BB5484" w:rsidRDefault="00E34329" w:rsidP="00D55642">
            <w:pPr>
              <w:spacing w:before="0"/>
              <w:jc w:val="right"/>
              <w:rPr>
                <w:rFonts w:asciiTheme="minorHAnsi" w:hAnsiTheme="minorHAnsi"/>
              </w:rPr>
            </w:pPr>
            <w:r w:rsidRPr="00E34329">
              <w:rPr>
                <w:rFonts w:asciiTheme="minorHAnsi" w:hAnsiTheme="minorHAnsi"/>
              </w:rPr>
              <w:t>23.88%</w:t>
            </w:r>
          </w:p>
        </w:tc>
        <w:tc>
          <w:tcPr>
            <w:tcW w:w="1530" w:type="dxa"/>
          </w:tcPr>
          <w:p w:rsidR="00C34658" w:rsidRPr="00BB5484" w:rsidRDefault="00E34329" w:rsidP="00D55642">
            <w:pPr>
              <w:spacing w:before="0"/>
              <w:jc w:val="right"/>
              <w:rPr>
                <w:rFonts w:asciiTheme="minorHAnsi" w:hAnsiTheme="minorHAnsi"/>
              </w:rPr>
            </w:pPr>
            <w:r w:rsidRPr="00E34329">
              <w:rPr>
                <w:rFonts w:asciiTheme="minorHAnsi" w:hAnsiTheme="minorHAnsi"/>
              </w:rPr>
              <w:t>20.93%</w:t>
            </w:r>
          </w:p>
        </w:tc>
        <w:tc>
          <w:tcPr>
            <w:tcW w:w="1405" w:type="dxa"/>
            <w:shd w:val="clear" w:color="auto" w:fill="auto"/>
            <w:noWrap/>
            <w:vAlign w:val="center"/>
            <w:hideMark/>
          </w:tcPr>
          <w:p w:rsidR="00C34658" w:rsidRPr="00BB5484" w:rsidRDefault="00E34329" w:rsidP="00D55642">
            <w:pPr>
              <w:spacing w:before="0"/>
              <w:jc w:val="right"/>
              <w:rPr>
                <w:rFonts w:asciiTheme="minorHAnsi" w:hAnsiTheme="minorHAnsi"/>
              </w:rPr>
            </w:pPr>
            <w:r w:rsidRPr="00E34329">
              <w:rPr>
                <w:rFonts w:asciiTheme="minorHAnsi" w:hAnsiTheme="minorHAnsi"/>
              </w:rPr>
              <w:t>16.00%</w:t>
            </w:r>
          </w:p>
        </w:tc>
        <w:tc>
          <w:tcPr>
            <w:tcW w:w="1405" w:type="dxa"/>
            <w:shd w:val="clear" w:color="auto" w:fill="auto"/>
            <w:vAlign w:val="center"/>
            <w:hideMark/>
          </w:tcPr>
          <w:p w:rsidR="00C34658" w:rsidRPr="00BB5484" w:rsidRDefault="00E34329" w:rsidP="00D55642">
            <w:pPr>
              <w:spacing w:before="0"/>
              <w:jc w:val="right"/>
              <w:rPr>
                <w:rFonts w:asciiTheme="minorHAnsi" w:hAnsiTheme="minorHAnsi"/>
              </w:rPr>
            </w:pPr>
            <w:r w:rsidRPr="00E34329">
              <w:rPr>
                <w:rFonts w:asciiTheme="minorHAnsi" w:hAnsiTheme="minorHAnsi"/>
              </w:rPr>
              <w:t>19.25%</w:t>
            </w:r>
          </w:p>
        </w:tc>
      </w:tr>
      <w:tr w:rsidR="00C34658" w:rsidRPr="00BB5484" w:rsidTr="00D55642">
        <w:trPr>
          <w:trHeight w:val="315"/>
          <w:jc w:val="center"/>
        </w:trPr>
        <w:tc>
          <w:tcPr>
            <w:tcW w:w="1209" w:type="dxa"/>
            <w:shd w:val="clear" w:color="auto" w:fill="auto"/>
            <w:vAlign w:val="center"/>
            <w:hideMark/>
          </w:tcPr>
          <w:p w:rsidR="00C34658" w:rsidRPr="00BB5484" w:rsidRDefault="00E34329" w:rsidP="00D55642">
            <w:pPr>
              <w:spacing w:before="0"/>
              <w:rPr>
                <w:rFonts w:asciiTheme="minorHAnsi" w:hAnsiTheme="minorHAnsi"/>
              </w:rPr>
            </w:pPr>
            <w:r w:rsidRPr="00E34329">
              <w:rPr>
                <w:rFonts w:asciiTheme="minorHAnsi" w:hAnsiTheme="minorHAnsi"/>
              </w:rPr>
              <w:t>KESCO</w:t>
            </w:r>
          </w:p>
        </w:tc>
        <w:tc>
          <w:tcPr>
            <w:tcW w:w="1404" w:type="dxa"/>
          </w:tcPr>
          <w:p w:rsidR="00C34658" w:rsidRPr="00BB5484" w:rsidRDefault="00E34329" w:rsidP="00D55642">
            <w:pPr>
              <w:spacing w:before="0"/>
              <w:jc w:val="right"/>
              <w:rPr>
                <w:rFonts w:asciiTheme="minorHAnsi" w:hAnsiTheme="minorHAnsi"/>
              </w:rPr>
            </w:pPr>
            <w:r w:rsidRPr="00E34329">
              <w:rPr>
                <w:rFonts w:asciiTheme="minorHAnsi" w:hAnsiTheme="minorHAnsi"/>
              </w:rPr>
              <w:t>30.84%</w:t>
            </w:r>
          </w:p>
        </w:tc>
        <w:tc>
          <w:tcPr>
            <w:tcW w:w="1280" w:type="dxa"/>
            <w:vAlign w:val="center"/>
          </w:tcPr>
          <w:p w:rsidR="00C34658" w:rsidRPr="00BB5484" w:rsidRDefault="00E34329" w:rsidP="00D55642">
            <w:pPr>
              <w:spacing w:before="0"/>
              <w:jc w:val="right"/>
              <w:rPr>
                <w:rFonts w:asciiTheme="minorHAnsi" w:hAnsiTheme="minorHAnsi"/>
              </w:rPr>
            </w:pPr>
            <w:r w:rsidRPr="00E34329">
              <w:rPr>
                <w:rFonts w:asciiTheme="minorHAnsi" w:hAnsiTheme="minorHAnsi"/>
              </w:rPr>
              <w:t>26.04%</w:t>
            </w:r>
          </w:p>
        </w:tc>
        <w:tc>
          <w:tcPr>
            <w:tcW w:w="1530" w:type="dxa"/>
          </w:tcPr>
          <w:p w:rsidR="00C34658" w:rsidRPr="00BB5484" w:rsidRDefault="00E34329" w:rsidP="00D55642">
            <w:pPr>
              <w:spacing w:before="0"/>
              <w:jc w:val="right"/>
              <w:rPr>
                <w:rFonts w:asciiTheme="minorHAnsi" w:hAnsiTheme="minorHAnsi"/>
              </w:rPr>
            </w:pPr>
            <w:r w:rsidRPr="00E34329">
              <w:rPr>
                <w:rFonts w:asciiTheme="minorHAnsi" w:hAnsiTheme="minorHAnsi"/>
              </w:rPr>
              <w:t>23.50%</w:t>
            </w:r>
          </w:p>
        </w:tc>
        <w:tc>
          <w:tcPr>
            <w:tcW w:w="1405" w:type="dxa"/>
            <w:shd w:val="clear" w:color="auto" w:fill="auto"/>
            <w:noWrap/>
            <w:vAlign w:val="center"/>
            <w:hideMark/>
          </w:tcPr>
          <w:p w:rsidR="00C34658" w:rsidRPr="00BB5484" w:rsidRDefault="00E34329" w:rsidP="00D55642">
            <w:pPr>
              <w:spacing w:before="0"/>
              <w:jc w:val="right"/>
              <w:rPr>
                <w:rFonts w:asciiTheme="minorHAnsi" w:hAnsiTheme="minorHAnsi"/>
              </w:rPr>
            </w:pPr>
            <w:r w:rsidRPr="00E34329">
              <w:rPr>
                <w:rFonts w:asciiTheme="minorHAnsi" w:hAnsiTheme="minorHAnsi"/>
              </w:rPr>
              <w:t>17.00%</w:t>
            </w:r>
          </w:p>
        </w:tc>
        <w:tc>
          <w:tcPr>
            <w:tcW w:w="1405" w:type="dxa"/>
            <w:shd w:val="clear" w:color="auto" w:fill="auto"/>
            <w:vAlign w:val="center"/>
            <w:hideMark/>
          </w:tcPr>
          <w:p w:rsidR="00C34658" w:rsidRPr="00BB5484" w:rsidRDefault="00E34329" w:rsidP="00D55642">
            <w:pPr>
              <w:spacing w:before="0"/>
              <w:jc w:val="right"/>
              <w:rPr>
                <w:rFonts w:asciiTheme="minorHAnsi" w:hAnsiTheme="minorHAnsi"/>
              </w:rPr>
            </w:pPr>
            <w:r w:rsidRPr="00E34329">
              <w:rPr>
                <w:rFonts w:asciiTheme="minorHAnsi" w:hAnsiTheme="minorHAnsi"/>
              </w:rPr>
              <w:t>22.00%</w:t>
            </w:r>
          </w:p>
        </w:tc>
      </w:tr>
    </w:tbl>
    <w:p w:rsidR="00C34658" w:rsidRPr="00BB5484" w:rsidRDefault="00C34658" w:rsidP="00C34658">
      <w:pPr>
        <w:pStyle w:val="Heading3"/>
        <w:numPr>
          <w:ilvl w:val="0"/>
          <w:numId w:val="0"/>
        </w:numPr>
        <w:tabs>
          <w:tab w:val="clear" w:pos="720"/>
        </w:tabs>
        <w:spacing w:after="240"/>
        <w:ind w:left="993"/>
        <w:rPr>
          <w:rFonts w:asciiTheme="minorHAnsi" w:hAnsiTheme="minorHAnsi"/>
        </w:rPr>
      </w:pP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 xml:space="preserve">However, as may be observed from the above table the actual distribution losses of the Licensees are very high as compared to the loss target approved in the FRP for FY 2016-17. Therefore, approving the target losses at the levels approved in the FRP would not be practically achievable by the Licensees. </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lastRenderedPageBreak/>
        <w:t>The Commission is of the view that the Distribution Losses reduction targets projected by some Distribution Licensees are very low. As the actual losses are very high, there is ample room to reduce the Distribution Losses with appropriate measures. The Commission, while approving the distribution losses for FY 2016-17 has considered the submission made by the Distribution Licensees and practicality of the Distribution Loss Reduction target.  The Commission has also considered the consumers mix, sales mix and geographical spread of the Distribution Licensees along with the recent MOU signed by the Distribution Licensees with Ministry of Power, Govt. of India and all other relevant factor contributing to the Distribution Losses in the supply area of Distribution Licensees.</w:t>
      </w:r>
    </w:p>
    <w:p w:rsidR="00C34658" w:rsidRPr="00BB5484" w:rsidRDefault="00E34329" w:rsidP="00B754AD">
      <w:pPr>
        <w:pStyle w:val="Heading3"/>
        <w:numPr>
          <w:ilvl w:val="0"/>
          <w:numId w:val="0"/>
        </w:numPr>
        <w:tabs>
          <w:tab w:val="clear" w:pos="720"/>
        </w:tabs>
        <w:spacing w:after="240"/>
        <w:ind w:firstLine="720"/>
        <w:rPr>
          <w:rFonts w:asciiTheme="minorHAnsi" w:hAnsiTheme="minorHAnsi"/>
          <w:b/>
        </w:rPr>
      </w:pPr>
      <w:r w:rsidRPr="00E34329">
        <w:rPr>
          <w:rFonts w:asciiTheme="minorHAnsi" w:hAnsiTheme="minorHAnsi"/>
          <w:b/>
        </w:rPr>
        <w:t>Ujwal DISCOM Assurance Yojna (UDAY)</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Electricity is a concurrent subject at Entry 38 in List III of the seventh Schedule of the Constitution of India. The Ministry of Power is primarily responsible for the development of electrical / power sector in the country as well as for the administration of the Electricity Act, 2003, the Energy Conservation Act, 2001 and to undertake such amendments to these Acts, as may be necessary from time to time, in conformity with the Government's policy &amp; objectives.</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In an initiative to revive the financially distressed Distribution Companies the Union Cabinet chaired by the Hon’ble Prime Minister Shri Narendra Modi, approved a new scheme moved by the Ministry of Power - Ujwal DISCOM Assurance Yojna (UDAY). UDAY provides for the financial turnaround and revival of Power Distribution companies (DISCOMs), and thereby ensuring a sustainable permanent solution to the problem.</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Salient Features of UDAY Scheme launched by Ministry of Power, Government of India (GoI)</w:t>
      </w:r>
    </w:p>
    <w:p w:rsidR="00C34658" w:rsidRPr="00BB5484" w:rsidRDefault="00E34329" w:rsidP="00C34658">
      <w:pPr>
        <w:pStyle w:val="ListParagraph"/>
        <w:numPr>
          <w:ilvl w:val="0"/>
          <w:numId w:val="152"/>
        </w:numPr>
        <w:spacing w:before="0" w:after="200"/>
        <w:contextualSpacing/>
        <w:rPr>
          <w:rFonts w:asciiTheme="minorHAnsi" w:hAnsiTheme="minorHAnsi"/>
          <w:color w:val="333333"/>
        </w:rPr>
      </w:pPr>
      <w:r w:rsidRPr="00E34329">
        <w:rPr>
          <w:rFonts w:asciiTheme="minorHAnsi" w:hAnsiTheme="minorHAnsi"/>
          <w:color w:val="333333"/>
        </w:rPr>
        <w:t>States shall take over 75% of DISCOM debt as on September 30, 2015 over two years - 50% of DISCOM debt shall be taken over in 2015-16 and 25% in 2016-17.</w:t>
      </w:r>
    </w:p>
    <w:p w:rsidR="00C34658" w:rsidRPr="00BB5484" w:rsidRDefault="00E34329" w:rsidP="00C34658">
      <w:pPr>
        <w:pStyle w:val="ListParagraph"/>
        <w:numPr>
          <w:ilvl w:val="0"/>
          <w:numId w:val="152"/>
        </w:numPr>
        <w:spacing w:before="0" w:after="200"/>
        <w:contextualSpacing/>
        <w:rPr>
          <w:rFonts w:asciiTheme="minorHAnsi" w:hAnsiTheme="minorHAnsi"/>
          <w:color w:val="333333"/>
        </w:rPr>
      </w:pPr>
      <w:r w:rsidRPr="00E34329">
        <w:rPr>
          <w:rFonts w:asciiTheme="minorHAnsi" w:hAnsiTheme="minorHAnsi"/>
          <w:color w:val="333333"/>
        </w:rPr>
        <w:t>Government of India will not include the debt taken over by the States as per the above scheme in the calculation of fiscal deficit of respective States in the financial years 2015-16 and 2016-17.</w:t>
      </w:r>
    </w:p>
    <w:p w:rsidR="00C34658" w:rsidRPr="00BB5484" w:rsidRDefault="00E34329" w:rsidP="00C34658">
      <w:pPr>
        <w:pStyle w:val="ListParagraph"/>
        <w:numPr>
          <w:ilvl w:val="0"/>
          <w:numId w:val="152"/>
        </w:numPr>
        <w:spacing w:before="0" w:after="200"/>
        <w:contextualSpacing/>
        <w:rPr>
          <w:rFonts w:asciiTheme="minorHAnsi" w:hAnsiTheme="minorHAnsi"/>
          <w:color w:val="333333"/>
        </w:rPr>
      </w:pPr>
      <w:r w:rsidRPr="00E34329">
        <w:rPr>
          <w:rFonts w:asciiTheme="minorHAnsi" w:hAnsiTheme="minorHAnsi"/>
          <w:color w:val="333333"/>
        </w:rPr>
        <w:lastRenderedPageBreak/>
        <w:t>States will issue non-SLR including SDL bonds in the market or directly to the respective banks / Financial Institutions (FIs) holding the DISCOM debt to the appropriate extent.</w:t>
      </w:r>
    </w:p>
    <w:p w:rsidR="00C34658" w:rsidRPr="00BB5484" w:rsidRDefault="00E34329" w:rsidP="00C34658">
      <w:pPr>
        <w:pStyle w:val="ListParagraph"/>
        <w:numPr>
          <w:ilvl w:val="0"/>
          <w:numId w:val="152"/>
        </w:numPr>
        <w:spacing w:before="0" w:after="200"/>
        <w:contextualSpacing/>
        <w:rPr>
          <w:rFonts w:asciiTheme="minorHAnsi" w:hAnsiTheme="minorHAnsi"/>
          <w:color w:val="333333"/>
        </w:rPr>
      </w:pPr>
      <w:r w:rsidRPr="00E34329">
        <w:rPr>
          <w:rFonts w:asciiTheme="minorHAnsi" w:hAnsiTheme="minorHAnsi"/>
          <w:color w:val="333333"/>
        </w:rPr>
        <w:t>DISCOM debt not taken over by the State shall be converted by the Banks / FIs into loans or bonds with interest rate not more than the bank’s base rate plus 0.1%. Alternately, this debt may be fully or partly issued by the DISCOM as State guaranteed DISCOM bonds at the prevailing market rates which shall be equal to or less than bank base rate plus 0.1%.</w:t>
      </w:r>
    </w:p>
    <w:p w:rsidR="00C34658" w:rsidRPr="00BB5484" w:rsidRDefault="00E34329" w:rsidP="00C34658">
      <w:pPr>
        <w:pStyle w:val="ListParagraph"/>
        <w:numPr>
          <w:ilvl w:val="0"/>
          <w:numId w:val="152"/>
        </w:numPr>
        <w:spacing w:before="0" w:after="200"/>
        <w:contextualSpacing/>
        <w:rPr>
          <w:rFonts w:asciiTheme="minorHAnsi" w:hAnsiTheme="minorHAnsi"/>
          <w:color w:val="333333"/>
        </w:rPr>
      </w:pPr>
      <w:r w:rsidRPr="00E34329">
        <w:rPr>
          <w:rFonts w:asciiTheme="minorHAnsi" w:hAnsiTheme="minorHAnsi"/>
          <w:color w:val="333333"/>
        </w:rPr>
        <w:t>States shall take over the future losses of DISCOM in a graded manner and shall fund them as follows:</w:t>
      </w:r>
    </w:p>
    <w:p w:rsidR="00C34658" w:rsidRPr="00BB5484" w:rsidRDefault="00E34329" w:rsidP="00C34658">
      <w:pPr>
        <w:ind w:left="360"/>
        <w:rPr>
          <w:rFonts w:asciiTheme="minorHAnsi" w:hAnsiTheme="minorHAnsi"/>
          <w:color w:val="333333"/>
        </w:rPr>
      </w:pPr>
      <w:r w:rsidRPr="00E34329">
        <w:rPr>
          <w:rFonts w:asciiTheme="minorHAnsi" w:hAnsiTheme="minorHAnsi"/>
          <w:color w:val="333333"/>
        </w:rPr>
        <w:t> </w:t>
      </w:r>
    </w:p>
    <w:tbl>
      <w:tblPr>
        <w:tblW w:w="9346" w:type="dxa"/>
        <w:tblCellMar>
          <w:left w:w="0" w:type="dxa"/>
          <w:right w:w="0" w:type="dxa"/>
        </w:tblCellMar>
        <w:tblLook w:val="04A0"/>
      </w:tblPr>
      <w:tblGrid>
        <w:gridCol w:w="1486"/>
        <w:gridCol w:w="1310"/>
        <w:gridCol w:w="1310"/>
        <w:gridCol w:w="1310"/>
        <w:gridCol w:w="1310"/>
        <w:gridCol w:w="1310"/>
        <w:gridCol w:w="1310"/>
      </w:tblGrid>
      <w:tr w:rsidR="00C34658" w:rsidRPr="00BB5484" w:rsidTr="00D55642">
        <w:trPr>
          <w:trHeight w:val="351"/>
        </w:trPr>
        <w:tc>
          <w:tcPr>
            <w:tcW w:w="148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C34658" w:rsidRPr="00BB5484" w:rsidRDefault="00E34329" w:rsidP="00D55642">
            <w:pPr>
              <w:spacing w:before="0" w:line="240" w:lineRule="auto"/>
              <w:ind w:right="29"/>
              <w:jc w:val="center"/>
              <w:rPr>
                <w:rFonts w:asciiTheme="minorHAnsi" w:hAnsiTheme="minorHAnsi"/>
                <w:b/>
                <w:color w:val="333333"/>
                <w:sz w:val="22"/>
              </w:rPr>
            </w:pPr>
            <w:r w:rsidRPr="00E34329">
              <w:rPr>
                <w:rFonts w:asciiTheme="minorHAnsi" w:hAnsiTheme="minorHAnsi"/>
                <w:b/>
                <w:color w:val="333333"/>
                <w:sz w:val="22"/>
              </w:rPr>
              <w:t>Year</w:t>
            </w:r>
          </w:p>
        </w:tc>
        <w:tc>
          <w:tcPr>
            <w:tcW w:w="131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C34658" w:rsidRPr="00BB5484" w:rsidRDefault="00E34329" w:rsidP="00D55642">
            <w:pPr>
              <w:spacing w:before="0" w:line="240" w:lineRule="auto"/>
              <w:ind w:right="29"/>
              <w:jc w:val="center"/>
              <w:rPr>
                <w:rFonts w:asciiTheme="minorHAnsi" w:hAnsiTheme="minorHAnsi"/>
                <w:b/>
                <w:color w:val="333333"/>
                <w:sz w:val="22"/>
              </w:rPr>
            </w:pPr>
            <w:r w:rsidRPr="00E34329">
              <w:rPr>
                <w:rFonts w:asciiTheme="minorHAnsi" w:hAnsiTheme="minorHAnsi"/>
                <w:b/>
                <w:color w:val="333333"/>
                <w:sz w:val="22"/>
              </w:rPr>
              <w:t>2015-16</w:t>
            </w:r>
          </w:p>
        </w:tc>
        <w:tc>
          <w:tcPr>
            <w:tcW w:w="131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C34658" w:rsidRPr="00BB5484" w:rsidRDefault="00E34329" w:rsidP="00D55642">
            <w:pPr>
              <w:spacing w:before="0" w:line="240" w:lineRule="auto"/>
              <w:ind w:right="29"/>
              <w:jc w:val="center"/>
              <w:rPr>
                <w:rFonts w:asciiTheme="minorHAnsi" w:hAnsiTheme="minorHAnsi"/>
                <w:b/>
                <w:color w:val="333333"/>
                <w:sz w:val="22"/>
              </w:rPr>
            </w:pPr>
            <w:r w:rsidRPr="00E34329">
              <w:rPr>
                <w:rFonts w:asciiTheme="minorHAnsi" w:hAnsiTheme="minorHAnsi"/>
                <w:b/>
                <w:color w:val="333333"/>
                <w:sz w:val="22"/>
              </w:rPr>
              <w:t>2016-17</w:t>
            </w:r>
          </w:p>
        </w:tc>
        <w:tc>
          <w:tcPr>
            <w:tcW w:w="131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C34658" w:rsidRPr="00BB5484" w:rsidRDefault="00E34329" w:rsidP="00D55642">
            <w:pPr>
              <w:spacing w:before="0" w:line="240" w:lineRule="auto"/>
              <w:ind w:right="29"/>
              <w:jc w:val="center"/>
              <w:rPr>
                <w:rFonts w:asciiTheme="minorHAnsi" w:hAnsiTheme="minorHAnsi"/>
                <w:b/>
                <w:color w:val="333333"/>
                <w:sz w:val="22"/>
              </w:rPr>
            </w:pPr>
            <w:r w:rsidRPr="00E34329">
              <w:rPr>
                <w:rFonts w:asciiTheme="minorHAnsi" w:hAnsiTheme="minorHAnsi"/>
                <w:b/>
                <w:color w:val="333333"/>
                <w:sz w:val="22"/>
              </w:rPr>
              <w:t>2017-18</w:t>
            </w:r>
          </w:p>
        </w:tc>
        <w:tc>
          <w:tcPr>
            <w:tcW w:w="131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C34658" w:rsidRPr="00BB5484" w:rsidRDefault="00E34329" w:rsidP="00D55642">
            <w:pPr>
              <w:spacing w:before="0" w:line="240" w:lineRule="auto"/>
              <w:ind w:right="29"/>
              <w:jc w:val="center"/>
              <w:rPr>
                <w:rFonts w:asciiTheme="minorHAnsi" w:hAnsiTheme="minorHAnsi"/>
                <w:b/>
                <w:color w:val="333333"/>
                <w:sz w:val="22"/>
              </w:rPr>
            </w:pPr>
            <w:r w:rsidRPr="00E34329">
              <w:rPr>
                <w:rFonts w:asciiTheme="minorHAnsi" w:hAnsiTheme="minorHAnsi"/>
                <w:b/>
                <w:color w:val="333333"/>
                <w:sz w:val="22"/>
              </w:rPr>
              <w:t>2018-19</w:t>
            </w:r>
          </w:p>
        </w:tc>
        <w:tc>
          <w:tcPr>
            <w:tcW w:w="131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C34658" w:rsidRPr="00BB5484" w:rsidRDefault="00E34329" w:rsidP="00D55642">
            <w:pPr>
              <w:spacing w:before="0" w:line="240" w:lineRule="auto"/>
              <w:ind w:right="29"/>
              <w:jc w:val="center"/>
              <w:rPr>
                <w:rFonts w:asciiTheme="minorHAnsi" w:hAnsiTheme="minorHAnsi"/>
                <w:b/>
                <w:color w:val="333333"/>
                <w:sz w:val="22"/>
              </w:rPr>
            </w:pPr>
            <w:r w:rsidRPr="00E34329">
              <w:rPr>
                <w:rFonts w:asciiTheme="minorHAnsi" w:hAnsiTheme="minorHAnsi"/>
                <w:b/>
                <w:color w:val="333333"/>
                <w:sz w:val="22"/>
              </w:rPr>
              <w:t>2019-20</w:t>
            </w:r>
          </w:p>
        </w:tc>
        <w:tc>
          <w:tcPr>
            <w:tcW w:w="1310"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C34658" w:rsidRPr="00BB5484" w:rsidRDefault="00E34329" w:rsidP="00D55642">
            <w:pPr>
              <w:spacing w:before="0" w:line="240" w:lineRule="auto"/>
              <w:ind w:right="29"/>
              <w:jc w:val="center"/>
              <w:rPr>
                <w:rFonts w:asciiTheme="minorHAnsi" w:hAnsiTheme="minorHAnsi"/>
                <w:b/>
                <w:color w:val="333333"/>
                <w:sz w:val="22"/>
              </w:rPr>
            </w:pPr>
            <w:r w:rsidRPr="00E34329">
              <w:rPr>
                <w:rFonts w:asciiTheme="minorHAnsi" w:hAnsiTheme="minorHAnsi"/>
                <w:b/>
                <w:color w:val="333333"/>
                <w:sz w:val="22"/>
              </w:rPr>
              <w:t>2020-21</w:t>
            </w:r>
          </w:p>
        </w:tc>
      </w:tr>
      <w:tr w:rsidR="00C34658" w:rsidRPr="00BB5484" w:rsidTr="00D55642">
        <w:trPr>
          <w:trHeight w:val="737"/>
        </w:trPr>
        <w:tc>
          <w:tcPr>
            <w:tcW w:w="14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4658" w:rsidRPr="00BB5484" w:rsidRDefault="00E34329" w:rsidP="00D55642">
            <w:pPr>
              <w:spacing w:before="0" w:line="240" w:lineRule="auto"/>
              <w:ind w:right="29"/>
              <w:rPr>
                <w:rFonts w:asciiTheme="minorHAnsi" w:hAnsiTheme="minorHAnsi"/>
                <w:b/>
                <w:color w:val="333333"/>
                <w:sz w:val="22"/>
              </w:rPr>
            </w:pPr>
            <w:r w:rsidRPr="00E34329">
              <w:rPr>
                <w:rFonts w:asciiTheme="minorHAnsi" w:hAnsiTheme="minorHAnsi"/>
                <w:b/>
                <w:color w:val="333333"/>
                <w:sz w:val="22"/>
              </w:rPr>
              <w:t>Previous Year’s DISCOM loss to be taken over by State</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34658" w:rsidRPr="00BB5484" w:rsidRDefault="00E34329" w:rsidP="00D55642">
            <w:pPr>
              <w:spacing w:before="0" w:line="240" w:lineRule="auto"/>
              <w:ind w:right="29"/>
              <w:rPr>
                <w:rFonts w:asciiTheme="minorHAnsi" w:hAnsiTheme="minorHAnsi"/>
                <w:color w:val="333333"/>
                <w:sz w:val="22"/>
              </w:rPr>
            </w:pPr>
            <w:r w:rsidRPr="00E34329">
              <w:rPr>
                <w:rFonts w:asciiTheme="minorHAnsi" w:hAnsiTheme="minorHAnsi"/>
                <w:color w:val="333333"/>
                <w:sz w:val="22"/>
              </w:rPr>
              <w:t>0% of the loss of 2014-15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34658" w:rsidRPr="00BB5484" w:rsidRDefault="00E34329" w:rsidP="00D55642">
            <w:pPr>
              <w:spacing w:before="0" w:line="240" w:lineRule="auto"/>
              <w:ind w:right="29"/>
              <w:rPr>
                <w:rFonts w:asciiTheme="minorHAnsi" w:hAnsiTheme="minorHAnsi"/>
                <w:color w:val="333333"/>
                <w:sz w:val="22"/>
              </w:rPr>
            </w:pPr>
            <w:r w:rsidRPr="00E34329">
              <w:rPr>
                <w:rFonts w:asciiTheme="minorHAnsi" w:hAnsiTheme="minorHAnsi"/>
                <w:color w:val="333333"/>
                <w:sz w:val="22"/>
              </w:rPr>
              <w:t>0% of the loss of 2015-16</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34658" w:rsidRPr="00BB5484" w:rsidRDefault="00E34329" w:rsidP="00D55642">
            <w:pPr>
              <w:spacing w:before="0" w:line="240" w:lineRule="auto"/>
              <w:ind w:right="29"/>
              <w:rPr>
                <w:rFonts w:asciiTheme="minorHAnsi" w:hAnsiTheme="minorHAnsi"/>
                <w:color w:val="333333"/>
                <w:sz w:val="22"/>
              </w:rPr>
            </w:pPr>
            <w:r w:rsidRPr="00E34329">
              <w:rPr>
                <w:rFonts w:asciiTheme="minorHAnsi" w:hAnsiTheme="minorHAnsi"/>
                <w:color w:val="333333"/>
                <w:sz w:val="22"/>
              </w:rPr>
              <w:t>5% of the loss of 2016-17</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34658" w:rsidRPr="00BB5484" w:rsidRDefault="00E34329" w:rsidP="00D55642">
            <w:pPr>
              <w:spacing w:before="0" w:line="240" w:lineRule="auto"/>
              <w:ind w:right="29"/>
              <w:rPr>
                <w:rFonts w:asciiTheme="minorHAnsi" w:hAnsiTheme="minorHAnsi"/>
                <w:color w:val="333333"/>
                <w:sz w:val="22"/>
              </w:rPr>
            </w:pPr>
            <w:r w:rsidRPr="00E34329">
              <w:rPr>
                <w:rFonts w:asciiTheme="minorHAnsi" w:hAnsiTheme="minorHAnsi"/>
                <w:color w:val="333333"/>
                <w:sz w:val="22"/>
              </w:rPr>
              <w:t>10% of the loss of 2017-18</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34658" w:rsidRPr="00BB5484" w:rsidRDefault="00E34329" w:rsidP="00D55642">
            <w:pPr>
              <w:spacing w:before="0" w:line="240" w:lineRule="auto"/>
              <w:ind w:right="29"/>
              <w:rPr>
                <w:rFonts w:asciiTheme="minorHAnsi" w:hAnsiTheme="minorHAnsi"/>
                <w:color w:val="333333"/>
                <w:sz w:val="22"/>
              </w:rPr>
            </w:pPr>
            <w:r w:rsidRPr="00E34329">
              <w:rPr>
                <w:rFonts w:asciiTheme="minorHAnsi" w:hAnsiTheme="minorHAnsi"/>
                <w:color w:val="333333"/>
                <w:sz w:val="22"/>
              </w:rPr>
              <w:t>25% of the loss of 2018-19</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C34658" w:rsidRPr="00BB5484" w:rsidRDefault="00E34329" w:rsidP="00D55642">
            <w:pPr>
              <w:spacing w:before="0" w:line="240" w:lineRule="auto"/>
              <w:ind w:right="29"/>
              <w:rPr>
                <w:rFonts w:asciiTheme="minorHAnsi" w:hAnsiTheme="minorHAnsi"/>
                <w:color w:val="333333"/>
                <w:sz w:val="22"/>
              </w:rPr>
            </w:pPr>
            <w:r w:rsidRPr="00E34329">
              <w:rPr>
                <w:rFonts w:asciiTheme="minorHAnsi" w:hAnsiTheme="minorHAnsi"/>
                <w:color w:val="333333"/>
                <w:sz w:val="22"/>
              </w:rPr>
              <w:t>50% of the previous year loss</w:t>
            </w:r>
          </w:p>
        </w:tc>
      </w:tr>
    </w:tbl>
    <w:p w:rsidR="00D5771F" w:rsidRDefault="00D5771F">
      <w:pPr>
        <w:pStyle w:val="ListParagraph"/>
        <w:spacing w:before="0"/>
        <w:ind w:left="1440"/>
        <w:rPr>
          <w:rFonts w:asciiTheme="minorHAnsi" w:hAnsiTheme="minorHAnsi"/>
          <w:color w:val="333333"/>
        </w:rPr>
      </w:pPr>
    </w:p>
    <w:p w:rsidR="00C34658" w:rsidRPr="00BB5484" w:rsidRDefault="00E34329" w:rsidP="00C34658">
      <w:pPr>
        <w:pStyle w:val="ListParagraph"/>
        <w:numPr>
          <w:ilvl w:val="0"/>
          <w:numId w:val="157"/>
        </w:numPr>
        <w:spacing w:before="0"/>
        <w:rPr>
          <w:rFonts w:asciiTheme="minorHAnsi" w:hAnsiTheme="minorHAnsi"/>
          <w:color w:val="333333"/>
        </w:rPr>
      </w:pPr>
      <w:r w:rsidRPr="00E34329">
        <w:rPr>
          <w:rFonts w:asciiTheme="minorHAnsi" w:hAnsiTheme="minorHAnsi"/>
          <w:color w:val="333333"/>
        </w:rPr>
        <w:t>State DISCOMs will comply with the Renewable Purchase Obligation (RPO) outstanding since April 1, 2012, within a period to be decided in consultation with Ministry of Power.</w:t>
      </w:r>
    </w:p>
    <w:p w:rsidR="00C34658" w:rsidRPr="00BB5484" w:rsidRDefault="00E34329" w:rsidP="00C34658">
      <w:pPr>
        <w:pStyle w:val="ListParagraph"/>
        <w:numPr>
          <w:ilvl w:val="0"/>
          <w:numId w:val="157"/>
        </w:numPr>
        <w:spacing w:before="0" w:after="200"/>
        <w:contextualSpacing/>
        <w:rPr>
          <w:rFonts w:asciiTheme="minorHAnsi" w:hAnsiTheme="minorHAnsi"/>
          <w:color w:val="333333"/>
        </w:rPr>
      </w:pPr>
      <w:r w:rsidRPr="00E34329">
        <w:rPr>
          <w:rFonts w:asciiTheme="minorHAnsi" w:hAnsiTheme="minorHAnsi"/>
          <w:color w:val="333333"/>
        </w:rPr>
        <w:t>States accepting UDAY and performing as per operational milestones will be given additional / priority funding through Deendayal Upadhyaya Gram Jyoti Yojana (DDUGJY),Integrated Power Development Scheme (IPDS), Power Sector Development Fund (PSDF) or other such schemes of Ministry of Power and Ministry of New and Renewable Energy.</w:t>
      </w:r>
    </w:p>
    <w:p w:rsidR="00C34658" w:rsidRPr="00BB5484" w:rsidRDefault="00E34329" w:rsidP="00C34658">
      <w:pPr>
        <w:pStyle w:val="ListParagraph"/>
        <w:numPr>
          <w:ilvl w:val="0"/>
          <w:numId w:val="157"/>
        </w:numPr>
        <w:spacing w:before="0" w:after="200"/>
        <w:contextualSpacing/>
        <w:rPr>
          <w:rFonts w:asciiTheme="minorHAnsi" w:hAnsiTheme="minorHAnsi"/>
          <w:color w:val="333333"/>
        </w:rPr>
      </w:pPr>
      <w:r w:rsidRPr="00E34329">
        <w:rPr>
          <w:rFonts w:asciiTheme="minorHAnsi" w:hAnsiTheme="minorHAnsi"/>
          <w:color w:val="333333"/>
        </w:rPr>
        <w:t>Such States shall also be supported with additional coal at notified prices and, in case of availability through higher capacity utilization, low cost power from NTPC and other Central Public Sector Undertakings (CPSUs).</w:t>
      </w:r>
    </w:p>
    <w:p w:rsidR="00C34658" w:rsidRPr="00BB5484" w:rsidRDefault="00E34329" w:rsidP="00C34658">
      <w:pPr>
        <w:pStyle w:val="ListParagraph"/>
        <w:numPr>
          <w:ilvl w:val="0"/>
          <w:numId w:val="157"/>
        </w:numPr>
        <w:spacing w:before="0" w:after="200"/>
        <w:contextualSpacing/>
        <w:rPr>
          <w:rFonts w:asciiTheme="minorHAnsi" w:hAnsiTheme="minorHAnsi"/>
          <w:color w:val="333333"/>
        </w:rPr>
      </w:pPr>
      <w:r w:rsidRPr="00E34329">
        <w:rPr>
          <w:rFonts w:asciiTheme="minorHAnsi" w:hAnsiTheme="minorHAnsi"/>
          <w:color w:val="333333"/>
        </w:rPr>
        <w:t>States not meeting operational milestones will be liable to forfeit their claim on IPDS and DDUGJY grants.</w:t>
      </w:r>
    </w:p>
    <w:p w:rsidR="00C34658" w:rsidRPr="00BB5484" w:rsidRDefault="00E34329" w:rsidP="00C34658">
      <w:pPr>
        <w:pStyle w:val="ListParagraph"/>
        <w:numPr>
          <w:ilvl w:val="0"/>
          <w:numId w:val="157"/>
        </w:numPr>
        <w:spacing w:before="0" w:after="200"/>
        <w:contextualSpacing/>
        <w:rPr>
          <w:rFonts w:asciiTheme="minorHAnsi" w:hAnsiTheme="minorHAnsi"/>
          <w:color w:val="333333"/>
        </w:rPr>
      </w:pPr>
      <w:r w:rsidRPr="00E34329">
        <w:rPr>
          <w:rFonts w:asciiTheme="minorHAnsi" w:hAnsiTheme="minorHAnsi"/>
          <w:color w:val="333333"/>
        </w:rPr>
        <w:t>UDAY is optional for all States. However, States are encouraged to take the benefit at the earliest as benefits are dependent on the performance.</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szCs w:val="24"/>
        </w:rPr>
        <w:t xml:space="preserve">The Government of India, Government of Uttar Pradesh and the U.P. Discoms have entered into a tripartite MOU in order to improve the operational and financial efficiency of the U.P. Discoms to enable financial turnaround of the Discoms. Uttar Pradesh Power Corporation Limited (UPPCL) on behalf of its </w:t>
      </w:r>
      <w:r w:rsidRPr="00E34329">
        <w:rPr>
          <w:rFonts w:asciiTheme="minorHAnsi" w:hAnsiTheme="minorHAnsi"/>
          <w:szCs w:val="24"/>
        </w:rPr>
        <w:lastRenderedPageBreak/>
        <w:t>subsidiary Discoms namely Dakshinanchal Vidyut Vitran Nigam Limited (DVVNL), Kanpur Electricity Supply Company Limited (KESCO), Madhyanchal Vidyut Vitran Nigam Limited (MVVNL), Paschimanchal Vidyut Vitran Nigam Limited (PVVNL), Purvanchal Vidyut Vitran Nigam Limited (PuVVNL) has signed the “Tripartite MOU” with Ministry of Power (GoI) and Government of Uttar Pradesh (GoUP) on January 30, 2016.</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szCs w:val="24"/>
        </w:rPr>
        <w:t>The scheme comprises four initiatives - improving operational efficiencies of Discoms, reduction of cost of power, reduction in interest cost of Discoms and enforcing financial discipline on Discoms through alignment with state finances. It allows state Government, which own the Discoms, to take over 75 percent of their debt as of September 30, 2015, and pay back lenders by selling bonds. Discoms are expected to issue bonds for the remaining 25 percent of their debt.</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szCs w:val="24"/>
        </w:rPr>
        <w:t>The U.P. Discoms have been reeling under severe financial stress. As per the MOU signed by the Discoms, they had revenue deficit during FY 2013-14 (Rs. 13,802 Crore) with an expected revenue deficit of Rs. 10,636 Crore in FY 2014-15. The accumulated losses have reached to the level of Rs.70,738 Crore (approx.) up to March 31, 2015. The outstanding debt level of the U.P. Discoms has reached Rs.53,211 Crore (Figures of outstanding loan as on September 30, 2015 are provisional as all lenders are yet to confirm the outstanding loan data as such the amount of loan may change upon confirmation)at the end of September 2015. Also, the interest cost burden of nearly Rs. 0.88per unit of sales during FY 15is significantly higher than the national average of Rs 0.44 per unit only. The Annual Revenue Requirement (ARR) is insufficient to meet the Average Cost of Supply (ACOS), with a cost recovery of only 65.97 %.</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The Distribution Loss trajectory as agreed by the Discoms in the MoU signed under UDAY Scheme is provided below:</w:t>
      </w:r>
    </w:p>
    <w:p w:rsidR="00C34658" w:rsidRPr="00BB5484" w:rsidRDefault="00E34329" w:rsidP="00C34658">
      <w:pPr>
        <w:spacing w:before="0"/>
        <w:jc w:val="center"/>
        <w:rPr>
          <w:rFonts w:asciiTheme="minorHAnsi" w:hAnsiTheme="minorHAnsi" w:cs="Calibri"/>
          <w:b/>
          <w:sz w:val="22"/>
          <w:szCs w:val="22"/>
          <w:lang w:val="en-US"/>
        </w:rPr>
      </w:pPr>
      <w:bookmarkStart w:id="458" w:name="_Toc453367663"/>
      <w:bookmarkStart w:id="459" w:name="_Toc457604032"/>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16</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SUMMARY OF DISTRIBUTION LOSSES AS PER MOU SIGNED BY PETITIONER UNDER “UDAY SCHEME”</w:t>
      </w:r>
      <w:bookmarkEnd w:id="458"/>
      <w:bookmarkEnd w:id="459"/>
    </w:p>
    <w:tbl>
      <w:tblPr>
        <w:tblW w:w="5820" w:type="dxa"/>
        <w:jc w:val="center"/>
        <w:tblInd w:w="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09"/>
        <w:gridCol w:w="903"/>
        <w:gridCol w:w="902"/>
        <w:gridCol w:w="902"/>
        <w:gridCol w:w="902"/>
        <w:gridCol w:w="902"/>
      </w:tblGrid>
      <w:tr w:rsidR="00C34658" w:rsidRPr="00B754AD" w:rsidTr="00D55642">
        <w:trPr>
          <w:trHeight w:val="300"/>
          <w:jc w:val="center"/>
        </w:trPr>
        <w:tc>
          <w:tcPr>
            <w:tcW w:w="1210" w:type="dxa"/>
            <w:shd w:val="clear" w:color="auto" w:fill="DBE5F1" w:themeFill="accent1" w:themeFillTint="33"/>
            <w:vAlign w:val="center"/>
            <w:hideMark/>
          </w:tcPr>
          <w:p w:rsidR="00C34658" w:rsidRPr="00B754AD" w:rsidRDefault="00E34329" w:rsidP="00D55642">
            <w:pPr>
              <w:spacing w:before="0" w:line="240" w:lineRule="auto"/>
              <w:jc w:val="center"/>
              <w:rPr>
                <w:rFonts w:asciiTheme="minorHAnsi" w:hAnsiTheme="minorHAnsi"/>
                <w:b/>
                <w:bCs/>
                <w:color w:val="000000"/>
                <w:sz w:val="22"/>
                <w:szCs w:val="22"/>
                <w:lang w:val="en-IN" w:eastAsia="en-IN"/>
              </w:rPr>
            </w:pPr>
            <w:r w:rsidRPr="00B754AD">
              <w:rPr>
                <w:rFonts w:asciiTheme="minorHAnsi" w:hAnsiTheme="minorHAnsi"/>
                <w:b/>
                <w:sz w:val="22"/>
                <w:szCs w:val="22"/>
              </w:rPr>
              <w:t>Distribution Licensee</w:t>
            </w:r>
          </w:p>
        </w:tc>
        <w:tc>
          <w:tcPr>
            <w:tcW w:w="922" w:type="dxa"/>
            <w:shd w:val="clear" w:color="auto" w:fill="DBE5F1" w:themeFill="accent1" w:themeFillTint="33"/>
            <w:vAlign w:val="center"/>
            <w:hideMark/>
          </w:tcPr>
          <w:p w:rsidR="00C34658" w:rsidRPr="00B754AD" w:rsidRDefault="00E34329" w:rsidP="00D55642">
            <w:pPr>
              <w:spacing w:before="0" w:line="240" w:lineRule="auto"/>
              <w:jc w:val="center"/>
              <w:rPr>
                <w:rFonts w:asciiTheme="minorHAnsi" w:hAnsiTheme="minorHAnsi"/>
                <w:b/>
                <w:bCs/>
                <w:color w:val="000000"/>
                <w:sz w:val="22"/>
                <w:szCs w:val="22"/>
                <w:lang w:val="en-IN" w:eastAsia="en-IN"/>
              </w:rPr>
            </w:pPr>
            <w:r w:rsidRPr="00B754AD">
              <w:rPr>
                <w:rFonts w:asciiTheme="minorHAnsi" w:hAnsiTheme="minorHAnsi"/>
                <w:b/>
                <w:bCs/>
                <w:color w:val="000000"/>
                <w:sz w:val="22"/>
                <w:szCs w:val="22"/>
                <w:lang w:val="en-IN" w:eastAsia="en-IN"/>
              </w:rPr>
              <w:t>FY 2016</w:t>
            </w:r>
          </w:p>
        </w:tc>
        <w:tc>
          <w:tcPr>
            <w:tcW w:w="922" w:type="dxa"/>
            <w:shd w:val="clear" w:color="auto" w:fill="DBE5F1" w:themeFill="accent1" w:themeFillTint="33"/>
            <w:vAlign w:val="center"/>
            <w:hideMark/>
          </w:tcPr>
          <w:p w:rsidR="00C34658" w:rsidRPr="00B754AD" w:rsidRDefault="00E34329" w:rsidP="00D55642">
            <w:pPr>
              <w:spacing w:before="0" w:line="240" w:lineRule="auto"/>
              <w:jc w:val="center"/>
              <w:rPr>
                <w:rFonts w:asciiTheme="minorHAnsi" w:hAnsiTheme="minorHAnsi"/>
                <w:b/>
                <w:bCs/>
                <w:color w:val="000000"/>
                <w:sz w:val="22"/>
                <w:szCs w:val="22"/>
                <w:lang w:val="en-IN" w:eastAsia="en-IN"/>
              </w:rPr>
            </w:pPr>
            <w:r w:rsidRPr="00B754AD">
              <w:rPr>
                <w:rFonts w:asciiTheme="minorHAnsi" w:hAnsiTheme="minorHAnsi"/>
                <w:b/>
                <w:bCs/>
                <w:color w:val="000000"/>
                <w:sz w:val="22"/>
                <w:szCs w:val="22"/>
                <w:lang w:val="en-IN" w:eastAsia="en-IN"/>
              </w:rPr>
              <w:t xml:space="preserve">FY </w:t>
            </w:r>
          </w:p>
          <w:p w:rsidR="00C34658" w:rsidRPr="00B754AD" w:rsidRDefault="00E34329" w:rsidP="00D55642">
            <w:pPr>
              <w:spacing w:before="0" w:line="240" w:lineRule="auto"/>
              <w:jc w:val="center"/>
              <w:rPr>
                <w:rFonts w:asciiTheme="minorHAnsi" w:hAnsiTheme="minorHAnsi"/>
                <w:b/>
                <w:bCs/>
                <w:color w:val="000000"/>
                <w:sz w:val="22"/>
                <w:szCs w:val="22"/>
                <w:lang w:val="en-IN" w:eastAsia="en-IN"/>
              </w:rPr>
            </w:pPr>
            <w:r w:rsidRPr="00B754AD">
              <w:rPr>
                <w:rFonts w:asciiTheme="minorHAnsi" w:hAnsiTheme="minorHAnsi"/>
                <w:b/>
                <w:bCs/>
                <w:color w:val="000000"/>
                <w:sz w:val="22"/>
                <w:szCs w:val="22"/>
                <w:lang w:val="en-IN" w:eastAsia="en-IN"/>
              </w:rPr>
              <w:t>2017</w:t>
            </w:r>
          </w:p>
        </w:tc>
        <w:tc>
          <w:tcPr>
            <w:tcW w:w="922" w:type="dxa"/>
            <w:shd w:val="clear" w:color="auto" w:fill="DBE5F1" w:themeFill="accent1" w:themeFillTint="33"/>
            <w:vAlign w:val="center"/>
            <w:hideMark/>
          </w:tcPr>
          <w:p w:rsidR="00C34658" w:rsidRPr="00B754AD" w:rsidRDefault="00E34329" w:rsidP="00D55642">
            <w:pPr>
              <w:spacing w:before="0" w:line="240" w:lineRule="auto"/>
              <w:jc w:val="center"/>
              <w:rPr>
                <w:rFonts w:asciiTheme="minorHAnsi" w:hAnsiTheme="minorHAnsi"/>
                <w:b/>
                <w:bCs/>
                <w:color w:val="000000"/>
                <w:sz w:val="22"/>
                <w:szCs w:val="22"/>
                <w:lang w:val="en-IN" w:eastAsia="en-IN"/>
              </w:rPr>
            </w:pPr>
            <w:r w:rsidRPr="00B754AD">
              <w:rPr>
                <w:rFonts w:asciiTheme="minorHAnsi" w:hAnsiTheme="minorHAnsi"/>
                <w:b/>
                <w:bCs/>
                <w:color w:val="000000"/>
                <w:sz w:val="22"/>
                <w:szCs w:val="22"/>
                <w:lang w:val="en-IN" w:eastAsia="en-IN"/>
              </w:rPr>
              <w:t>FY 2018</w:t>
            </w:r>
          </w:p>
        </w:tc>
        <w:tc>
          <w:tcPr>
            <w:tcW w:w="922" w:type="dxa"/>
            <w:shd w:val="clear" w:color="auto" w:fill="DBE5F1" w:themeFill="accent1" w:themeFillTint="33"/>
            <w:vAlign w:val="center"/>
            <w:hideMark/>
          </w:tcPr>
          <w:p w:rsidR="00C34658" w:rsidRPr="00B754AD" w:rsidRDefault="00E34329" w:rsidP="00D55642">
            <w:pPr>
              <w:spacing w:before="0" w:line="240" w:lineRule="auto"/>
              <w:jc w:val="center"/>
              <w:rPr>
                <w:rFonts w:asciiTheme="minorHAnsi" w:hAnsiTheme="minorHAnsi"/>
                <w:b/>
                <w:bCs/>
                <w:color w:val="000000"/>
                <w:sz w:val="22"/>
                <w:szCs w:val="22"/>
                <w:lang w:val="en-IN" w:eastAsia="en-IN"/>
              </w:rPr>
            </w:pPr>
            <w:r w:rsidRPr="00B754AD">
              <w:rPr>
                <w:rFonts w:asciiTheme="minorHAnsi" w:hAnsiTheme="minorHAnsi"/>
                <w:b/>
                <w:bCs/>
                <w:color w:val="000000"/>
                <w:sz w:val="22"/>
                <w:szCs w:val="22"/>
                <w:lang w:val="en-IN" w:eastAsia="en-IN"/>
              </w:rPr>
              <w:t>FY 2019</w:t>
            </w:r>
          </w:p>
        </w:tc>
        <w:tc>
          <w:tcPr>
            <w:tcW w:w="922" w:type="dxa"/>
            <w:shd w:val="clear" w:color="auto" w:fill="DBE5F1" w:themeFill="accent1" w:themeFillTint="33"/>
            <w:vAlign w:val="center"/>
            <w:hideMark/>
          </w:tcPr>
          <w:p w:rsidR="00C34658" w:rsidRPr="00B754AD" w:rsidRDefault="00E34329" w:rsidP="00D55642">
            <w:pPr>
              <w:spacing w:before="0" w:line="240" w:lineRule="auto"/>
              <w:jc w:val="center"/>
              <w:rPr>
                <w:rFonts w:asciiTheme="minorHAnsi" w:hAnsiTheme="minorHAnsi"/>
                <w:b/>
                <w:bCs/>
                <w:color w:val="000000"/>
                <w:sz w:val="22"/>
                <w:szCs w:val="22"/>
                <w:lang w:val="en-IN" w:eastAsia="en-IN"/>
              </w:rPr>
            </w:pPr>
            <w:r w:rsidRPr="00B754AD">
              <w:rPr>
                <w:rFonts w:asciiTheme="minorHAnsi" w:hAnsiTheme="minorHAnsi"/>
                <w:b/>
                <w:bCs/>
                <w:color w:val="000000"/>
                <w:sz w:val="22"/>
                <w:szCs w:val="22"/>
                <w:lang w:val="en-IN" w:eastAsia="en-IN"/>
              </w:rPr>
              <w:t>FY 2020</w:t>
            </w:r>
          </w:p>
        </w:tc>
      </w:tr>
      <w:tr w:rsidR="00C34658" w:rsidRPr="00B754AD" w:rsidTr="00D55642">
        <w:trPr>
          <w:trHeight w:val="300"/>
          <w:jc w:val="center"/>
        </w:trPr>
        <w:tc>
          <w:tcPr>
            <w:tcW w:w="1210" w:type="dxa"/>
            <w:shd w:val="clear" w:color="auto" w:fill="auto"/>
            <w:vAlign w:val="bottom"/>
            <w:hideMark/>
          </w:tcPr>
          <w:p w:rsidR="00C34658" w:rsidRPr="00B754AD" w:rsidRDefault="00E34329" w:rsidP="00D55642">
            <w:pPr>
              <w:spacing w:before="0" w:line="240" w:lineRule="auto"/>
              <w:jc w:val="left"/>
              <w:rPr>
                <w:rFonts w:asciiTheme="minorHAnsi" w:hAnsiTheme="minorHAnsi"/>
                <w:bCs/>
                <w:color w:val="000000"/>
                <w:sz w:val="22"/>
                <w:szCs w:val="22"/>
                <w:lang w:val="en-IN" w:eastAsia="en-IN"/>
              </w:rPr>
            </w:pPr>
            <w:r w:rsidRPr="00B754AD">
              <w:rPr>
                <w:rFonts w:asciiTheme="minorHAnsi" w:hAnsiTheme="minorHAnsi"/>
                <w:bCs/>
                <w:color w:val="000000"/>
                <w:sz w:val="22"/>
                <w:szCs w:val="22"/>
                <w:lang w:val="en-IN" w:eastAsia="en-IN"/>
              </w:rPr>
              <w:t>DVVNL</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27.20%</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23.82%</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20.07%</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16.25%</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12.10%</w:t>
            </w:r>
          </w:p>
        </w:tc>
      </w:tr>
      <w:tr w:rsidR="00C34658" w:rsidRPr="00B754AD" w:rsidTr="00D55642">
        <w:trPr>
          <w:trHeight w:val="300"/>
          <w:jc w:val="center"/>
        </w:trPr>
        <w:tc>
          <w:tcPr>
            <w:tcW w:w="1210" w:type="dxa"/>
            <w:shd w:val="clear" w:color="auto" w:fill="auto"/>
            <w:vAlign w:val="bottom"/>
            <w:hideMark/>
          </w:tcPr>
          <w:p w:rsidR="00C34658" w:rsidRPr="00B754AD" w:rsidRDefault="00E34329" w:rsidP="00D55642">
            <w:pPr>
              <w:spacing w:before="0" w:line="240" w:lineRule="auto"/>
              <w:jc w:val="left"/>
              <w:rPr>
                <w:rFonts w:asciiTheme="minorHAnsi" w:hAnsiTheme="minorHAnsi"/>
                <w:bCs/>
                <w:color w:val="000000"/>
                <w:sz w:val="22"/>
                <w:szCs w:val="22"/>
                <w:lang w:val="en-IN" w:eastAsia="en-IN"/>
              </w:rPr>
            </w:pPr>
            <w:r w:rsidRPr="00B754AD">
              <w:rPr>
                <w:rFonts w:asciiTheme="minorHAnsi" w:hAnsiTheme="minorHAnsi"/>
                <w:bCs/>
                <w:color w:val="000000"/>
                <w:sz w:val="22"/>
                <w:szCs w:val="22"/>
                <w:lang w:val="en-IN" w:eastAsia="en-IN"/>
              </w:rPr>
              <w:t>MVVNL</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23.14%</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21.52%</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19.16%</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16.09%</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11.80%</w:t>
            </w:r>
          </w:p>
        </w:tc>
      </w:tr>
      <w:tr w:rsidR="00C34658" w:rsidRPr="00B754AD" w:rsidTr="00D55642">
        <w:trPr>
          <w:trHeight w:val="300"/>
          <w:jc w:val="center"/>
        </w:trPr>
        <w:tc>
          <w:tcPr>
            <w:tcW w:w="1210" w:type="dxa"/>
            <w:shd w:val="clear" w:color="auto" w:fill="auto"/>
            <w:vAlign w:val="bottom"/>
            <w:hideMark/>
          </w:tcPr>
          <w:p w:rsidR="00C34658" w:rsidRPr="00B754AD" w:rsidRDefault="00E34329" w:rsidP="00D55642">
            <w:pPr>
              <w:spacing w:before="0" w:line="240" w:lineRule="auto"/>
              <w:jc w:val="left"/>
              <w:rPr>
                <w:rFonts w:asciiTheme="minorHAnsi" w:hAnsiTheme="minorHAnsi"/>
                <w:bCs/>
                <w:color w:val="000000"/>
                <w:sz w:val="22"/>
                <w:szCs w:val="22"/>
                <w:lang w:val="en-IN" w:eastAsia="en-IN"/>
              </w:rPr>
            </w:pPr>
            <w:r w:rsidRPr="00B754AD">
              <w:rPr>
                <w:rFonts w:asciiTheme="minorHAnsi" w:hAnsiTheme="minorHAnsi"/>
                <w:bCs/>
                <w:color w:val="000000"/>
                <w:sz w:val="22"/>
                <w:szCs w:val="22"/>
                <w:lang w:val="en-IN" w:eastAsia="en-IN"/>
              </w:rPr>
              <w:t>PVVNL</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21.49%</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20.20%</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18.18%</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15.20%</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11.80%</w:t>
            </w:r>
          </w:p>
        </w:tc>
      </w:tr>
      <w:tr w:rsidR="00C34658" w:rsidRPr="00B754AD" w:rsidTr="00D55642">
        <w:trPr>
          <w:trHeight w:val="300"/>
          <w:jc w:val="center"/>
        </w:trPr>
        <w:tc>
          <w:tcPr>
            <w:tcW w:w="1210" w:type="dxa"/>
            <w:shd w:val="clear" w:color="auto" w:fill="auto"/>
            <w:vAlign w:val="bottom"/>
            <w:hideMark/>
          </w:tcPr>
          <w:p w:rsidR="00C34658" w:rsidRPr="00B754AD" w:rsidRDefault="00E34329" w:rsidP="00D55642">
            <w:pPr>
              <w:spacing w:before="0" w:line="240" w:lineRule="auto"/>
              <w:jc w:val="left"/>
              <w:rPr>
                <w:rFonts w:asciiTheme="minorHAnsi" w:hAnsiTheme="minorHAnsi"/>
                <w:bCs/>
                <w:color w:val="000000"/>
                <w:sz w:val="22"/>
                <w:szCs w:val="22"/>
                <w:lang w:val="en-IN" w:eastAsia="en-IN"/>
              </w:rPr>
            </w:pPr>
            <w:r w:rsidRPr="00B754AD">
              <w:rPr>
                <w:rFonts w:asciiTheme="minorHAnsi" w:hAnsiTheme="minorHAnsi"/>
                <w:bCs/>
                <w:color w:val="000000"/>
                <w:sz w:val="22"/>
                <w:szCs w:val="22"/>
                <w:lang w:val="en-IN" w:eastAsia="en-IN"/>
              </w:rPr>
              <w:lastRenderedPageBreak/>
              <w:t>PuVVNL</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22.67%</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21.57%</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19.73%</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16.43%</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12.20%</w:t>
            </w:r>
          </w:p>
        </w:tc>
      </w:tr>
      <w:tr w:rsidR="00C34658" w:rsidRPr="00B754AD" w:rsidTr="00D55642">
        <w:trPr>
          <w:trHeight w:val="300"/>
          <w:jc w:val="center"/>
        </w:trPr>
        <w:tc>
          <w:tcPr>
            <w:tcW w:w="1210" w:type="dxa"/>
            <w:shd w:val="clear" w:color="auto" w:fill="auto"/>
            <w:vAlign w:val="bottom"/>
            <w:hideMark/>
          </w:tcPr>
          <w:p w:rsidR="00C34658" w:rsidRPr="00B754AD" w:rsidRDefault="00E34329" w:rsidP="00D55642">
            <w:pPr>
              <w:spacing w:before="0" w:line="240" w:lineRule="auto"/>
              <w:jc w:val="left"/>
              <w:rPr>
                <w:rFonts w:asciiTheme="minorHAnsi" w:hAnsiTheme="minorHAnsi"/>
                <w:bCs/>
                <w:color w:val="000000"/>
                <w:sz w:val="22"/>
                <w:szCs w:val="22"/>
                <w:lang w:val="en-IN" w:eastAsia="en-IN"/>
              </w:rPr>
            </w:pPr>
            <w:r w:rsidRPr="00B754AD">
              <w:rPr>
                <w:rFonts w:asciiTheme="minorHAnsi" w:hAnsiTheme="minorHAnsi"/>
                <w:bCs/>
                <w:color w:val="000000"/>
                <w:sz w:val="22"/>
                <w:szCs w:val="22"/>
                <w:lang w:val="en-IN" w:eastAsia="en-IN"/>
              </w:rPr>
              <w:t>KESCO</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25.58%</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22.51%</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18.91%</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15.13%</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11.80%</w:t>
            </w:r>
          </w:p>
        </w:tc>
      </w:tr>
      <w:tr w:rsidR="00C34658" w:rsidRPr="00B754AD" w:rsidTr="00D55642">
        <w:trPr>
          <w:trHeight w:val="315"/>
          <w:jc w:val="center"/>
        </w:trPr>
        <w:tc>
          <w:tcPr>
            <w:tcW w:w="1210" w:type="dxa"/>
            <w:shd w:val="clear" w:color="auto" w:fill="auto"/>
            <w:vAlign w:val="bottom"/>
            <w:hideMark/>
          </w:tcPr>
          <w:p w:rsidR="00C34658" w:rsidRPr="00B754AD" w:rsidRDefault="00E34329" w:rsidP="00D55642">
            <w:pPr>
              <w:spacing w:before="0" w:line="240" w:lineRule="auto"/>
              <w:jc w:val="left"/>
              <w:rPr>
                <w:rFonts w:asciiTheme="minorHAnsi" w:hAnsiTheme="minorHAnsi"/>
                <w:bCs/>
                <w:color w:val="000000"/>
                <w:sz w:val="22"/>
                <w:szCs w:val="22"/>
                <w:lang w:val="en-IN" w:eastAsia="en-IN"/>
              </w:rPr>
            </w:pPr>
            <w:r w:rsidRPr="00B754AD">
              <w:rPr>
                <w:rFonts w:asciiTheme="minorHAnsi" w:hAnsiTheme="minorHAnsi"/>
                <w:bCs/>
                <w:color w:val="000000"/>
                <w:sz w:val="22"/>
                <w:szCs w:val="22"/>
                <w:lang w:val="en-IN" w:eastAsia="en-IN"/>
              </w:rPr>
              <w:t>Total</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23.56%</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21.71%</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19.18%</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15.90%</w:t>
            </w:r>
          </w:p>
        </w:tc>
        <w:tc>
          <w:tcPr>
            <w:tcW w:w="922" w:type="dxa"/>
            <w:shd w:val="clear" w:color="auto" w:fill="auto"/>
            <w:vAlign w:val="bottom"/>
            <w:hideMark/>
          </w:tcPr>
          <w:p w:rsidR="00C34658" w:rsidRPr="00B754AD" w:rsidRDefault="00E34329" w:rsidP="00D55642">
            <w:pPr>
              <w:spacing w:before="0" w:line="240" w:lineRule="auto"/>
              <w:jc w:val="center"/>
              <w:rPr>
                <w:rFonts w:asciiTheme="minorHAnsi" w:hAnsiTheme="minorHAnsi"/>
                <w:color w:val="000000"/>
                <w:sz w:val="22"/>
                <w:szCs w:val="22"/>
                <w:lang w:val="en-IN" w:eastAsia="en-IN"/>
              </w:rPr>
            </w:pPr>
            <w:r w:rsidRPr="00B754AD">
              <w:rPr>
                <w:rFonts w:asciiTheme="minorHAnsi" w:hAnsiTheme="minorHAnsi"/>
                <w:color w:val="000000"/>
                <w:sz w:val="22"/>
                <w:szCs w:val="22"/>
                <w:lang w:val="en-IN" w:eastAsia="en-IN"/>
              </w:rPr>
              <w:t>11.96%</w:t>
            </w:r>
          </w:p>
        </w:tc>
      </w:tr>
    </w:tbl>
    <w:p w:rsidR="00D5771F" w:rsidRDefault="00D5771F">
      <w:pPr>
        <w:pStyle w:val="Heading3"/>
        <w:numPr>
          <w:ilvl w:val="0"/>
          <w:numId w:val="0"/>
        </w:numPr>
        <w:tabs>
          <w:tab w:val="clear" w:pos="720"/>
        </w:tabs>
        <w:spacing w:before="0" w:after="240" w:line="240" w:lineRule="auto"/>
        <w:rPr>
          <w:rFonts w:asciiTheme="minorHAnsi" w:hAnsiTheme="minorHAnsi"/>
          <w:highlight w:val="yellow"/>
        </w:rPr>
      </w:pP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 xml:space="preserve">The Commission has considered the practical difficulties being faced by the Distribution Licensees in reduction of Distribution Losses. It is well established that there are number of factors such as sales mix, consumer mix, geographical spread of consumers, condition of distribution infrastructure that contribute to the distribution losses. Distribution Licensees during the public hearing process and in various submissions to the Commission explained the steps undertaken by them to improve the supply hours and reduce the distribution losses. They also explained various contributing factors like increased supply hours, new connections addition drives etc. The Commission, while approving the distribution losses for FY 2016-17 has considered the submission made by the Distribution Licensees and practicality of the Distribution Loss Reduction target.  The Commission has also considered the consumers mix, sales mix and geographical spread of the Distribution Licensees and all other relevant factor contributing to the Distribution Losses in the supply area of Distribution Licensees. </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Further, the Commission has also observed that the actual Distribution Losses of Distribution Licensees namely DVVNL and KESCO are very high in last three years and it would be practically difficult for them to achieve even the Distribution loss reduction target set by the Commission for FY 2015-16. It should also be noted that the Distribution Licensees submitted their Petition for Truing Up for FY 2013-14 and ARR / Tariff determination for FY 2016-17 in early December, 2015 and signed MOU under the UDAY scheme in the month of January, 2016. The Commission believes that the Distribution Licensees must have performed prudence exercise before projecting the loss reduction trajectory to be achieved during FY 2015-16 to FY 2019-2020 in the MOU and considers the Distribution Loss targets as agreed to be more realistic. Thus, taking into consideration all the reasons as stated above, actual distribution loss level of last three years and the MoU signed by the Discoms under UDAY Scheme the Commission directs the Discoms to strictly follow the Distribution Loss trajectory as well as AT&amp;C Loss trajectory as agreed in UDAY Scheme and approves the Distribution Loss targets of the Distribution Licensees same as specified under UDAY Scheme for FY 2016-17.</w:t>
      </w:r>
    </w:p>
    <w:p w:rsidR="00D5771F" w:rsidRDefault="00E34329">
      <w:pPr>
        <w:pStyle w:val="Heading3"/>
        <w:tabs>
          <w:tab w:val="clear" w:pos="720"/>
        </w:tabs>
        <w:spacing w:after="240"/>
        <w:ind w:left="993" w:hanging="993"/>
        <w:rPr>
          <w:rFonts w:asciiTheme="minorHAnsi" w:hAnsiTheme="minorHAnsi"/>
        </w:rPr>
      </w:pPr>
      <w:bookmarkStart w:id="460" w:name="_Toc357349057"/>
      <w:bookmarkStart w:id="461" w:name="_Toc357356110"/>
      <w:bookmarkEnd w:id="445"/>
      <w:bookmarkEnd w:id="446"/>
      <w:r w:rsidRPr="00E34329">
        <w:rPr>
          <w:rFonts w:asciiTheme="minorHAnsi" w:hAnsiTheme="minorHAnsi"/>
        </w:rPr>
        <w:lastRenderedPageBreak/>
        <w:t>While projecting the Power Purchase requirement for FY 2016-17, the Intra State-Transmission Losses has been considered at 3.59% same as that approved for FY 2015-16 against the proposed 3.67% by the Distribution Licensees.</w:t>
      </w:r>
    </w:p>
    <w:p w:rsidR="00D5771F" w:rsidRDefault="00E34329">
      <w:pPr>
        <w:pStyle w:val="Heading3"/>
        <w:tabs>
          <w:tab w:val="clear" w:pos="720"/>
          <w:tab w:val="left" w:pos="90"/>
        </w:tabs>
        <w:spacing w:after="240"/>
        <w:ind w:left="993" w:hanging="993"/>
        <w:rPr>
          <w:rFonts w:asciiTheme="minorHAnsi" w:hAnsiTheme="minorHAnsi"/>
        </w:rPr>
      </w:pPr>
      <w:r w:rsidRPr="00E34329">
        <w:rPr>
          <w:rFonts w:asciiTheme="minorHAnsi" w:hAnsiTheme="minorHAnsi"/>
        </w:rPr>
        <w:t>Based on the above, the approved energy balance for FY 2016-17 for the State owned Distribution Licensees is shown in the Table below:</w:t>
      </w:r>
      <w:bookmarkEnd w:id="460"/>
      <w:bookmarkEnd w:id="461"/>
    </w:p>
    <w:p w:rsidR="00C34658" w:rsidRPr="00BB5484" w:rsidRDefault="00E34329" w:rsidP="00C34658">
      <w:pPr>
        <w:spacing w:before="0"/>
        <w:jc w:val="center"/>
        <w:rPr>
          <w:rFonts w:asciiTheme="minorHAnsi" w:hAnsiTheme="minorHAnsi"/>
          <w:i/>
          <w:szCs w:val="23"/>
        </w:rPr>
      </w:pPr>
      <w:bookmarkStart w:id="462" w:name="_Toc338310674"/>
      <w:bookmarkStart w:id="463" w:name="_Toc338419504"/>
      <w:bookmarkStart w:id="464" w:name="_Toc357721095"/>
      <w:bookmarkStart w:id="465" w:name="_Toc395657932"/>
      <w:bookmarkStart w:id="466" w:name="_Toc396573983"/>
      <w:bookmarkStart w:id="467" w:name="_Toc399624084"/>
      <w:bookmarkStart w:id="468" w:name="_Toc453367664"/>
      <w:bookmarkStart w:id="469" w:name="_Toc457604033"/>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17</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xml:space="preserve">: APPROVED ENERGY BALANCE FOR FY </w:t>
      </w:r>
      <w:bookmarkEnd w:id="462"/>
      <w:bookmarkEnd w:id="463"/>
      <w:bookmarkEnd w:id="464"/>
      <w:bookmarkEnd w:id="465"/>
      <w:bookmarkEnd w:id="466"/>
      <w:bookmarkEnd w:id="467"/>
      <w:r w:rsidRPr="00E34329">
        <w:rPr>
          <w:rFonts w:asciiTheme="minorHAnsi" w:hAnsiTheme="minorHAnsi" w:cs="Calibri"/>
          <w:b/>
          <w:sz w:val="22"/>
          <w:szCs w:val="22"/>
          <w:lang w:val="en-US"/>
        </w:rPr>
        <w:t>2016-17</w:t>
      </w:r>
      <w:bookmarkEnd w:id="468"/>
      <w:bookmarkEnd w:id="469"/>
    </w:p>
    <w:tbl>
      <w:tblPr>
        <w:tblW w:w="0" w:type="auto"/>
        <w:jc w:val="center"/>
        <w:tblInd w:w="-1962"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tblPr>
      <w:tblGrid>
        <w:gridCol w:w="3499"/>
        <w:gridCol w:w="1134"/>
        <w:gridCol w:w="1134"/>
        <w:gridCol w:w="1134"/>
        <w:gridCol w:w="1276"/>
        <w:gridCol w:w="1134"/>
        <w:gridCol w:w="1536"/>
      </w:tblGrid>
      <w:tr w:rsidR="00C34658" w:rsidRPr="00BB5484" w:rsidTr="008334E8">
        <w:trPr>
          <w:trHeight w:val="300"/>
          <w:tblHeader/>
          <w:jc w:val="center"/>
        </w:trPr>
        <w:tc>
          <w:tcPr>
            <w:tcW w:w="3499" w:type="dxa"/>
            <w:shd w:val="clear" w:color="000000" w:fill="DBE5F1"/>
            <w:noWrap/>
            <w:hideMark/>
          </w:tcPr>
          <w:p w:rsidR="00337C98" w:rsidRDefault="00E34329" w:rsidP="00337C98">
            <w:pPr>
              <w:spacing w:before="0" w:line="240" w:lineRule="auto"/>
              <w:jc w:val="center"/>
              <w:rPr>
                <w:rFonts w:asciiTheme="minorHAnsi" w:hAnsiTheme="minorHAnsi"/>
                <w:b/>
                <w:bCs/>
                <w:color w:val="000000"/>
                <w:sz w:val="22"/>
                <w:szCs w:val="22"/>
                <w:lang w:val="en-US"/>
              </w:rPr>
            </w:pPr>
            <w:r w:rsidRPr="00E34329">
              <w:rPr>
                <w:rFonts w:asciiTheme="minorHAnsi" w:hAnsiTheme="minorHAnsi"/>
                <w:b/>
                <w:bCs/>
                <w:color w:val="000000"/>
                <w:sz w:val="22"/>
                <w:szCs w:val="22"/>
                <w:lang w:val="en-US"/>
              </w:rPr>
              <w:t>Particulars</w:t>
            </w:r>
          </w:p>
        </w:tc>
        <w:tc>
          <w:tcPr>
            <w:tcW w:w="1134" w:type="dxa"/>
            <w:shd w:val="clear" w:color="000000" w:fill="DBE5F1"/>
            <w:hideMark/>
          </w:tcPr>
          <w:p w:rsidR="00603835" w:rsidRDefault="00E34329">
            <w:pPr>
              <w:spacing w:before="0" w:line="240" w:lineRule="auto"/>
              <w:jc w:val="center"/>
              <w:rPr>
                <w:rFonts w:asciiTheme="minorHAnsi" w:hAnsiTheme="minorHAnsi"/>
                <w:b/>
                <w:bCs/>
                <w:color w:val="000000"/>
                <w:sz w:val="22"/>
                <w:szCs w:val="22"/>
                <w:lang w:val="en-US"/>
              </w:rPr>
            </w:pPr>
            <w:r w:rsidRPr="00E34329">
              <w:rPr>
                <w:rFonts w:asciiTheme="minorHAnsi" w:hAnsiTheme="minorHAnsi"/>
                <w:b/>
                <w:bCs/>
                <w:color w:val="000000"/>
                <w:sz w:val="22"/>
                <w:szCs w:val="22"/>
                <w:lang w:val="en-US"/>
              </w:rPr>
              <w:t>PVVNL</w:t>
            </w:r>
          </w:p>
        </w:tc>
        <w:tc>
          <w:tcPr>
            <w:tcW w:w="1134" w:type="dxa"/>
            <w:shd w:val="clear" w:color="000000" w:fill="DBE5F1"/>
            <w:hideMark/>
          </w:tcPr>
          <w:p w:rsidR="00603835" w:rsidRDefault="00E34329">
            <w:pPr>
              <w:spacing w:before="0" w:line="240" w:lineRule="auto"/>
              <w:jc w:val="center"/>
              <w:rPr>
                <w:rFonts w:asciiTheme="minorHAnsi" w:hAnsiTheme="minorHAnsi"/>
                <w:b/>
                <w:bCs/>
                <w:color w:val="000000"/>
                <w:sz w:val="22"/>
                <w:szCs w:val="22"/>
                <w:lang w:val="en-US"/>
              </w:rPr>
            </w:pPr>
            <w:r w:rsidRPr="00E34329">
              <w:rPr>
                <w:rFonts w:asciiTheme="minorHAnsi" w:hAnsiTheme="minorHAnsi"/>
                <w:b/>
                <w:bCs/>
                <w:color w:val="000000"/>
                <w:sz w:val="22"/>
                <w:szCs w:val="22"/>
                <w:lang w:val="en-US"/>
              </w:rPr>
              <w:t>DVVNL</w:t>
            </w:r>
          </w:p>
        </w:tc>
        <w:tc>
          <w:tcPr>
            <w:tcW w:w="1134" w:type="dxa"/>
            <w:shd w:val="clear" w:color="000000" w:fill="DBE5F1"/>
            <w:hideMark/>
          </w:tcPr>
          <w:p w:rsidR="00603835" w:rsidRDefault="00E34329">
            <w:pPr>
              <w:spacing w:before="0" w:line="240" w:lineRule="auto"/>
              <w:jc w:val="center"/>
              <w:rPr>
                <w:rFonts w:asciiTheme="minorHAnsi" w:hAnsiTheme="minorHAnsi"/>
                <w:b/>
                <w:bCs/>
                <w:color w:val="000000"/>
                <w:sz w:val="22"/>
                <w:szCs w:val="22"/>
                <w:lang w:val="en-US"/>
              </w:rPr>
            </w:pPr>
            <w:r w:rsidRPr="00E34329">
              <w:rPr>
                <w:rFonts w:asciiTheme="minorHAnsi" w:hAnsiTheme="minorHAnsi"/>
                <w:b/>
                <w:bCs/>
                <w:color w:val="000000"/>
                <w:sz w:val="22"/>
                <w:szCs w:val="22"/>
                <w:lang w:val="en-US"/>
              </w:rPr>
              <w:t>MVVNL</w:t>
            </w:r>
          </w:p>
        </w:tc>
        <w:tc>
          <w:tcPr>
            <w:tcW w:w="1276" w:type="dxa"/>
            <w:shd w:val="clear" w:color="000000" w:fill="DBE5F1"/>
            <w:hideMark/>
          </w:tcPr>
          <w:p w:rsidR="00603835" w:rsidRDefault="00E34329">
            <w:pPr>
              <w:spacing w:before="0" w:line="240" w:lineRule="auto"/>
              <w:jc w:val="center"/>
              <w:rPr>
                <w:rFonts w:asciiTheme="minorHAnsi" w:hAnsiTheme="minorHAnsi"/>
                <w:b/>
                <w:bCs/>
                <w:color w:val="000000"/>
                <w:sz w:val="22"/>
                <w:szCs w:val="22"/>
                <w:lang w:val="en-US"/>
              </w:rPr>
            </w:pPr>
            <w:r w:rsidRPr="00E34329">
              <w:rPr>
                <w:rFonts w:asciiTheme="minorHAnsi" w:hAnsiTheme="minorHAnsi"/>
                <w:b/>
                <w:bCs/>
                <w:color w:val="000000"/>
                <w:sz w:val="22"/>
                <w:szCs w:val="22"/>
                <w:lang w:val="en-US"/>
              </w:rPr>
              <w:t>PuVVNL</w:t>
            </w:r>
          </w:p>
        </w:tc>
        <w:tc>
          <w:tcPr>
            <w:tcW w:w="1134" w:type="dxa"/>
            <w:shd w:val="clear" w:color="000000" w:fill="DBE5F1"/>
            <w:hideMark/>
          </w:tcPr>
          <w:p w:rsidR="00603835" w:rsidRDefault="00E34329">
            <w:pPr>
              <w:spacing w:before="0" w:line="240" w:lineRule="auto"/>
              <w:jc w:val="center"/>
              <w:rPr>
                <w:rFonts w:asciiTheme="minorHAnsi" w:hAnsiTheme="minorHAnsi"/>
                <w:b/>
                <w:bCs/>
                <w:color w:val="000000"/>
                <w:sz w:val="22"/>
                <w:szCs w:val="22"/>
                <w:lang w:val="en-US"/>
              </w:rPr>
            </w:pPr>
            <w:r w:rsidRPr="00E34329">
              <w:rPr>
                <w:rFonts w:asciiTheme="minorHAnsi" w:hAnsiTheme="minorHAnsi"/>
                <w:b/>
                <w:bCs/>
                <w:color w:val="000000"/>
                <w:sz w:val="22"/>
                <w:szCs w:val="22"/>
                <w:lang w:val="en-US"/>
              </w:rPr>
              <w:t>KESCO</w:t>
            </w:r>
          </w:p>
        </w:tc>
        <w:tc>
          <w:tcPr>
            <w:tcW w:w="1536" w:type="dxa"/>
            <w:shd w:val="clear" w:color="000000" w:fill="DBE5F1"/>
            <w:hideMark/>
          </w:tcPr>
          <w:p w:rsidR="00603835" w:rsidRDefault="00E34329">
            <w:pPr>
              <w:spacing w:before="0" w:line="240" w:lineRule="auto"/>
              <w:jc w:val="center"/>
              <w:rPr>
                <w:rFonts w:asciiTheme="minorHAnsi" w:hAnsiTheme="minorHAnsi"/>
                <w:b/>
                <w:bCs/>
                <w:color w:val="000000"/>
                <w:sz w:val="22"/>
                <w:szCs w:val="22"/>
                <w:lang w:val="en-US"/>
              </w:rPr>
            </w:pPr>
            <w:r w:rsidRPr="00E34329">
              <w:rPr>
                <w:rFonts w:asciiTheme="minorHAnsi" w:hAnsiTheme="minorHAnsi"/>
                <w:b/>
                <w:bCs/>
                <w:color w:val="000000"/>
                <w:sz w:val="22"/>
                <w:szCs w:val="22"/>
                <w:lang w:val="en-US"/>
              </w:rPr>
              <w:t>Consolidated</w:t>
            </w:r>
          </w:p>
        </w:tc>
      </w:tr>
      <w:tr w:rsidR="00C34658" w:rsidRPr="00BB5484" w:rsidTr="00D55642">
        <w:trPr>
          <w:trHeight w:val="300"/>
          <w:jc w:val="center"/>
        </w:trPr>
        <w:tc>
          <w:tcPr>
            <w:tcW w:w="3499" w:type="dxa"/>
            <w:shd w:val="clear" w:color="auto" w:fill="auto"/>
            <w:noWrap/>
            <w:vAlign w:val="center"/>
            <w:hideMark/>
          </w:tcPr>
          <w:p w:rsidR="00C34658" w:rsidRPr="00BB5484" w:rsidRDefault="00E34329" w:rsidP="00D55642">
            <w:pPr>
              <w:spacing w:before="0" w:line="240" w:lineRule="auto"/>
              <w:jc w:val="left"/>
              <w:rPr>
                <w:rFonts w:asciiTheme="minorHAnsi" w:hAnsiTheme="minorHAnsi"/>
                <w:color w:val="000000"/>
                <w:sz w:val="22"/>
                <w:szCs w:val="22"/>
                <w:lang w:val="en-US"/>
              </w:rPr>
            </w:pPr>
            <w:r w:rsidRPr="00E34329">
              <w:rPr>
                <w:rFonts w:asciiTheme="minorHAnsi" w:hAnsiTheme="minorHAnsi"/>
                <w:color w:val="000000"/>
                <w:sz w:val="22"/>
                <w:szCs w:val="22"/>
              </w:rPr>
              <w:t>Retail Sales (MU)</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28,032.91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20,551.90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17,434.92 </w:t>
            </w:r>
          </w:p>
        </w:tc>
        <w:tc>
          <w:tcPr>
            <w:tcW w:w="127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25,301.24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3,278.36 </w:t>
            </w:r>
          </w:p>
        </w:tc>
        <w:tc>
          <w:tcPr>
            <w:tcW w:w="153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94,599.33 </w:t>
            </w:r>
          </w:p>
        </w:tc>
      </w:tr>
      <w:tr w:rsidR="00C34658" w:rsidRPr="00BB5484" w:rsidTr="00D55642">
        <w:trPr>
          <w:trHeight w:val="300"/>
          <w:jc w:val="center"/>
        </w:trPr>
        <w:tc>
          <w:tcPr>
            <w:tcW w:w="3499" w:type="dxa"/>
            <w:shd w:val="clear" w:color="auto" w:fill="auto"/>
            <w:noWrap/>
            <w:vAlign w:val="center"/>
            <w:hideMark/>
          </w:tcPr>
          <w:p w:rsidR="00C34658" w:rsidRPr="00BB5484" w:rsidRDefault="00E34329" w:rsidP="00D55642">
            <w:pPr>
              <w:spacing w:before="0" w:line="240" w:lineRule="auto"/>
              <w:jc w:val="left"/>
              <w:rPr>
                <w:rFonts w:asciiTheme="minorHAnsi" w:hAnsiTheme="minorHAnsi"/>
                <w:color w:val="000000"/>
                <w:sz w:val="22"/>
                <w:szCs w:val="22"/>
                <w:lang w:val="en-US"/>
              </w:rPr>
            </w:pPr>
            <w:r w:rsidRPr="00E34329">
              <w:rPr>
                <w:rFonts w:asciiTheme="minorHAnsi" w:hAnsiTheme="minorHAnsi"/>
                <w:color w:val="000000"/>
                <w:sz w:val="22"/>
                <w:szCs w:val="22"/>
              </w:rPr>
              <w:t>Distribution Losses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20.20%</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23.82%</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21.52%</w:t>
            </w:r>
          </w:p>
        </w:tc>
        <w:tc>
          <w:tcPr>
            <w:tcW w:w="127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21.57%</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22.51%</w:t>
            </w:r>
          </w:p>
        </w:tc>
        <w:tc>
          <w:tcPr>
            <w:tcW w:w="153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21.70%</w:t>
            </w:r>
          </w:p>
        </w:tc>
      </w:tr>
      <w:tr w:rsidR="00C34658" w:rsidRPr="00BB5484" w:rsidTr="00D55642">
        <w:trPr>
          <w:trHeight w:val="530"/>
          <w:jc w:val="center"/>
        </w:trPr>
        <w:tc>
          <w:tcPr>
            <w:tcW w:w="3499" w:type="dxa"/>
            <w:shd w:val="clear" w:color="auto" w:fill="auto"/>
            <w:noWrap/>
            <w:vAlign w:val="center"/>
            <w:hideMark/>
          </w:tcPr>
          <w:p w:rsidR="00C34658" w:rsidRPr="00BB5484" w:rsidRDefault="00E34329" w:rsidP="00D55642">
            <w:pPr>
              <w:spacing w:before="0" w:line="240" w:lineRule="auto"/>
              <w:jc w:val="left"/>
              <w:rPr>
                <w:rFonts w:asciiTheme="minorHAnsi" w:hAnsiTheme="minorHAnsi"/>
                <w:color w:val="000000"/>
                <w:sz w:val="22"/>
                <w:szCs w:val="22"/>
                <w:lang w:val="en-US"/>
              </w:rPr>
            </w:pPr>
            <w:r w:rsidRPr="00E34329">
              <w:rPr>
                <w:rFonts w:asciiTheme="minorHAnsi" w:hAnsiTheme="minorHAnsi"/>
                <w:color w:val="000000"/>
                <w:sz w:val="22"/>
                <w:szCs w:val="22"/>
              </w:rPr>
              <w:t>Energy at Discom Periphery for Retail Sales (MU)</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35,128.96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26,978.08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22,215.74 </w:t>
            </w:r>
          </w:p>
        </w:tc>
        <w:tc>
          <w:tcPr>
            <w:tcW w:w="127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32,259.65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4,230.68 </w:t>
            </w:r>
          </w:p>
        </w:tc>
        <w:tc>
          <w:tcPr>
            <w:tcW w:w="153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120,813.12 </w:t>
            </w:r>
          </w:p>
        </w:tc>
      </w:tr>
      <w:tr w:rsidR="00C34658" w:rsidRPr="00BB5484" w:rsidTr="00D55642">
        <w:trPr>
          <w:trHeight w:val="300"/>
          <w:jc w:val="center"/>
        </w:trPr>
        <w:tc>
          <w:tcPr>
            <w:tcW w:w="3499" w:type="dxa"/>
            <w:shd w:val="clear" w:color="auto" w:fill="auto"/>
            <w:noWrap/>
            <w:vAlign w:val="center"/>
            <w:hideMark/>
          </w:tcPr>
          <w:p w:rsidR="00C34658" w:rsidRPr="00BB5484" w:rsidRDefault="00E34329" w:rsidP="00D55642">
            <w:pPr>
              <w:spacing w:before="0" w:line="240" w:lineRule="auto"/>
              <w:jc w:val="left"/>
              <w:rPr>
                <w:rFonts w:asciiTheme="minorHAnsi" w:hAnsiTheme="minorHAnsi"/>
                <w:color w:val="000000"/>
                <w:sz w:val="22"/>
                <w:szCs w:val="22"/>
                <w:lang w:val="en-US"/>
              </w:rPr>
            </w:pPr>
            <w:r w:rsidRPr="00E34329">
              <w:rPr>
                <w:rFonts w:asciiTheme="minorHAnsi" w:hAnsiTheme="minorHAnsi"/>
                <w:color w:val="000000"/>
                <w:sz w:val="22"/>
                <w:szCs w:val="22"/>
              </w:rPr>
              <w:t>Inter-State Transmission Losses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3.59%</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3.59%</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3.59%</w:t>
            </w:r>
          </w:p>
        </w:tc>
        <w:tc>
          <w:tcPr>
            <w:tcW w:w="127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3.59%</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3.59%</w:t>
            </w:r>
          </w:p>
        </w:tc>
        <w:tc>
          <w:tcPr>
            <w:tcW w:w="153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3.59%</w:t>
            </w:r>
          </w:p>
        </w:tc>
      </w:tr>
      <w:tr w:rsidR="00C34658" w:rsidRPr="00BB5484" w:rsidTr="00D55642">
        <w:trPr>
          <w:trHeight w:val="300"/>
          <w:jc w:val="center"/>
        </w:trPr>
        <w:tc>
          <w:tcPr>
            <w:tcW w:w="3499" w:type="dxa"/>
            <w:shd w:val="clear" w:color="auto" w:fill="auto"/>
            <w:vAlign w:val="center"/>
            <w:hideMark/>
          </w:tcPr>
          <w:p w:rsidR="00C34658" w:rsidRPr="00BB5484" w:rsidRDefault="00E34329" w:rsidP="00D55642">
            <w:pPr>
              <w:spacing w:before="0" w:line="240" w:lineRule="auto"/>
              <w:jc w:val="left"/>
              <w:rPr>
                <w:rFonts w:asciiTheme="minorHAnsi" w:hAnsiTheme="minorHAnsi"/>
                <w:sz w:val="22"/>
                <w:szCs w:val="22"/>
                <w:lang w:val="en-US"/>
              </w:rPr>
            </w:pPr>
            <w:r w:rsidRPr="00E34329">
              <w:rPr>
                <w:rFonts w:asciiTheme="minorHAnsi" w:hAnsiTheme="minorHAnsi"/>
                <w:sz w:val="22"/>
                <w:szCs w:val="22"/>
              </w:rPr>
              <w:t>Energy Available at State periphery for Transmission(MU)</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36,437.05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27,982.66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23,042.99 </w:t>
            </w:r>
          </w:p>
        </w:tc>
        <w:tc>
          <w:tcPr>
            <w:tcW w:w="127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33,460.89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4,388.22 </w:t>
            </w:r>
          </w:p>
        </w:tc>
        <w:tc>
          <w:tcPr>
            <w:tcW w:w="153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125,311.82 </w:t>
            </w:r>
          </w:p>
        </w:tc>
      </w:tr>
      <w:tr w:rsidR="00C34658" w:rsidRPr="00BB5484" w:rsidTr="00D55642">
        <w:trPr>
          <w:trHeight w:val="300"/>
          <w:jc w:val="center"/>
        </w:trPr>
        <w:tc>
          <w:tcPr>
            <w:tcW w:w="3499" w:type="dxa"/>
            <w:shd w:val="clear" w:color="auto" w:fill="auto"/>
            <w:noWrap/>
            <w:vAlign w:val="center"/>
            <w:hideMark/>
          </w:tcPr>
          <w:p w:rsidR="00C34658" w:rsidRPr="00BB5484" w:rsidRDefault="00E34329" w:rsidP="00D55642">
            <w:pPr>
              <w:spacing w:before="0" w:line="240" w:lineRule="auto"/>
              <w:jc w:val="left"/>
              <w:rPr>
                <w:rFonts w:asciiTheme="minorHAnsi" w:hAnsiTheme="minorHAnsi"/>
                <w:color w:val="000000"/>
                <w:sz w:val="22"/>
                <w:szCs w:val="22"/>
                <w:lang w:val="en-US"/>
              </w:rPr>
            </w:pPr>
            <w:r w:rsidRPr="00E34329">
              <w:rPr>
                <w:rFonts w:asciiTheme="minorHAnsi" w:hAnsiTheme="minorHAnsi"/>
                <w:sz w:val="22"/>
                <w:szCs w:val="22"/>
              </w:rPr>
              <w:t>Periphery Loss (Upto inter connection Point)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1.65%</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1.65%</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1.65%</w:t>
            </w:r>
          </w:p>
        </w:tc>
        <w:tc>
          <w:tcPr>
            <w:tcW w:w="127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1.65%</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1.65%</w:t>
            </w:r>
          </w:p>
        </w:tc>
        <w:tc>
          <w:tcPr>
            <w:tcW w:w="153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1.65%</w:t>
            </w:r>
          </w:p>
        </w:tc>
      </w:tr>
      <w:tr w:rsidR="00C34658" w:rsidRPr="00BB5484" w:rsidTr="00D55642">
        <w:trPr>
          <w:trHeight w:val="300"/>
          <w:jc w:val="center"/>
        </w:trPr>
        <w:tc>
          <w:tcPr>
            <w:tcW w:w="3499" w:type="dxa"/>
            <w:shd w:val="clear" w:color="auto" w:fill="auto"/>
            <w:vAlign w:val="center"/>
            <w:hideMark/>
          </w:tcPr>
          <w:p w:rsidR="00C34658" w:rsidRPr="00BB5484" w:rsidRDefault="00E34329" w:rsidP="00D55642">
            <w:pPr>
              <w:spacing w:before="0" w:line="240" w:lineRule="auto"/>
              <w:jc w:val="left"/>
              <w:rPr>
                <w:rFonts w:asciiTheme="minorHAnsi" w:hAnsiTheme="minorHAnsi"/>
                <w:sz w:val="22"/>
                <w:szCs w:val="22"/>
                <w:lang w:val="en-US"/>
              </w:rPr>
            </w:pPr>
            <w:r w:rsidRPr="00E34329">
              <w:rPr>
                <w:rFonts w:asciiTheme="minorHAnsi" w:hAnsiTheme="minorHAnsi"/>
                <w:sz w:val="22"/>
                <w:szCs w:val="22"/>
              </w:rPr>
              <w:t>Purchases Required &amp; Billed Energy (MU)</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37,048.35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28,452.12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23,429.58 </w:t>
            </w:r>
          </w:p>
        </w:tc>
        <w:tc>
          <w:tcPr>
            <w:tcW w:w="127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34,022.26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4,461.84 </w:t>
            </w:r>
          </w:p>
        </w:tc>
        <w:tc>
          <w:tcPr>
            <w:tcW w:w="153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127,414.15 </w:t>
            </w:r>
          </w:p>
        </w:tc>
      </w:tr>
      <w:tr w:rsidR="00C34658" w:rsidRPr="00BB5484" w:rsidTr="00D55642">
        <w:trPr>
          <w:trHeight w:val="300"/>
          <w:jc w:val="center"/>
        </w:trPr>
        <w:tc>
          <w:tcPr>
            <w:tcW w:w="3499" w:type="dxa"/>
            <w:shd w:val="clear" w:color="auto" w:fill="auto"/>
            <w:noWrap/>
            <w:vAlign w:val="center"/>
            <w:hideMark/>
          </w:tcPr>
          <w:p w:rsidR="00C34658" w:rsidRPr="00BB5484" w:rsidRDefault="00E34329" w:rsidP="00D55642">
            <w:pPr>
              <w:spacing w:before="0" w:line="240" w:lineRule="auto"/>
              <w:jc w:val="left"/>
              <w:rPr>
                <w:rFonts w:asciiTheme="minorHAnsi" w:hAnsiTheme="minorHAnsi"/>
                <w:color w:val="000000"/>
                <w:sz w:val="22"/>
                <w:szCs w:val="22"/>
                <w:lang w:val="en-US"/>
              </w:rPr>
            </w:pPr>
            <w:r w:rsidRPr="00E34329">
              <w:rPr>
                <w:rFonts w:asciiTheme="minorHAnsi" w:hAnsiTheme="minorHAnsi"/>
                <w:color w:val="000000"/>
                <w:sz w:val="22"/>
                <w:szCs w:val="22"/>
              </w:rPr>
              <w:t>Total Inter &amp; Intra State Transmission Losses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5.18%</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5.18%</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5.18%</w:t>
            </w:r>
          </w:p>
        </w:tc>
        <w:tc>
          <w:tcPr>
            <w:tcW w:w="127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5.18%</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5.18%</w:t>
            </w:r>
          </w:p>
        </w:tc>
        <w:tc>
          <w:tcPr>
            <w:tcW w:w="153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5.18%</w:t>
            </w:r>
          </w:p>
        </w:tc>
      </w:tr>
      <w:tr w:rsidR="00C34658" w:rsidRPr="00BB5484" w:rsidTr="00D55642">
        <w:trPr>
          <w:trHeight w:val="300"/>
          <w:jc w:val="center"/>
        </w:trPr>
        <w:tc>
          <w:tcPr>
            <w:tcW w:w="3499" w:type="dxa"/>
            <w:shd w:val="clear" w:color="auto" w:fill="auto"/>
            <w:noWrap/>
            <w:vAlign w:val="center"/>
            <w:hideMark/>
          </w:tcPr>
          <w:p w:rsidR="00C34658" w:rsidRPr="00BB5484" w:rsidRDefault="00E34329" w:rsidP="00D55642">
            <w:pPr>
              <w:spacing w:before="0" w:line="240" w:lineRule="auto"/>
              <w:jc w:val="left"/>
              <w:rPr>
                <w:rFonts w:asciiTheme="minorHAnsi" w:hAnsiTheme="minorHAnsi"/>
                <w:b/>
                <w:bCs/>
                <w:color w:val="000000"/>
                <w:sz w:val="22"/>
                <w:szCs w:val="22"/>
                <w:lang w:val="en-US"/>
              </w:rPr>
            </w:pPr>
            <w:r w:rsidRPr="00E34329">
              <w:rPr>
                <w:rFonts w:asciiTheme="minorHAnsi" w:hAnsiTheme="minorHAnsi"/>
                <w:b/>
                <w:bCs/>
                <w:color w:val="000000"/>
                <w:sz w:val="22"/>
                <w:szCs w:val="22"/>
              </w:rPr>
              <w:t>Total T&amp;D Losses in Retail Sales (MU) /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9,015.44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7,900.22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5,994.66 </w:t>
            </w:r>
          </w:p>
        </w:tc>
        <w:tc>
          <w:tcPr>
            <w:tcW w:w="127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8,721.02 </w:t>
            </w:r>
          </w:p>
        </w:tc>
        <w:tc>
          <w:tcPr>
            <w:tcW w:w="1134"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 xml:space="preserve">1,183.48 </w:t>
            </w:r>
          </w:p>
        </w:tc>
        <w:tc>
          <w:tcPr>
            <w:tcW w:w="1536" w:type="dxa"/>
            <w:shd w:val="clear" w:color="auto" w:fill="auto"/>
            <w:noWrap/>
            <w:vAlign w:val="center"/>
            <w:hideMark/>
          </w:tcPr>
          <w:p w:rsidR="00C34658" w:rsidRPr="00BB5484" w:rsidRDefault="00E34329" w:rsidP="00D55642">
            <w:pPr>
              <w:spacing w:before="0" w:line="240" w:lineRule="auto"/>
              <w:jc w:val="right"/>
              <w:rPr>
                <w:rFonts w:asciiTheme="minorHAnsi" w:hAnsiTheme="minorHAnsi"/>
                <w:color w:val="000000"/>
                <w:sz w:val="22"/>
                <w:szCs w:val="22"/>
                <w:lang w:val="en-US"/>
              </w:rPr>
            </w:pPr>
            <w:r w:rsidRPr="00E34329">
              <w:rPr>
                <w:rFonts w:asciiTheme="minorHAnsi" w:hAnsiTheme="minorHAnsi"/>
                <w:color w:val="000000"/>
                <w:sz w:val="22"/>
                <w:szCs w:val="22"/>
              </w:rPr>
              <w:t>25.75%</w:t>
            </w:r>
          </w:p>
        </w:tc>
      </w:tr>
    </w:tbl>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The distribution losses and the collection efficiency are the two critical parameters to evaluate the performance of a Distribution Licensee and have to be brought to the desired levels, based on sound and authentic data and study analysis.</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 xml:space="preserve">Although the Commission while doing the True-up of previous years has disallowed the excess power purchase cost on account of higher losses, it is important to note that such disallowance of the cost is borne by the Distribution Licensees and the officials responsible for not achieving the targets have no direct accountability. The Commission opines that this methodology of reducing the power purchase cost on account of distribution losses neither directly affects the officials responsible for achieving the target loss levels nor does it encourage the employees to strive for achieving the loss targets for the benefit of the utility. </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lastRenderedPageBreak/>
        <w:t xml:space="preserve">Further, it is a common industry practice that the employees achieving or exceeding their targets are provided with bonus / incentives. Such practice may be introduced for the officials of the Distribution Licensees so as to encourage them to assist the utilities to achieve the targeted losses / collection efficiency. The accountability of achieving the targets should be assigned to the responsible officials. </w:t>
      </w:r>
    </w:p>
    <w:p w:rsidR="00D5771F" w:rsidRDefault="00E34329">
      <w:pPr>
        <w:pStyle w:val="Heading3"/>
        <w:tabs>
          <w:tab w:val="clear" w:pos="720"/>
        </w:tabs>
        <w:spacing w:after="240"/>
        <w:ind w:left="993" w:hanging="993"/>
        <w:rPr>
          <w:rFonts w:asciiTheme="minorHAnsi" w:hAnsiTheme="minorHAnsi"/>
        </w:rPr>
      </w:pPr>
      <w:bookmarkStart w:id="470" w:name="_Ref399524070"/>
      <w:r w:rsidRPr="00E34329">
        <w:rPr>
          <w:rFonts w:asciiTheme="minorHAnsi" w:hAnsiTheme="minorHAnsi"/>
        </w:rPr>
        <w:t>In view of the above, Commission in its Tariff Order for FY 2014-15 dated October 01,2014 has directed the Distribution Licensee to formulate a mechanism so as to make their officials accountable by providing incentives or disincentives for achievement or non-achievement of the distribution loss and the collection efficiency targets. The relevant extract of the direction of Commission is given below:</w:t>
      </w:r>
    </w:p>
    <w:p w:rsidR="00C34658" w:rsidRPr="00BB5484" w:rsidRDefault="00E34329" w:rsidP="00C34658">
      <w:pPr>
        <w:pStyle w:val="Heading3"/>
        <w:numPr>
          <w:ilvl w:val="0"/>
          <w:numId w:val="0"/>
        </w:numPr>
        <w:tabs>
          <w:tab w:val="clear" w:pos="720"/>
        </w:tabs>
        <w:spacing w:after="240"/>
        <w:ind w:left="1713"/>
        <w:rPr>
          <w:rFonts w:asciiTheme="minorHAnsi" w:hAnsiTheme="minorHAnsi"/>
          <w:i/>
        </w:rPr>
      </w:pPr>
      <w:r w:rsidRPr="00E34329">
        <w:rPr>
          <w:rFonts w:asciiTheme="minorHAnsi" w:hAnsiTheme="minorHAnsi"/>
          <w:i/>
        </w:rPr>
        <w:t>“9.3.20 In view of the above, the Commission directs the Distribution Licensees to formulate a mechanism so as to make their officials accountable by providing incentives or disincentives for achievement or non-achievement of the distribution loss and the collection efficiency targets. Further, such policy should also cover the following aspects:</w:t>
      </w:r>
      <w:bookmarkEnd w:id="470"/>
    </w:p>
    <w:p w:rsidR="00C34658" w:rsidRPr="00BB5484" w:rsidRDefault="00E34329" w:rsidP="00C34658">
      <w:pPr>
        <w:pStyle w:val="Heading3"/>
        <w:numPr>
          <w:ilvl w:val="2"/>
          <w:numId w:val="18"/>
        </w:numPr>
        <w:tabs>
          <w:tab w:val="clear" w:pos="720"/>
        </w:tabs>
        <w:spacing w:before="0"/>
        <w:ind w:left="2430"/>
        <w:rPr>
          <w:rFonts w:asciiTheme="minorHAnsi" w:hAnsiTheme="minorHAnsi"/>
          <w:i/>
        </w:rPr>
      </w:pPr>
      <w:r w:rsidRPr="00E34329">
        <w:rPr>
          <w:rFonts w:asciiTheme="minorHAnsi" w:hAnsiTheme="minorHAnsi"/>
          <w:i/>
        </w:rPr>
        <w:t>Allocation of such distribution loss and collection efficiency targets to various responsible officials based on current level of losses and efficiency levels in their area / zone / circle / division / sub-station, etc.</w:t>
      </w:r>
    </w:p>
    <w:p w:rsidR="00C34658" w:rsidRPr="00BB5484" w:rsidRDefault="00E34329" w:rsidP="00C34658">
      <w:pPr>
        <w:pStyle w:val="Heading3"/>
        <w:numPr>
          <w:ilvl w:val="2"/>
          <w:numId w:val="18"/>
        </w:numPr>
        <w:tabs>
          <w:tab w:val="clear" w:pos="720"/>
        </w:tabs>
        <w:spacing w:before="0"/>
        <w:ind w:left="2430"/>
        <w:rPr>
          <w:rFonts w:asciiTheme="minorHAnsi" w:hAnsiTheme="minorHAnsi"/>
          <w:i/>
        </w:rPr>
      </w:pPr>
      <w:r w:rsidRPr="00E34329">
        <w:rPr>
          <w:rFonts w:asciiTheme="minorHAnsi" w:hAnsiTheme="minorHAnsi"/>
          <w:i/>
        </w:rPr>
        <w:t xml:space="preserve">The system of MoU signed by concerned Officer(s) regarding distribution loss target, which can be based on input energy, billed energy / amount and collection efficiency, etc. - Fixing of accountability of the concerned personnel of the Utilities will help considerably in reduction of losses. This may include making the relevant field level personnel accountable and through monitoring of their performance, to achieve results in the form of reduction of losses. Similarly, holding officials responsible for various Zone / Circle / Division / sub-station wise revenue related performance parameters such as reduction in arrears, etc., will help the Distribution Licensees in improving the cash flows for day to day operations. </w:t>
      </w:r>
    </w:p>
    <w:p w:rsidR="00C34658" w:rsidRPr="00BB5484" w:rsidRDefault="00E34329" w:rsidP="00C34658">
      <w:pPr>
        <w:pStyle w:val="Heading3"/>
        <w:numPr>
          <w:ilvl w:val="2"/>
          <w:numId w:val="18"/>
        </w:numPr>
        <w:tabs>
          <w:tab w:val="clear" w:pos="720"/>
        </w:tabs>
        <w:spacing w:before="0"/>
        <w:ind w:left="2430"/>
        <w:rPr>
          <w:rFonts w:asciiTheme="minorHAnsi" w:hAnsiTheme="minorHAnsi"/>
          <w:i/>
        </w:rPr>
      </w:pPr>
      <w:r w:rsidRPr="00E34329">
        <w:rPr>
          <w:rFonts w:asciiTheme="minorHAnsi" w:hAnsiTheme="minorHAnsi"/>
          <w:i/>
        </w:rPr>
        <w:t xml:space="preserve">Senior officials including Chairman UPPCL, Managing Director, UPPCL, Managing Directors of all State owned Distribution </w:t>
      </w:r>
      <w:r w:rsidRPr="00E34329">
        <w:rPr>
          <w:rFonts w:asciiTheme="minorHAnsi" w:hAnsiTheme="minorHAnsi"/>
          <w:i/>
        </w:rPr>
        <w:lastRenderedPageBreak/>
        <w:t>Licensees and all other officials up to Junior Engineer level as per the hierarchy shall be part of the process of signing of the above MoU.</w:t>
      </w:r>
    </w:p>
    <w:p w:rsidR="00C34658" w:rsidRPr="00BB5484" w:rsidRDefault="00E34329" w:rsidP="00C34658">
      <w:pPr>
        <w:pStyle w:val="Heading3"/>
        <w:numPr>
          <w:ilvl w:val="2"/>
          <w:numId w:val="18"/>
        </w:numPr>
        <w:tabs>
          <w:tab w:val="clear" w:pos="720"/>
        </w:tabs>
        <w:spacing w:before="0"/>
        <w:ind w:left="2430"/>
        <w:rPr>
          <w:rFonts w:asciiTheme="minorHAnsi" w:hAnsiTheme="minorHAnsi"/>
          <w:i/>
        </w:rPr>
      </w:pPr>
      <w:r w:rsidRPr="00E34329">
        <w:rPr>
          <w:rFonts w:asciiTheme="minorHAnsi" w:hAnsiTheme="minorHAnsi"/>
          <w:i/>
        </w:rPr>
        <w:t>Formulation of clear mechanism of providing the incentives or disincentives to the concerned officials.</w:t>
      </w:r>
    </w:p>
    <w:p w:rsidR="00C34658" w:rsidRPr="00BB5484" w:rsidRDefault="00E34329" w:rsidP="00C34658">
      <w:pPr>
        <w:pStyle w:val="Heading3"/>
        <w:numPr>
          <w:ilvl w:val="2"/>
          <w:numId w:val="18"/>
        </w:numPr>
        <w:tabs>
          <w:tab w:val="clear" w:pos="720"/>
        </w:tabs>
        <w:spacing w:before="0"/>
        <w:ind w:left="2430"/>
        <w:rPr>
          <w:rFonts w:asciiTheme="minorHAnsi" w:hAnsiTheme="minorHAnsi"/>
          <w:i/>
        </w:rPr>
      </w:pPr>
      <w:r w:rsidRPr="00E34329">
        <w:rPr>
          <w:rFonts w:asciiTheme="minorHAnsi" w:hAnsiTheme="minorHAnsi"/>
          <w:i/>
        </w:rPr>
        <w:t>Regular monitoring of the entire mechanism along with submission of quarterly reports to the Commission.</w:t>
      </w:r>
    </w:p>
    <w:p w:rsidR="00C34658" w:rsidRPr="00BB5484" w:rsidRDefault="00E34329" w:rsidP="00C34658">
      <w:pPr>
        <w:pStyle w:val="Heading3"/>
        <w:numPr>
          <w:ilvl w:val="3"/>
          <w:numId w:val="18"/>
        </w:numPr>
        <w:tabs>
          <w:tab w:val="clear" w:pos="720"/>
        </w:tabs>
        <w:spacing w:before="0" w:after="240"/>
        <w:ind w:left="2410"/>
        <w:rPr>
          <w:rFonts w:asciiTheme="minorHAnsi" w:hAnsiTheme="minorHAnsi"/>
        </w:rPr>
      </w:pPr>
      <w:r w:rsidRPr="00E34329">
        <w:rPr>
          <w:rFonts w:asciiTheme="minorHAnsi" w:hAnsiTheme="minorHAnsi"/>
          <w:bCs w:val="0"/>
          <w:i/>
        </w:rPr>
        <w:t>Further, the organisational structure and management system of the Distribution Licensees are best understood by the Distribution Licensees, hence, it would be more appropriate that any other important aspect as deemed necessary by the Licensees may also be included in addition to the above.</w:t>
      </w:r>
    </w:p>
    <w:p w:rsidR="00C34658" w:rsidRPr="00BB5484" w:rsidRDefault="00E34329" w:rsidP="00C34658">
      <w:pPr>
        <w:pStyle w:val="Heading3"/>
        <w:numPr>
          <w:ilvl w:val="0"/>
          <w:numId w:val="0"/>
        </w:numPr>
        <w:tabs>
          <w:tab w:val="clear" w:pos="720"/>
        </w:tabs>
        <w:ind w:left="1418"/>
        <w:rPr>
          <w:rFonts w:asciiTheme="minorHAnsi" w:hAnsiTheme="minorHAnsi"/>
          <w:i/>
        </w:rPr>
      </w:pPr>
      <w:r w:rsidRPr="00E34329">
        <w:rPr>
          <w:rFonts w:asciiTheme="minorHAnsi" w:hAnsiTheme="minorHAnsi"/>
        </w:rPr>
        <w:t>9.3.21 Petitioner</w:t>
      </w:r>
      <w:r w:rsidRPr="00E34329">
        <w:rPr>
          <w:rFonts w:asciiTheme="minorHAnsi" w:hAnsiTheme="minorHAnsi"/>
          <w:i/>
        </w:rPr>
        <w:t>, in its submissions on the In-House paper prepared by the Commission in this regard, has also agreed to the Commission’s approach and has agreed to get the MoU signed by its officials. The Commission further directs the Petitioner to sign the MoUs to be implemented at all levels and submit the copy of the same to the Commission within 2 months from the date of this Order.”</w:t>
      </w:r>
    </w:p>
    <w:p w:rsidR="00C34658" w:rsidRPr="00BB5484" w:rsidRDefault="00C34658" w:rsidP="00C34658">
      <w:pPr>
        <w:pStyle w:val="Heading3"/>
        <w:numPr>
          <w:ilvl w:val="0"/>
          <w:numId w:val="0"/>
        </w:numPr>
        <w:tabs>
          <w:tab w:val="clear" w:pos="720"/>
        </w:tabs>
        <w:ind w:left="936"/>
        <w:rPr>
          <w:rFonts w:asciiTheme="minorHAnsi" w:hAnsiTheme="minorHAnsi"/>
          <w:i/>
        </w:rPr>
      </w:pPr>
    </w:p>
    <w:p w:rsidR="00D5771F" w:rsidRDefault="00E34329">
      <w:pPr>
        <w:pStyle w:val="Heading3"/>
        <w:tabs>
          <w:tab w:val="clear" w:pos="720"/>
        </w:tabs>
        <w:ind w:left="936"/>
        <w:rPr>
          <w:rFonts w:asciiTheme="minorHAnsi" w:hAnsiTheme="minorHAnsi"/>
        </w:rPr>
      </w:pPr>
      <w:r w:rsidRPr="00E34329">
        <w:rPr>
          <w:rFonts w:asciiTheme="minorHAnsi" w:hAnsiTheme="minorHAnsi"/>
        </w:rPr>
        <w:t>In this regard, the Commission in its Tariff Order for FY 2015-16 had given the following direction.</w:t>
      </w:r>
    </w:p>
    <w:p w:rsidR="00C34658" w:rsidRPr="00BB5484" w:rsidRDefault="00E34329" w:rsidP="00C34658">
      <w:pPr>
        <w:pStyle w:val="Heading3"/>
        <w:numPr>
          <w:ilvl w:val="0"/>
          <w:numId w:val="0"/>
        </w:numPr>
        <w:ind w:left="1440"/>
        <w:rPr>
          <w:rFonts w:asciiTheme="minorHAnsi" w:hAnsiTheme="minorHAnsi"/>
          <w:b/>
          <w:i/>
        </w:rPr>
      </w:pPr>
      <w:r w:rsidRPr="00E34329">
        <w:rPr>
          <w:rFonts w:asciiTheme="minorHAnsi" w:hAnsiTheme="minorHAnsi"/>
          <w:b/>
          <w:i/>
        </w:rPr>
        <w:t>“5.3.22 The Commission reiterate&amp; directs the Petitioner to formulate such policy and to sign the MoUs to be implemented at all levels and submit the copy of the same to the Commission within three months from the date of this Order.”</w:t>
      </w:r>
    </w:p>
    <w:p w:rsidR="00D5771F" w:rsidRDefault="00E34329">
      <w:pPr>
        <w:pStyle w:val="Heading3"/>
        <w:tabs>
          <w:tab w:val="clear" w:pos="720"/>
        </w:tabs>
        <w:ind w:left="936"/>
        <w:rPr>
          <w:rFonts w:asciiTheme="minorHAnsi" w:hAnsiTheme="minorHAnsi"/>
        </w:rPr>
      </w:pPr>
      <w:r w:rsidRPr="00E34329">
        <w:rPr>
          <w:rFonts w:asciiTheme="minorHAnsi" w:hAnsiTheme="minorHAnsi"/>
        </w:rPr>
        <w:t xml:space="preserve">In reply to the Commission’s query regarding submission of the signed MOU, the Licensee has sought some more time to comply with the Commission’s direction. </w:t>
      </w:r>
      <w:r w:rsidRPr="00E34329">
        <w:rPr>
          <w:rFonts w:asciiTheme="minorHAnsi" w:hAnsiTheme="minorHAnsi"/>
          <w:b/>
        </w:rPr>
        <w:t>The Commission again directs the Licensee to expedite the process to comply with the direction given by the Commission and submit the same at the earliest</w:t>
      </w:r>
      <w:r w:rsidRPr="00E34329">
        <w:rPr>
          <w:rFonts w:asciiTheme="minorHAnsi" w:hAnsiTheme="minorHAnsi"/>
        </w:rPr>
        <w:t>.</w:t>
      </w:r>
    </w:p>
    <w:p w:rsidR="006C63AF" w:rsidRDefault="006C63AF" w:rsidP="006C63AF">
      <w:pPr>
        <w:pStyle w:val="Heading3"/>
        <w:numPr>
          <w:ilvl w:val="0"/>
          <w:numId w:val="0"/>
        </w:numPr>
        <w:spacing w:before="0"/>
        <w:ind w:left="936"/>
        <w:rPr>
          <w:rFonts w:asciiTheme="minorHAnsi" w:hAnsiTheme="minorHAnsi"/>
        </w:rPr>
      </w:pPr>
    </w:p>
    <w:p w:rsidR="00C34658" w:rsidRPr="00BB5484" w:rsidRDefault="00E34329" w:rsidP="00C34658">
      <w:pPr>
        <w:pStyle w:val="Heading2"/>
        <w:numPr>
          <w:ilvl w:val="1"/>
          <w:numId w:val="16"/>
        </w:numPr>
      </w:pPr>
      <w:bookmarkStart w:id="471" w:name="_Toc396573826"/>
      <w:bookmarkStart w:id="472" w:name="_Toc399623724"/>
      <w:bookmarkStart w:id="473" w:name="_Toc453367603"/>
      <w:bookmarkStart w:id="474" w:name="_Toc457603940"/>
      <w:r w:rsidRPr="00E34329">
        <w:t>ENERGY AVAILABILITY</w:t>
      </w:r>
      <w:bookmarkEnd w:id="471"/>
      <w:bookmarkEnd w:id="472"/>
      <w:bookmarkEnd w:id="473"/>
      <w:bookmarkEnd w:id="474"/>
    </w:p>
    <w:p w:rsidR="00D5771F" w:rsidRDefault="00E34329">
      <w:pPr>
        <w:pStyle w:val="Heading3"/>
        <w:tabs>
          <w:tab w:val="clear" w:pos="720"/>
        </w:tabs>
        <w:spacing w:after="240"/>
        <w:ind w:left="993" w:hanging="993"/>
        <w:rPr>
          <w:rFonts w:asciiTheme="minorHAnsi" w:hAnsiTheme="minorHAnsi"/>
        </w:rPr>
      </w:pPr>
      <w:bookmarkStart w:id="475" w:name="_Toc357349059"/>
      <w:bookmarkStart w:id="476" w:name="_Toc357356112"/>
      <w:r w:rsidRPr="00E34329">
        <w:rPr>
          <w:rFonts w:asciiTheme="minorHAnsi" w:hAnsiTheme="minorHAnsi"/>
        </w:rPr>
        <w:t xml:space="preserve">Clause 3.4 of the Distribution Tariff Regulations, 2006 specifies that the power requirement for the Distribution Licensee for sale to its consumers shall be </w:t>
      </w:r>
      <w:r w:rsidRPr="00E34329">
        <w:rPr>
          <w:rFonts w:asciiTheme="minorHAnsi" w:hAnsiTheme="minorHAnsi"/>
        </w:rPr>
        <w:lastRenderedPageBreak/>
        <w:t>estimated based on the approved sales, approved transmission losses and distribution losses for the tariff year.</w:t>
      </w:r>
      <w:bookmarkEnd w:id="475"/>
      <w:bookmarkEnd w:id="476"/>
    </w:p>
    <w:p w:rsidR="00D5771F" w:rsidRDefault="00E34329">
      <w:pPr>
        <w:pStyle w:val="Heading3"/>
        <w:tabs>
          <w:tab w:val="clear" w:pos="720"/>
        </w:tabs>
        <w:spacing w:after="240"/>
        <w:ind w:left="993" w:hanging="993"/>
        <w:rPr>
          <w:rFonts w:asciiTheme="minorHAnsi" w:hAnsiTheme="minorHAnsi"/>
        </w:rPr>
      </w:pPr>
      <w:bookmarkStart w:id="477" w:name="_Toc357349060"/>
      <w:bookmarkStart w:id="478" w:name="_Toc357356113"/>
      <w:r w:rsidRPr="00E34329">
        <w:rPr>
          <w:rFonts w:asciiTheme="minorHAnsi" w:hAnsiTheme="minorHAnsi"/>
        </w:rPr>
        <w:t>The Licensees submitted a detailed power purchase plan for FY 2016-17 in its ARR Petitions. The Distribution Licensees have submitted that the energy requirement for FY 2016-17is 1,19,020 MU, and the same has to be procured from the existing resources (State, Central and IPP / Joint Venture generating Stations) with whom the Distribution Licensees have PPAs. If these sources fail to supply the requisite amount of energy, the balance energy will be procured through energy exchanges / UI / short-term contracts with trading companies and utilities, which are having extra power and from other sources as well. A marginal amount of energy has been envisaged to be obtained from energy exchanges to manage the energy requirement during peak hours.</w:t>
      </w:r>
      <w:r w:rsidRPr="00E34329">
        <w:rPr>
          <w:rFonts w:asciiTheme="minorHAnsi" w:hAnsiTheme="minorHAnsi"/>
        </w:rPr>
        <w:tab/>
      </w:r>
      <w:r w:rsidRPr="00E34329">
        <w:rPr>
          <w:rFonts w:asciiTheme="minorHAnsi" w:hAnsiTheme="minorHAnsi"/>
        </w:rPr>
        <w:tab/>
      </w:r>
    </w:p>
    <w:p w:rsidR="00D5771F" w:rsidRDefault="00E34329">
      <w:pPr>
        <w:pStyle w:val="Heading3"/>
        <w:tabs>
          <w:tab w:val="clear" w:pos="720"/>
        </w:tabs>
        <w:spacing w:after="240"/>
        <w:ind w:left="993" w:hanging="993"/>
        <w:rPr>
          <w:rFonts w:asciiTheme="minorHAnsi" w:hAnsiTheme="minorHAnsi" w:cstheme="minorHAnsi"/>
        </w:rPr>
      </w:pPr>
      <w:bookmarkStart w:id="479" w:name="_Toc357349062"/>
      <w:bookmarkStart w:id="480" w:name="_Toc357356115"/>
      <w:bookmarkEnd w:id="477"/>
      <w:bookmarkEnd w:id="478"/>
      <w:r w:rsidRPr="00E34329">
        <w:rPr>
          <w:rFonts w:asciiTheme="minorHAnsi" w:hAnsiTheme="minorHAnsi"/>
        </w:rPr>
        <w:t xml:space="preserve">For precisely projecting the power purchase quantum and cost for the ensuing year, the Commission in its deficiency note had sought the source-wise details of the actual power purchased during FY 2013-14 , FY 2014-15 &amp; FY 2015-16 (till December) in a specified format. The Commission in the said format sought month-wise power purchase details including quantum, Fixed Charges, Energy Charges, other charges, PLF, Availability, etc. </w:t>
      </w:r>
      <w:r w:rsidRPr="00E34329">
        <w:rPr>
          <w:rFonts w:asciiTheme="minorHAnsi" w:hAnsiTheme="minorHAnsi" w:cstheme="minorHAnsi"/>
        </w:rPr>
        <w:t>The Commission provisionally admitted the Petitions with the direction that the Petitioner should submit the power purchase details at the earliest. The Distribution Licensees vide their reply dated March 9, 2016 submitted the source wise power purchase details for FY 2013-14 (up to March, 2014). The Petitioner vide its letter dated June 6, 2016 submitted the source wise power purchase data for the year 2015 and the subsidy details for FY 2013-14 to FY 2016-17. Further,</w:t>
      </w:r>
      <w:r w:rsidRPr="00E34329">
        <w:rPr>
          <w:rFonts w:asciiTheme="minorHAnsi" w:hAnsiTheme="minorHAnsi"/>
        </w:rPr>
        <w:t xml:space="preserve"> the Petitioner vide its letter dated June 17, 2016 submitted that it has already provided the power purchase details for FY 2012-13, FY 2014-15 &amp; FY 2015-16 (upto Dec. 2015) to the Commission under previous proceedings. However, the Commission has observed that the power purchase details submitted are not in the specified format.</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 xml:space="preserve">Further the Commission has considered the data in respect of power procurement plan provided in the ARR / Tariff Petition for FY 2016-17 and the details provided, as it is the most relevant data available for projecting the power purchase cost for FY 2016-17. Suitable modifications, wherever deemed necessary, have been made by the Commission to arrive at the approved power purchase cost for FY 2016-17. </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lastRenderedPageBreak/>
        <w:t>The Commission has also run the merit order dispatch schedule for power purchase for FY 2016-17 after considering the availability of power and sales trend projected for the Licensee. The final merit order dispatch showing the approved power purchase quantum by the Commission for FY 2016-17 has been provided subsequently.</w:t>
      </w:r>
      <w:bookmarkEnd w:id="479"/>
      <w:bookmarkEnd w:id="480"/>
    </w:p>
    <w:p w:rsidR="00D5771F" w:rsidRDefault="00E34329">
      <w:pPr>
        <w:pStyle w:val="Heading3"/>
        <w:tabs>
          <w:tab w:val="clear" w:pos="720"/>
        </w:tabs>
        <w:spacing w:after="240"/>
        <w:ind w:left="993" w:hanging="993"/>
        <w:rPr>
          <w:rFonts w:asciiTheme="minorHAnsi" w:hAnsiTheme="minorHAnsi"/>
        </w:rPr>
      </w:pPr>
      <w:bookmarkStart w:id="481" w:name="_Toc357349063"/>
      <w:bookmarkStart w:id="482" w:name="_Toc357356116"/>
      <w:r w:rsidRPr="00E34329">
        <w:rPr>
          <w:rFonts w:asciiTheme="minorHAnsi" w:hAnsiTheme="minorHAnsi"/>
        </w:rPr>
        <w:t>Since, the power purchase expense is the largest component in the ARR of a Distribution Licensee; it becomes imperative that this element of cost is incurred with utmost care based on the most efficient way of power procurement from the generating stations through long-term / short-term power purchase arrangements, through bilateral power purchase agreements or Power Exchange etc. trying to replace expensive power with cheaper power whenever possible. Power Purchase cost being an un-controllable component of the ARR, the Distribution Tariff Regulations, 2006 provide for the Fuel and Power Purchase Cost Adjustment (FPPCA) formula, which enables the Distribution Licensee to claim legitimate variances on account of power purchase cost.</w:t>
      </w:r>
      <w:bookmarkEnd w:id="481"/>
      <w:bookmarkEnd w:id="482"/>
    </w:p>
    <w:p w:rsidR="006C63AF" w:rsidRDefault="006C63AF" w:rsidP="006C63AF">
      <w:pPr>
        <w:pStyle w:val="Heading2"/>
        <w:numPr>
          <w:ilvl w:val="0"/>
          <w:numId w:val="0"/>
        </w:numPr>
        <w:spacing w:before="0"/>
        <w:ind w:left="780"/>
      </w:pPr>
    </w:p>
    <w:p w:rsidR="0022732D" w:rsidRPr="00BB5484" w:rsidRDefault="0022732D" w:rsidP="00C34658">
      <w:pPr>
        <w:pStyle w:val="Heading2"/>
        <w:numPr>
          <w:ilvl w:val="0"/>
          <w:numId w:val="0"/>
        </w:numPr>
        <w:ind w:left="780"/>
      </w:pPr>
    </w:p>
    <w:p w:rsidR="00C34658" w:rsidRPr="00BB5484" w:rsidRDefault="00E34329" w:rsidP="00C34658">
      <w:pPr>
        <w:pStyle w:val="Heading2"/>
        <w:numPr>
          <w:ilvl w:val="1"/>
          <w:numId w:val="16"/>
        </w:numPr>
      </w:pPr>
      <w:bookmarkStart w:id="483" w:name="_Toc325475521"/>
      <w:bookmarkStart w:id="484" w:name="_Toc356322589"/>
      <w:bookmarkStart w:id="485" w:name="_Toc357720871"/>
      <w:bookmarkStart w:id="486" w:name="_Toc396573827"/>
      <w:bookmarkStart w:id="487" w:name="_Toc399623725"/>
      <w:bookmarkStart w:id="488" w:name="_Toc453367604"/>
      <w:bookmarkStart w:id="489" w:name="_Toc457603941"/>
      <w:r w:rsidRPr="00E34329">
        <w:t>POWER PROCUREMENT FROM STATE GENERATING STATIONS</w:t>
      </w:r>
      <w:bookmarkEnd w:id="483"/>
      <w:bookmarkEnd w:id="484"/>
      <w:bookmarkEnd w:id="485"/>
      <w:bookmarkEnd w:id="486"/>
      <w:bookmarkEnd w:id="487"/>
      <w:bookmarkEnd w:id="488"/>
      <w:bookmarkEnd w:id="489"/>
    </w:p>
    <w:p w:rsidR="00C34658" w:rsidRPr="00BB5484" w:rsidRDefault="00E34329" w:rsidP="00C34658">
      <w:pPr>
        <w:pStyle w:val="Heading3"/>
        <w:numPr>
          <w:ilvl w:val="0"/>
          <w:numId w:val="0"/>
        </w:numPr>
        <w:ind w:left="90"/>
        <w:rPr>
          <w:rFonts w:asciiTheme="minorHAnsi" w:hAnsiTheme="minorHAnsi"/>
          <w:b/>
        </w:rPr>
      </w:pPr>
      <w:r w:rsidRPr="00E34329">
        <w:rPr>
          <w:rFonts w:asciiTheme="minorHAnsi" w:hAnsiTheme="minorHAnsi"/>
          <w:b/>
        </w:rPr>
        <w:t>The Licensees’ Submission:</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 xml:space="preserve">Distribution Licensees submitted that the State of Uttar Pradesh has got both Thermal as well as Hydro generating stations. UPRVUNL owns all the thermal generating stations within the State and the hydro stations are owned by UPJVNL. The Multi Year Tariff (MYT) </w:t>
      </w:r>
      <w:r w:rsidRPr="00E34329">
        <w:rPr>
          <w:rFonts w:asciiTheme="minorHAnsi" w:hAnsiTheme="minorHAnsi" w:cs="Calibri"/>
          <w:bCs w:val="0"/>
        </w:rPr>
        <w:t>Petitions filed by the UPRVUNL before the Commission and the UPERC (Terms and Conditions of Generation Tariff) Regulations, 2014</w:t>
      </w:r>
      <w:r w:rsidRPr="00E34329">
        <w:rPr>
          <w:rFonts w:asciiTheme="minorHAnsi" w:hAnsiTheme="minorHAnsi"/>
        </w:rPr>
        <w:t xml:space="preserve"> form the basis for determining the costs for FY 2015-16 and thereafter escalations have been considered in the Fixed and energy Charges for determination of cost for FY 2016-17. </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 xml:space="preserve">Distribution Licensees submitted that the cost of energy available from State Thermal and Hydro generating stations has been derived from the tariff </w:t>
      </w:r>
      <w:r w:rsidRPr="00E34329">
        <w:rPr>
          <w:rFonts w:asciiTheme="minorHAnsi" w:hAnsiTheme="minorHAnsi" w:cs="Calibri"/>
          <w:bCs w:val="0"/>
        </w:rPr>
        <w:t>petitions filed by the UPRVUNL before the Commission and the UPERC (Terms and Conditions of Generation Tariff) Regulations 2014. Additionally, the Petitioner has also submitted to have considered the actual energy bills for the period April, 2015 to September, 2015.</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lastRenderedPageBreak/>
        <w:t>The major assumptions considered by the Distribution Licensees while projecting the power purchase from the State owned Thermal generating stations and Hydro stations are shown in the Tables below:</w:t>
      </w:r>
    </w:p>
    <w:p w:rsidR="00C34658" w:rsidRPr="00BB5484" w:rsidRDefault="00E34329" w:rsidP="00C34658">
      <w:pPr>
        <w:spacing w:before="0"/>
        <w:jc w:val="center"/>
        <w:rPr>
          <w:rFonts w:asciiTheme="minorHAnsi" w:hAnsiTheme="minorHAnsi" w:cs="Calibri"/>
          <w:b/>
          <w:sz w:val="22"/>
          <w:szCs w:val="22"/>
          <w:lang w:val="en-US"/>
        </w:rPr>
      </w:pPr>
      <w:bookmarkStart w:id="490" w:name="_Toc395657933"/>
      <w:bookmarkStart w:id="491" w:name="_Toc396573984"/>
      <w:bookmarkStart w:id="492" w:name="_Toc399624085"/>
      <w:bookmarkStart w:id="493" w:name="_Toc453367665"/>
      <w:bookmarkStart w:id="494" w:name="_Toc357719704"/>
      <w:bookmarkStart w:id="495" w:name="_Toc457604034"/>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18</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ASSUMPTIONS FOR POWER PURCHASE FROM UPRVUNL AS CONSIDERED BY THE DISTRIBUTION LICENSEES</w:t>
      </w:r>
      <w:bookmarkEnd w:id="490"/>
      <w:bookmarkEnd w:id="491"/>
      <w:bookmarkEnd w:id="492"/>
      <w:bookmarkEnd w:id="493"/>
      <w:bookmarkEnd w:id="494"/>
      <w:bookmarkEnd w:id="495"/>
    </w:p>
    <w:tbl>
      <w:tblPr>
        <w:tblW w:w="9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06"/>
        <w:gridCol w:w="1470"/>
        <w:gridCol w:w="7436"/>
      </w:tblGrid>
      <w:tr w:rsidR="00C34658" w:rsidRPr="00BB5484" w:rsidTr="008334E8">
        <w:trPr>
          <w:tblHeader/>
        </w:trPr>
        <w:tc>
          <w:tcPr>
            <w:tcW w:w="906" w:type="dxa"/>
            <w:shd w:val="clear" w:color="auto" w:fill="DBE5F1"/>
          </w:tcPr>
          <w:p w:rsidR="00337C98" w:rsidRDefault="00E34329" w:rsidP="00337C98">
            <w:pPr>
              <w:spacing w:before="0" w:line="240" w:lineRule="auto"/>
              <w:jc w:val="center"/>
              <w:rPr>
                <w:rFonts w:asciiTheme="minorHAnsi" w:hAnsiTheme="minorHAnsi"/>
                <w:b/>
                <w:sz w:val="22"/>
                <w:szCs w:val="22"/>
              </w:rPr>
            </w:pPr>
            <w:r w:rsidRPr="00E34329">
              <w:rPr>
                <w:rFonts w:asciiTheme="minorHAnsi" w:hAnsiTheme="minorHAnsi"/>
                <w:b/>
                <w:sz w:val="22"/>
                <w:szCs w:val="22"/>
              </w:rPr>
              <w:t>S. No.</w:t>
            </w:r>
          </w:p>
        </w:tc>
        <w:tc>
          <w:tcPr>
            <w:tcW w:w="1470" w:type="dxa"/>
            <w:shd w:val="clear" w:color="auto" w:fill="DBE5F1"/>
          </w:tcPr>
          <w:p w:rsidR="00337C98" w:rsidRDefault="00E34329" w:rsidP="00337C98">
            <w:pPr>
              <w:spacing w:before="0" w:line="240" w:lineRule="auto"/>
              <w:jc w:val="center"/>
              <w:rPr>
                <w:rFonts w:asciiTheme="minorHAnsi" w:hAnsiTheme="minorHAnsi"/>
                <w:b/>
                <w:sz w:val="22"/>
                <w:szCs w:val="22"/>
              </w:rPr>
            </w:pPr>
            <w:r w:rsidRPr="00E34329">
              <w:rPr>
                <w:rFonts w:asciiTheme="minorHAnsi" w:hAnsiTheme="minorHAnsi"/>
                <w:b/>
                <w:sz w:val="22"/>
                <w:szCs w:val="22"/>
              </w:rPr>
              <w:t>Particulars</w:t>
            </w:r>
          </w:p>
        </w:tc>
        <w:tc>
          <w:tcPr>
            <w:tcW w:w="7436" w:type="dxa"/>
            <w:shd w:val="clear" w:color="auto" w:fill="DBE5F1"/>
          </w:tcPr>
          <w:p w:rsidR="00337C98" w:rsidRDefault="00E34329" w:rsidP="00337C98">
            <w:pPr>
              <w:spacing w:before="0" w:line="240" w:lineRule="auto"/>
              <w:jc w:val="center"/>
              <w:rPr>
                <w:rFonts w:asciiTheme="minorHAnsi" w:hAnsiTheme="minorHAnsi"/>
                <w:b/>
                <w:sz w:val="22"/>
                <w:szCs w:val="22"/>
              </w:rPr>
            </w:pPr>
            <w:r w:rsidRPr="00E34329">
              <w:rPr>
                <w:rFonts w:asciiTheme="minorHAnsi" w:hAnsiTheme="minorHAnsi"/>
                <w:b/>
                <w:sz w:val="22"/>
                <w:szCs w:val="22"/>
              </w:rPr>
              <w:t>Assumption</w:t>
            </w:r>
          </w:p>
        </w:tc>
      </w:tr>
      <w:tr w:rsidR="00C34658" w:rsidRPr="00BB5484" w:rsidTr="00D55642">
        <w:tc>
          <w:tcPr>
            <w:tcW w:w="906" w:type="dxa"/>
          </w:tcPr>
          <w:p w:rsidR="00337C98" w:rsidRDefault="00E34329" w:rsidP="00337C98">
            <w:pPr>
              <w:spacing w:before="0" w:line="240" w:lineRule="auto"/>
              <w:rPr>
                <w:rFonts w:asciiTheme="minorHAnsi" w:hAnsiTheme="minorHAnsi"/>
                <w:sz w:val="22"/>
                <w:szCs w:val="22"/>
              </w:rPr>
            </w:pPr>
            <w:r w:rsidRPr="00E34329">
              <w:rPr>
                <w:rFonts w:asciiTheme="minorHAnsi" w:hAnsiTheme="minorHAnsi" w:cs="Calibri"/>
                <w:sz w:val="22"/>
                <w:szCs w:val="22"/>
                <w:lang w:val="en-IN" w:eastAsia="en-IN"/>
              </w:rPr>
              <w:t>1</w:t>
            </w:r>
          </w:p>
        </w:tc>
        <w:tc>
          <w:tcPr>
            <w:tcW w:w="1470" w:type="dxa"/>
          </w:tcPr>
          <w:p w:rsidR="00337C98" w:rsidRDefault="00E34329" w:rsidP="00337C98">
            <w:pPr>
              <w:spacing w:before="0" w:line="240" w:lineRule="auto"/>
              <w:rPr>
                <w:rFonts w:asciiTheme="minorHAnsi" w:hAnsiTheme="minorHAnsi"/>
                <w:sz w:val="22"/>
                <w:szCs w:val="22"/>
              </w:rPr>
            </w:pPr>
            <w:r w:rsidRPr="00E34329">
              <w:rPr>
                <w:rFonts w:asciiTheme="minorHAnsi" w:hAnsiTheme="minorHAnsi" w:cs="Calibri"/>
                <w:bCs/>
                <w:sz w:val="22"/>
                <w:szCs w:val="22"/>
                <w:lang w:val="en-IN" w:eastAsia="en-IN"/>
              </w:rPr>
              <w:t>Power Purchase Quantum</w:t>
            </w:r>
          </w:p>
        </w:tc>
        <w:tc>
          <w:tcPr>
            <w:tcW w:w="7436" w:type="dxa"/>
            <w:shd w:val="clear" w:color="auto" w:fill="auto"/>
          </w:tcPr>
          <w:p w:rsidR="00337C98" w:rsidRDefault="00E34329" w:rsidP="00337C98">
            <w:pPr>
              <w:spacing w:before="0" w:line="240" w:lineRule="auto"/>
              <w:rPr>
                <w:rFonts w:asciiTheme="minorHAnsi" w:hAnsiTheme="minorHAnsi" w:cs="Calibri"/>
                <w:sz w:val="22"/>
                <w:szCs w:val="22"/>
                <w:lang w:val="en-IN" w:eastAsia="en-IN"/>
              </w:rPr>
            </w:pPr>
            <w:r w:rsidRPr="00E34329">
              <w:rPr>
                <w:rFonts w:asciiTheme="minorHAnsi" w:hAnsiTheme="minorHAnsi" w:cs="Calibri"/>
                <w:sz w:val="22"/>
                <w:szCs w:val="22"/>
                <w:lang w:val="en-IN" w:eastAsia="en-IN"/>
              </w:rPr>
              <w:t>Net Power Purchase Quantum is considered based on the Actual Availability for FY 2014-15 for all power stations. Further current trends in FY 2015-16 have also been considered. Additionally the fact that some of the units are under R&amp;M and will soon be commissioning again has been duly accounted for. Unit #1 of Anpara D has been synchronised and is expected to be commissioned in January 2016.</w:t>
            </w:r>
          </w:p>
          <w:p w:rsidR="00337C98" w:rsidRDefault="00E34329" w:rsidP="00337C98">
            <w:pPr>
              <w:spacing w:before="0" w:line="240" w:lineRule="auto"/>
              <w:rPr>
                <w:rFonts w:asciiTheme="minorHAnsi" w:hAnsiTheme="minorHAnsi" w:cs="Calibri"/>
                <w:sz w:val="22"/>
                <w:szCs w:val="22"/>
                <w:lang w:val="en-IN" w:eastAsia="en-IN"/>
              </w:rPr>
            </w:pPr>
            <w:r w:rsidRPr="00E34329">
              <w:rPr>
                <w:rFonts w:asciiTheme="minorHAnsi" w:hAnsiTheme="minorHAnsi" w:cs="Calibri"/>
                <w:sz w:val="22"/>
                <w:szCs w:val="22"/>
                <w:lang w:val="en-IN" w:eastAsia="en-IN"/>
              </w:rPr>
              <w:t>Merit Order Despatch is Must-run for approval of quantum.</w:t>
            </w:r>
          </w:p>
          <w:p w:rsidR="00337C98" w:rsidRDefault="00337C98" w:rsidP="00337C98">
            <w:pPr>
              <w:tabs>
                <w:tab w:val="left" w:pos="720"/>
              </w:tabs>
              <w:spacing w:before="0" w:line="240" w:lineRule="auto"/>
              <w:ind w:left="993"/>
              <w:outlineLvl w:val="2"/>
              <w:rPr>
                <w:rFonts w:asciiTheme="minorHAnsi" w:hAnsiTheme="minorHAnsi" w:cs="Arial"/>
                <w:bCs/>
                <w:sz w:val="22"/>
                <w:szCs w:val="22"/>
              </w:rPr>
            </w:pPr>
          </w:p>
        </w:tc>
      </w:tr>
      <w:tr w:rsidR="00C34658" w:rsidRPr="00BB5484" w:rsidTr="0000599F">
        <w:trPr>
          <w:trHeight w:val="566"/>
        </w:trPr>
        <w:tc>
          <w:tcPr>
            <w:tcW w:w="906" w:type="dxa"/>
            <w:vAlign w:val="center"/>
          </w:tcPr>
          <w:p w:rsidR="00337C98" w:rsidRDefault="00E34329" w:rsidP="00337C98">
            <w:pPr>
              <w:spacing w:before="0" w:line="240" w:lineRule="auto"/>
              <w:rPr>
                <w:rFonts w:asciiTheme="minorHAnsi" w:hAnsiTheme="minorHAnsi"/>
                <w:sz w:val="22"/>
                <w:szCs w:val="22"/>
              </w:rPr>
            </w:pPr>
            <w:r w:rsidRPr="00E34329">
              <w:rPr>
                <w:rFonts w:asciiTheme="minorHAnsi" w:hAnsiTheme="minorHAnsi"/>
                <w:sz w:val="22"/>
                <w:szCs w:val="22"/>
              </w:rPr>
              <w:t>2</w:t>
            </w:r>
          </w:p>
        </w:tc>
        <w:tc>
          <w:tcPr>
            <w:tcW w:w="1470" w:type="dxa"/>
            <w:vAlign w:val="center"/>
          </w:tcPr>
          <w:p w:rsidR="00337C98" w:rsidRDefault="00E34329" w:rsidP="00337C98">
            <w:pPr>
              <w:spacing w:before="0" w:line="240" w:lineRule="auto"/>
              <w:rPr>
                <w:rFonts w:asciiTheme="minorHAnsi" w:hAnsiTheme="minorHAnsi"/>
                <w:sz w:val="22"/>
                <w:szCs w:val="22"/>
              </w:rPr>
            </w:pPr>
            <w:r w:rsidRPr="00E34329">
              <w:rPr>
                <w:rFonts w:asciiTheme="minorHAnsi" w:hAnsiTheme="minorHAnsi"/>
                <w:sz w:val="22"/>
                <w:szCs w:val="22"/>
              </w:rPr>
              <w:t>Fixed &amp; Variable Charges</w:t>
            </w:r>
          </w:p>
        </w:tc>
        <w:tc>
          <w:tcPr>
            <w:tcW w:w="7436" w:type="dxa"/>
            <w:vAlign w:val="center"/>
          </w:tcPr>
          <w:p w:rsidR="00337C98" w:rsidRDefault="00E34329" w:rsidP="00337C98">
            <w:pPr>
              <w:spacing w:before="0" w:line="240" w:lineRule="auto"/>
              <w:rPr>
                <w:rFonts w:asciiTheme="minorHAnsi" w:hAnsiTheme="minorHAnsi" w:cs="Calibri"/>
                <w:sz w:val="22"/>
                <w:szCs w:val="22"/>
                <w:lang w:val="en-IN" w:eastAsia="en-IN"/>
              </w:rPr>
            </w:pPr>
            <w:r w:rsidRPr="00E34329">
              <w:rPr>
                <w:rFonts w:asciiTheme="minorHAnsi" w:hAnsiTheme="minorHAnsi" w:cs="Calibri"/>
                <w:sz w:val="22"/>
                <w:szCs w:val="22"/>
                <w:lang w:val="en-IN" w:eastAsia="en-IN"/>
              </w:rPr>
              <w:t>Fixed Charges have been considered as per the MYT Petition filed by the UPRVUNL before the Commission. Additionally the improvement in norms and operation parameters along with other changes in cost parameters stipulated by the UPERC (Terms and Conditions of Generation Tariff) Regulations, 2014 have been duly considered while projecting the capacity and energy charges. Escalation in FY 2015-16 has been considered at 4% towards capacity charges.</w:t>
            </w:r>
          </w:p>
          <w:p w:rsidR="00337C98" w:rsidRDefault="00E34329" w:rsidP="00337C98">
            <w:pPr>
              <w:spacing w:before="0" w:line="240" w:lineRule="auto"/>
              <w:rPr>
                <w:rFonts w:asciiTheme="minorHAnsi" w:hAnsiTheme="minorHAnsi" w:cs="Calibri"/>
                <w:kern w:val="32"/>
                <w:sz w:val="22"/>
                <w:szCs w:val="22"/>
                <w:lang w:eastAsia="en-IN"/>
              </w:rPr>
            </w:pPr>
            <w:r w:rsidRPr="00E34329">
              <w:rPr>
                <w:rFonts w:asciiTheme="minorHAnsi" w:hAnsiTheme="minorHAnsi" w:cs="Calibri"/>
                <w:sz w:val="22"/>
                <w:szCs w:val="22"/>
                <w:lang w:val="en-IN" w:eastAsia="en-IN"/>
              </w:rPr>
              <w:t>The variable charges have been considered as per the actual bills raised by UPRVUNL for the period April to September, 2015 including the bills raised for Fuel Cost Adjustment.</w:t>
            </w:r>
          </w:p>
        </w:tc>
      </w:tr>
    </w:tbl>
    <w:p w:rsidR="00D5771F" w:rsidRDefault="00D5771F">
      <w:pPr>
        <w:spacing w:before="0"/>
        <w:rPr>
          <w:rFonts w:asciiTheme="minorHAnsi" w:hAnsiTheme="minorHAnsi" w:cs="Calibri"/>
          <w:b/>
          <w:sz w:val="22"/>
          <w:szCs w:val="22"/>
          <w:lang w:val="en-US"/>
        </w:rPr>
      </w:pPr>
      <w:bookmarkStart w:id="496" w:name="_Toc395657934"/>
      <w:bookmarkStart w:id="497" w:name="_Toc396573985"/>
      <w:bookmarkStart w:id="498" w:name="_Toc399624086"/>
    </w:p>
    <w:p w:rsidR="00C34658" w:rsidRPr="00BB5484" w:rsidRDefault="00E34329" w:rsidP="00C34658">
      <w:pPr>
        <w:spacing w:before="0"/>
        <w:jc w:val="center"/>
        <w:rPr>
          <w:rFonts w:asciiTheme="minorHAnsi" w:hAnsiTheme="minorHAnsi" w:cs="Calibri"/>
          <w:b/>
          <w:sz w:val="22"/>
          <w:szCs w:val="22"/>
          <w:lang w:val="en-US"/>
        </w:rPr>
      </w:pPr>
      <w:bookmarkStart w:id="499" w:name="_Toc453367666"/>
      <w:bookmarkStart w:id="500" w:name="_Toc457604035"/>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19</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ASSUMPTIONS FOR POWER PURCHASE FROM UPJVNL AS CONSIDERED BY THE DISTRIBUTION LICENSEES</w:t>
      </w:r>
      <w:bookmarkEnd w:id="496"/>
      <w:bookmarkEnd w:id="497"/>
      <w:bookmarkEnd w:id="498"/>
      <w:bookmarkEnd w:id="499"/>
      <w:bookmarkEnd w:id="500"/>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00"/>
        <w:gridCol w:w="1476"/>
        <w:gridCol w:w="7452"/>
      </w:tblGrid>
      <w:tr w:rsidR="00C34658" w:rsidRPr="00BB5484" w:rsidTr="008334E8">
        <w:trPr>
          <w:tblHeader/>
        </w:trPr>
        <w:tc>
          <w:tcPr>
            <w:tcW w:w="900" w:type="dxa"/>
            <w:shd w:val="clear" w:color="auto" w:fill="DBE5F1"/>
          </w:tcPr>
          <w:p w:rsidR="00337C98" w:rsidRDefault="00E34329" w:rsidP="00337C98">
            <w:pPr>
              <w:spacing w:before="0" w:line="240" w:lineRule="auto"/>
              <w:jc w:val="center"/>
              <w:rPr>
                <w:rFonts w:asciiTheme="minorHAnsi" w:hAnsiTheme="minorHAnsi"/>
                <w:b/>
                <w:sz w:val="22"/>
              </w:rPr>
            </w:pPr>
            <w:r w:rsidRPr="00E34329">
              <w:rPr>
                <w:rFonts w:asciiTheme="minorHAnsi" w:hAnsiTheme="minorHAnsi"/>
                <w:b/>
                <w:sz w:val="22"/>
              </w:rPr>
              <w:t>S. No.</w:t>
            </w:r>
          </w:p>
        </w:tc>
        <w:tc>
          <w:tcPr>
            <w:tcW w:w="1476" w:type="dxa"/>
            <w:shd w:val="clear" w:color="auto" w:fill="DBE5F1"/>
          </w:tcPr>
          <w:p w:rsidR="00337C98" w:rsidRDefault="00E34329" w:rsidP="00337C98">
            <w:pPr>
              <w:spacing w:before="0" w:line="240" w:lineRule="auto"/>
              <w:jc w:val="center"/>
              <w:rPr>
                <w:rFonts w:asciiTheme="minorHAnsi" w:hAnsiTheme="minorHAnsi"/>
                <w:b/>
                <w:sz w:val="22"/>
              </w:rPr>
            </w:pPr>
            <w:r w:rsidRPr="00E34329">
              <w:rPr>
                <w:rFonts w:asciiTheme="minorHAnsi" w:hAnsiTheme="minorHAnsi"/>
                <w:b/>
                <w:sz w:val="22"/>
              </w:rPr>
              <w:t>Particulars</w:t>
            </w:r>
          </w:p>
        </w:tc>
        <w:tc>
          <w:tcPr>
            <w:tcW w:w="7452" w:type="dxa"/>
            <w:shd w:val="clear" w:color="auto" w:fill="DBE5F1"/>
          </w:tcPr>
          <w:p w:rsidR="00337C98" w:rsidRDefault="00E34329" w:rsidP="00337C98">
            <w:pPr>
              <w:spacing w:before="0" w:line="240" w:lineRule="auto"/>
              <w:jc w:val="center"/>
              <w:rPr>
                <w:rFonts w:asciiTheme="minorHAnsi" w:hAnsiTheme="minorHAnsi"/>
                <w:b/>
                <w:sz w:val="22"/>
              </w:rPr>
            </w:pPr>
            <w:r w:rsidRPr="00E34329">
              <w:rPr>
                <w:rFonts w:asciiTheme="minorHAnsi" w:hAnsiTheme="minorHAnsi"/>
                <w:b/>
                <w:sz w:val="22"/>
              </w:rPr>
              <w:t>Assumption</w:t>
            </w:r>
          </w:p>
        </w:tc>
      </w:tr>
      <w:tr w:rsidR="00C34658" w:rsidRPr="00BB5484" w:rsidTr="00D55642">
        <w:tc>
          <w:tcPr>
            <w:tcW w:w="900" w:type="dxa"/>
          </w:tcPr>
          <w:p w:rsidR="00337C98" w:rsidRDefault="00E34329" w:rsidP="00337C98">
            <w:pPr>
              <w:spacing w:before="0" w:line="240" w:lineRule="auto"/>
              <w:rPr>
                <w:rFonts w:asciiTheme="minorHAnsi" w:hAnsiTheme="minorHAnsi"/>
                <w:sz w:val="22"/>
                <w:szCs w:val="18"/>
              </w:rPr>
            </w:pPr>
            <w:r w:rsidRPr="00E34329">
              <w:rPr>
                <w:rFonts w:asciiTheme="minorHAnsi" w:hAnsiTheme="minorHAnsi" w:cs="Calibri"/>
                <w:sz w:val="22"/>
                <w:lang w:val="en-IN" w:eastAsia="en-IN"/>
              </w:rPr>
              <w:t>1</w:t>
            </w:r>
          </w:p>
        </w:tc>
        <w:tc>
          <w:tcPr>
            <w:tcW w:w="1476" w:type="dxa"/>
          </w:tcPr>
          <w:p w:rsidR="00337C98" w:rsidRDefault="00E34329" w:rsidP="00337C98">
            <w:pPr>
              <w:spacing w:before="0" w:line="240" w:lineRule="auto"/>
              <w:rPr>
                <w:rFonts w:asciiTheme="minorHAnsi" w:hAnsiTheme="minorHAnsi"/>
                <w:sz w:val="22"/>
                <w:szCs w:val="18"/>
              </w:rPr>
            </w:pPr>
            <w:r w:rsidRPr="00E34329">
              <w:rPr>
                <w:rFonts w:asciiTheme="minorHAnsi" w:hAnsiTheme="minorHAnsi" w:cs="Calibri"/>
                <w:bCs/>
                <w:sz w:val="22"/>
                <w:lang w:val="en-IN" w:eastAsia="en-IN"/>
              </w:rPr>
              <w:t>Power Purchase Quantum</w:t>
            </w:r>
          </w:p>
        </w:tc>
        <w:tc>
          <w:tcPr>
            <w:tcW w:w="7452" w:type="dxa"/>
          </w:tcPr>
          <w:p w:rsidR="00337C98" w:rsidRDefault="00E34329" w:rsidP="00337C98">
            <w:pPr>
              <w:pStyle w:val="ListParagraph"/>
              <w:numPr>
                <w:ilvl w:val="1"/>
                <w:numId w:val="70"/>
              </w:numPr>
              <w:spacing w:before="0" w:line="240" w:lineRule="auto"/>
              <w:ind w:left="318"/>
              <w:rPr>
                <w:rFonts w:asciiTheme="minorHAnsi" w:hAnsiTheme="minorHAnsi" w:cs="Calibri"/>
                <w:sz w:val="22"/>
                <w:szCs w:val="18"/>
                <w:lang w:val="en-IN" w:eastAsia="en-IN"/>
              </w:rPr>
            </w:pPr>
            <w:r w:rsidRPr="00E34329">
              <w:rPr>
                <w:rFonts w:asciiTheme="minorHAnsi" w:hAnsiTheme="minorHAnsi" w:cs="Calibri"/>
                <w:sz w:val="22"/>
                <w:lang w:val="en-IN" w:eastAsia="en-IN"/>
              </w:rPr>
              <w:t>Net Power Purchase Quantum form all power stations except Belka &amp; Babail is considered as per UPERC MYT Tariff Order dated 20.10.2011 for UPJVNL for FY 2009-10 to 2013-14. It is pertinent to mention that UPJVNL has still not filed its MYT Petition for FY 2014-19 tariff period.</w:t>
            </w:r>
          </w:p>
          <w:p w:rsidR="00337C98" w:rsidRDefault="00E34329" w:rsidP="00337C98">
            <w:pPr>
              <w:pStyle w:val="ListParagraph"/>
              <w:numPr>
                <w:ilvl w:val="1"/>
                <w:numId w:val="70"/>
              </w:numPr>
              <w:spacing w:before="0" w:line="240" w:lineRule="auto"/>
              <w:ind w:left="318"/>
              <w:rPr>
                <w:rFonts w:asciiTheme="minorHAnsi" w:hAnsiTheme="minorHAnsi" w:cs="Calibri"/>
                <w:sz w:val="22"/>
                <w:szCs w:val="18"/>
                <w:lang w:val="en-IN" w:eastAsia="en-IN"/>
              </w:rPr>
            </w:pPr>
            <w:r w:rsidRPr="00E34329">
              <w:rPr>
                <w:rFonts w:asciiTheme="minorHAnsi" w:hAnsiTheme="minorHAnsi" w:cs="Calibri"/>
                <w:sz w:val="22"/>
                <w:lang w:val="en-IN" w:eastAsia="en-IN"/>
              </w:rPr>
              <w:t>Net Power Purchase from Belka &amp; Babail is taken as per the recent bills.</w:t>
            </w:r>
          </w:p>
          <w:p w:rsidR="00337C98" w:rsidRDefault="00E34329" w:rsidP="00337C98">
            <w:pPr>
              <w:pStyle w:val="ListParagraph"/>
              <w:numPr>
                <w:ilvl w:val="1"/>
                <w:numId w:val="70"/>
              </w:numPr>
              <w:spacing w:before="0" w:line="240" w:lineRule="auto"/>
              <w:ind w:left="318"/>
              <w:rPr>
                <w:rFonts w:asciiTheme="minorHAnsi" w:hAnsiTheme="minorHAnsi"/>
                <w:sz w:val="22"/>
                <w:szCs w:val="18"/>
              </w:rPr>
            </w:pPr>
            <w:r w:rsidRPr="00E34329">
              <w:rPr>
                <w:rFonts w:asciiTheme="minorHAnsi" w:hAnsiTheme="minorHAnsi" w:cs="Calibri"/>
                <w:sz w:val="22"/>
                <w:lang w:val="en-IN" w:eastAsia="en-IN"/>
              </w:rPr>
              <w:t>Hydro Stations are considered Must-run in Merit Order Despatch</w:t>
            </w:r>
          </w:p>
        </w:tc>
      </w:tr>
      <w:tr w:rsidR="00C34658" w:rsidRPr="00BB5484" w:rsidTr="00D55642">
        <w:tc>
          <w:tcPr>
            <w:tcW w:w="900" w:type="dxa"/>
            <w:vAlign w:val="center"/>
          </w:tcPr>
          <w:p w:rsidR="00337C98" w:rsidRDefault="00E34329" w:rsidP="00337C98">
            <w:pPr>
              <w:spacing w:before="0" w:line="240" w:lineRule="auto"/>
              <w:rPr>
                <w:rFonts w:asciiTheme="minorHAnsi" w:hAnsiTheme="minorHAnsi"/>
                <w:sz w:val="22"/>
                <w:szCs w:val="18"/>
              </w:rPr>
            </w:pPr>
            <w:r w:rsidRPr="00E34329">
              <w:rPr>
                <w:rFonts w:asciiTheme="minorHAnsi" w:hAnsiTheme="minorHAnsi"/>
                <w:sz w:val="22"/>
              </w:rPr>
              <w:t>2</w:t>
            </w:r>
          </w:p>
        </w:tc>
        <w:tc>
          <w:tcPr>
            <w:tcW w:w="1476" w:type="dxa"/>
            <w:vAlign w:val="center"/>
          </w:tcPr>
          <w:p w:rsidR="00337C98" w:rsidRDefault="00E34329" w:rsidP="00337C98">
            <w:pPr>
              <w:spacing w:before="0" w:line="240" w:lineRule="auto"/>
              <w:rPr>
                <w:rFonts w:asciiTheme="minorHAnsi" w:hAnsiTheme="minorHAnsi"/>
                <w:sz w:val="22"/>
                <w:szCs w:val="18"/>
              </w:rPr>
            </w:pPr>
            <w:r w:rsidRPr="00E34329">
              <w:rPr>
                <w:rFonts w:asciiTheme="minorHAnsi" w:hAnsiTheme="minorHAnsi"/>
                <w:sz w:val="22"/>
              </w:rPr>
              <w:t>Fixed &amp; Variable Charges</w:t>
            </w:r>
          </w:p>
        </w:tc>
        <w:tc>
          <w:tcPr>
            <w:tcW w:w="7452" w:type="dxa"/>
            <w:vAlign w:val="center"/>
          </w:tcPr>
          <w:p w:rsidR="00337C98" w:rsidRDefault="00E34329" w:rsidP="00337C98">
            <w:pPr>
              <w:spacing w:before="0" w:line="240" w:lineRule="auto"/>
              <w:rPr>
                <w:rFonts w:asciiTheme="minorHAnsi" w:hAnsiTheme="minorHAnsi"/>
                <w:sz w:val="22"/>
                <w:szCs w:val="18"/>
              </w:rPr>
            </w:pPr>
            <w:r w:rsidRPr="00E34329">
              <w:rPr>
                <w:rFonts w:asciiTheme="minorHAnsi" w:hAnsiTheme="minorHAnsi" w:cs="Calibri"/>
                <w:sz w:val="22"/>
                <w:lang w:val="en-IN" w:eastAsia="en-IN"/>
              </w:rPr>
              <w:t>The same have been considered as per the actual bills raised by UPJNL for the period April, 2015 to September, 2015.</w:t>
            </w:r>
          </w:p>
        </w:tc>
      </w:tr>
    </w:tbl>
    <w:p w:rsidR="00337C98" w:rsidRDefault="00337C98" w:rsidP="00337C98">
      <w:pPr>
        <w:pStyle w:val="Heading3"/>
        <w:numPr>
          <w:ilvl w:val="0"/>
          <w:numId w:val="0"/>
        </w:numPr>
        <w:tabs>
          <w:tab w:val="clear" w:pos="720"/>
        </w:tabs>
        <w:spacing w:before="0" w:after="240"/>
        <w:ind w:left="993"/>
        <w:rPr>
          <w:rFonts w:asciiTheme="minorHAnsi" w:hAnsiTheme="minorHAnsi"/>
        </w:rPr>
      </w:pP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Considering the above, the power purchase quantum and cost as projected by the Distribution Licensees from State Thermal and Hydro Generating Stations for FY 2016-17 is as shown in the Tables below:</w:t>
      </w:r>
    </w:p>
    <w:p w:rsidR="00C34658" w:rsidRPr="00BB5484" w:rsidRDefault="00E34329" w:rsidP="00C34658">
      <w:pPr>
        <w:keepNext/>
        <w:spacing w:before="0"/>
        <w:jc w:val="center"/>
        <w:rPr>
          <w:rFonts w:asciiTheme="minorHAnsi" w:hAnsiTheme="minorHAnsi" w:cs="Calibri"/>
          <w:b/>
          <w:sz w:val="22"/>
          <w:szCs w:val="22"/>
          <w:lang w:val="en-US"/>
        </w:rPr>
      </w:pPr>
      <w:bookmarkStart w:id="501" w:name="_Toc357719702"/>
      <w:bookmarkStart w:id="502" w:name="_Toc395657935"/>
      <w:bookmarkStart w:id="503" w:name="_Toc396573986"/>
      <w:bookmarkStart w:id="504" w:name="_Toc399624087"/>
      <w:bookmarkStart w:id="505" w:name="_Toc453367667"/>
      <w:bookmarkStart w:id="506" w:name="_Toc457604036"/>
      <w:r w:rsidRPr="00E34329">
        <w:rPr>
          <w:rFonts w:asciiTheme="minorHAnsi" w:hAnsiTheme="minorHAnsi" w:cs="Calibri"/>
          <w:b/>
          <w:sz w:val="22"/>
          <w:szCs w:val="22"/>
          <w:lang w:val="en-US"/>
        </w:rPr>
        <w:lastRenderedPageBreak/>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20</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DETAILS OF POWER PURCHASE COST FROM UPRVUNL STATIONS FOR FY</w:t>
      </w:r>
      <w:bookmarkEnd w:id="501"/>
      <w:r w:rsidRPr="00E34329">
        <w:rPr>
          <w:rFonts w:asciiTheme="minorHAnsi" w:hAnsiTheme="minorHAnsi" w:cs="Calibri"/>
          <w:b/>
          <w:sz w:val="22"/>
          <w:szCs w:val="22"/>
          <w:lang w:val="en-US"/>
        </w:rPr>
        <w:t>2016-17 AS SUBMITTED BY DISTRIBUTION LICENSEES</w:t>
      </w:r>
      <w:bookmarkEnd w:id="502"/>
      <w:bookmarkEnd w:id="503"/>
      <w:bookmarkEnd w:id="504"/>
      <w:bookmarkEnd w:id="505"/>
      <w:bookmarkEnd w:id="506"/>
    </w:p>
    <w:tbl>
      <w:tblPr>
        <w:tblW w:w="5734" w:type="pct"/>
        <w:jc w:val="center"/>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830"/>
        <w:gridCol w:w="1155"/>
        <w:gridCol w:w="852"/>
        <w:gridCol w:w="783"/>
        <w:gridCol w:w="1062"/>
        <w:gridCol w:w="829"/>
        <w:gridCol w:w="872"/>
        <w:gridCol w:w="929"/>
        <w:gridCol w:w="899"/>
        <w:gridCol w:w="978"/>
      </w:tblGrid>
      <w:tr w:rsidR="00C34658" w:rsidRPr="009B7179" w:rsidTr="008334E8">
        <w:trPr>
          <w:trHeight w:val="600"/>
          <w:tblHeader/>
          <w:jc w:val="center"/>
        </w:trPr>
        <w:tc>
          <w:tcPr>
            <w:tcW w:w="898" w:type="pct"/>
            <w:vMerge w:val="restart"/>
            <w:shd w:val="clear" w:color="000000" w:fill="DBE5F1"/>
            <w:hideMark/>
          </w:tcPr>
          <w:p w:rsidR="00603835"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Source of Power</w:t>
            </w:r>
          </w:p>
        </w:tc>
        <w:tc>
          <w:tcPr>
            <w:tcW w:w="567" w:type="pct"/>
            <w:vMerge w:val="restart"/>
            <w:shd w:val="clear" w:color="000000" w:fill="DBE5F1"/>
            <w:hideMark/>
          </w:tcPr>
          <w:p w:rsidR="00603835"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MW Available</w:t>
            </w:r>
          </w:p>
        </w:tc>
        <w:tc>
          <w:tcPr>
            <w:tcW w:w="418" w:type="pct"/>
            <w:vMerge w:val="restart"/>
            <w:shd w:val="clear" w:color="000000" w:fill="DBE5F1"/>
            <w:hideMark/>
          </w:tcPr>
          <w:p w:rsidR="00603835"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MU</w:t>
            </w:r>
          </w:p>
        </w:tc>
        <w:tc>
          <w:tcPr>
            <w:tcW w:w="905" w:type="pct"/>
            <w:gridSpan w:val="2"/>
            <w:shd w:val="clear" w:color="000000" w:fill="DBE5F1"/>
            <w:hideMark/>
          </w:tcPr>
          <w:p w:rsidR="00603835"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Fixed Cost</w:t>
            </w:r>
          </w:p>
        </w:tc>
        <w:tc>
          <w:tcPr>
            <w:tcW w:w="835" w:type="pct"/>
            <w:gridSpan w:val="2"/>
            <w:shd w:val="clear" w:color="000000" w:fill="DBE5F1"/>
            <w:hideMark/>
          </w:tcPr>
          <w:p w:rsidR="00603835"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Variable Cost</w:t>
            </w:r>
          </w:p>
        </w:tc>
        <w:tc>
          <w:tcPr>
            <w:tcW w:w="897" w:type="pct"/>
            <w:gridSpan w:val="2"/>
            <w:shd w:val="clear" w:color="000000" w:fill="DBE5F1"/>
            <w:hideMark/>
          </w:tcPr>
          <w:p w:rsidR="00603835"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Total Cost</w:t>
            </w:r>
          </w:p>
        </w:tc>
        <w:tc>
          <w:tcPr>
            <w:tcW w:w="480" w:type="pct"/>
            <w:shd w:val="clear" w:color="000000" w:fill="DBE5F1"/>
            <w:hideMark/>
          </w:tcPr>
          <w:p w:rsidR="00603835"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Average Cost</w:t>
            </w:r>
          </w:p>
        </w:tc>
      </w:tr>
      <w:tr w:rsidR="00C34658" w:rsidRPr="009B7179" w:rsidTr="00D55642">
        <w:trPr>
          <w:trHeight w:val="600"/>
          <w:tblHeader/>
          <w:jc w:val="center"/>
        </w:trPr>
        <w:tc>
          <w:tcPr>
            <w:tcW w:w="898" w:type="pct"/>
            <w:vMerge/>
            <w:vAlign w:val="center"/>
            <w:hideMark/>
          </w:tcPr>
          <w:p w:rsidR="00C34658" w:rsidRPr="009B7179" w:rsidRDefault="00C34658" w:rsidP="009B7179">
            <w:pPr>
              <w:spacing w:before="0" w:line="240" w:lineRule="auto"/>
              <w:rPr>
                <w:rFonts w:asciiTheme="minorHAnsi" w:hAnsiTheme="minorHAnsi"/>
                <w:b/>
                <w:sz w:val="22"/>
                <w:szCs w:val="22"/>
                <w:lang w:val="en-IN" w:eastAsia="en-IN"/>
              </w:rPr>
            </w:pPr>
            <w:bookmarkStart w:id="507" w:name="_Toc457055588"/>
            <w:bookmarkEnd w:id="507"/>
          </w:p>
        </w:tc>
        <w:tc>
          <w:tcPr>
            <w:tcW w:w="567" w:type="pct"/>
            <w:vMerge/>
            <w:vAlign w:val="center"/>
            <w:hideMark/>
          </w:tcPr>
          <w:p w:rsidR="00C34658" w:rsidRPr="009B7179" w:rsidRDefault="00C34658" w:rsidP="009B7179">
            <w:pPr>
              <w:spacing w:before="0" w:line="240" w:lineRule="auto"/>
              <w:rPr>
                <w:rFonts w:asciiTheme="minorHAnsi" w:hAnsiTheme="minorHAnsi"/>
                <w:b/>
                <w:sz w:val="22"/>
                <w:szCs w:val="22"/>
                <w:lang w:val="en-IN" w:eastAsia="en-IN"/>
              </w:rPr>
            </w:pPr>
            <w:bookmarkStart w:id="508" w:name="_Toc457055589"/>
            <w:bookmarkEnd w:id="508"/>
          </w:p>
        </w:tc>
        <w:tc>
          <w:tcPr>
            <w:tcW w:w="418" w:type="pct"/>
            <w:vMerge/>
            <w:vAlign w:val="center"/>
            <w:hideMark/>
          </w:tcPr>
          <w:p w:rsidR="00C34658" w:rsidRPr="009B7179" w:rsidRDefault="00C34658" w:rsidP="009B7179">
            <w:pPr>
              <w:spacing w:before="0" w:line="240" w:lineRule="auto"/>
              <w:rPr>
                <w:rFonts w:asciiTheme="minorHAnsi" w:hAnsiTheme="minorHAnsi"/>
                <w:b/>
                <w:sz w:val="22"/>
                <w:szCs w:val="22"/>
                <w:lang w:val="en-IN" w:eastAsia="en-IN"/>
              </w:rPr>
            </w:pPr>
            <w:bookmarkStart w:id="509" w:name="_Toc457055590"/>
            <w:bookmarkEnd w:id="509"/>
          </w:p>
        </w:tc>
        <w:tc>
          <w:tcPr>
            <w:tcW w:w="384" w:type="pct"/>
            <w:shd w:val="clear" w:color="000000" w:fill="DBE5F1"/>
            <w:vAlign w:val="center"/>
            <w:hideMark/>
          </w:tcPr>
          <w:p w:rsidR="00C34658"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(Rs. / kWh)</w:t>
            </w:r>
          </w:p>
        </w:tc>
        <w:tc>
          <w:tcPr>
            <w:tcW w:w="521" w:type="pct"/>
            <w:shd w:val="clear" w:color="000000" w:fill="DBE5F1"/>
            <w:vAlign w:val="center"/>
            <w:hideMark/>
          </w:tcPr>
          <w:p w:rsidR="00C34658"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(Rs. Cr.)</w:t>
            </w:r>
          </w:p>
        </w:tc>
        <w:tc>
          <w:tcPr>
            <w:tcW w:w="407" w:type="pct"/>
            <w:shd w:val="clear" w:color="000000" w:fill="DBE5F1"/>
            <w:vAlign w:val="center"/>
            <w:hideMark/>
          </w:tcPr>
          <w:p w:rsidR="00C34658"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(Rs. / kWh)</w:t>
            </w:r>
          </w:p>
        </w:tc>
        <w:tc>
          <w:tcPr>
            <w:tcW w:w="428" w:type="pct"/>
            <w:shd w:val="clear" w:color="000000" w:fill="DBE5F1"/>
            <w:vAlign w:val="center"/>
            <w:hideMark/>
          </w:tcPr>
          <w:p w:rsidR="00C34658"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(Rs. Cr.)</w:t>
            </w:r>
          </w:p>
        </w:tc>
        <w:tc>
          <w:tcPr>
            <w:tcW w:w="456" w:type="pct"/>
            <w:shd w:val="clear" w:color="000000" w:fill="DBE5F1"/>
            <w:vAlign w:val="center"/>
            <w:hideMark/>
          </w:tcPr>
          <w:p w:rsidR="00C34658"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(Rs. / kWh)</w:t>
            </w:r>
          </w:p>
        </w:tc>
        <w:tc>
          <w:tcPr>
            <w:tcW w:w="441" w:type="pct"/>
            <w:shd w:val="clear" w:color="000000" w:fill="DBE5F1"/>
            <w:vAlign w:val="center"/>
            <w:hideMark/>
          </w:tcPr>
          <w:p w:rsidR="00C34658"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(Rs. Cr.)</w:t>
            </w:r>
          </w:p>
        </w:tc>
        <w:tc>
          <w:tcPr>
            <w:tcW w:w="480" w:type="pct"/>
            <w:shd w:val="clear" w:color="000000" w:fill="DBE5F1"/>
            <w:vAlign w:val="center"/>
            <w:hideMark/>
          </w:tcPr>
          <w:p w:rsidR="00C34658" w:rsidRPr="009B7179" w:rsidRDefault="00E34329" w:rsidP="009B7179">
            <w:pPr>
              <w:spacing w:before="0" w:line="240" w:lineRule="auto"/>
              <w:rPr>
                <w:rFonts w:asciiTheme="minorHAnsi" w:hAnsiTheme="minorHAnsi"/>
                <w:b/>
                <w:sz w:val="22"/>
                <w:szCs w:val="22"/>
                <w:lang w:val="en-IN" w:eastAsia="en-IN"/>
              </w:rPr>
            </w:pPr>
            <w:r w:rsidRPr="009B7179">
              <w:rPr>
                <w:rFonts w:asciiTheme="minorHAnsi" w:hAnsiTheme="minorHAnsi"/>
                <w:b/>
                <w:sz w:val="22"/>
                <w:szCs w:val="22"/>
                <w:lang w:val="en-IN" w:eastAsia="en-IN"/>
              </w:rPr>
              <w:t>(Rs. / kWh)</w:t>
            </w:r>
          </w:p>
        </w:tc>
      </w:tr>
      <w:tr w:rsidR="00C34658" w:rsidRPr="009B7179" w:rsidTr="009B7179">
        <w:trPr>
          <w:trHeight w:val="30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Anpara A</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630</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3,852</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0.75</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289</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2.12</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816</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2.87</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1,104</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2.87</w:t>
            </w:r>
          </w:p>
        </w:tc>
      </w:tr>
      <w:tr w:rsidR="00C34658" w:rsidRPr="009B7179" w:rsidTr="009B7179">
        <w:trPr>
          <w:trHeight w:val="30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Anpara B</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1,000</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7,194</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1.11</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801</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1.95</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1,404</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3.07</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2,206</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3.07</w:t>
            </w:r>
          </w:p>
        </w:tc>
      </w:tr>
      <w:tr w:rsidR="00C34658" w:rsidRPr="009B7179" w:rsidTr="009B7179">
        <w:trPr>
          <w:trHeight w:val="30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Harduagunj</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165</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300</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1.58</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47</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3.66</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110</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5.23</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157</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5.23</w:t>
            </w:r>
          </w:p>
        </w:tc>
      </w:tr>
      <w:tr w:rsidR="00C34658" w:rsidRPr="009B7179" w:rsidTr="009B7179">
        <w:trPr>
          <w:trHeight w:val="30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Obra A</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288</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533</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1.25</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67</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2.55</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136</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3.81</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203</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3.81</w:t>
            </w:r>
          </w:p>
        </w:tc>
      </w:tr>
      <w:tr w:rsidR="00C34658" w:rsidRPr="009B7179" w:rsidTr="009B7179">
        <w:trPr>
          <w:trHeight w:val="30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Obra B</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1,000</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3,955</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0.71</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281</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2.40</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951</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3.11</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1,232</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3.11</w:t>
            </w:r>
          </w:p>
        </w:tc>
      </w:tr>
      <w:tr w:rsidR="00C34658" w:rsidRPr="009B7179" w:rsidTr="009B7179">
        <w:trPr>
          <w:trHeight w:val="30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Panki</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210</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646</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1.46</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94</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4.54</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293</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6.00</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387</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6.00</w:t>
            </w:r>
          </w:p>
        </w:tc>
      </w:tr>
      <w:tr w:rsidR="00C34658" w:rsidRPr="009B7179" w:rsidTr="009B7179">
        <w:trPr>
          <w:trHeight w:val="30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Parichha</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220</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425</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1.06</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45</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4.39</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187</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5.45</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232</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5.45</w:t>
            </w:r>
          </w:p>
        </w:tc>
      </w:tr>
      <w:tr w:rsidR="00C34658" w:rsidRPr="009B7179" w:rsidTr="009B7179">
        <w:trPr>
          <w:trHeight w:val="30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ParichhaExtn.</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420</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2,252</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1.44</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325</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3.60</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810</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5.04</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1,135</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5.04</w:t>
            </w:r>
          </w:p>
        </w:tc>
      </w:tr>
      <w:tr w:rsidR="00C34658" w:rsidRPr="009B7179" w:rsidTr="009B7179">
        <w:trPr>
          <w:trHeight w:val="593"/>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ParichhaExtn. Stage II</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500</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3,388</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1.84</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625</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3.59</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1,216</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5.43</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1,841</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5.43</w:t>
            </w:r>
          </w:p>
        </w:tc>
      </w:tr>
      <w:tr w:rsidR="00C34658" w:rsidRPr="009B7179" w:rsidTr="009B7179">
        <w:trPr>
          <w:trHeight w:val="35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Harduaganj Ext.</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500</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3,388</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2.01</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681</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2.83</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959</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4.84</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1,640</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4.84</w:t>
            </w:r>
          </w:p>
        </w:tc>
      </w:tr>
      <w:tr w:rsidR="00C34658" w:rsidRPr="009B7179" w:rsidTr="009B7179">
        <w:trPr>
          <w:trHeight w:val="30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Anpara D</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1,000</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6,192</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1.66</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1,027</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1.77</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1,094</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3.43</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2,121</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3.43</w:t>
            </w:r>
          </w:p>
        </w:tc>
      </w:tr>
      <w:tr w:rsidR="00C34658" w:rsidRPr="009B7179" w:rsidTr="009B7179">
        <w:trPr>
          <w:trHeight w:val="300"/>
          <w:jc w:val="center"/>
        </w:trPr>
        <w:tc>
          <w:tcPr>
            <w:tcW w:w="898" w:type="pct"/>
            <w:shd w:val="clear" w:color="auto" w:fill="auto"/>
            <w:hideMark/>
          </w:tcPr>
          <w:p w:rsidR="00C34658" w:rsidRPr="009B7179" w:rsidRDefault="00E34329" w:rsidP="009B7179">
            <w:pPr>
              <w:spacing w:before="0" w:line="240" w:lineRule="auto"/>
              <w:rPr>
                <w:rFonts w:asciiTheme="minorHAnsi" w:hAnsiTheme="minorHAnsi"/>
                <w:sz w:val="22"/>
                <w:szCs w:val="22"/>
                <w:lang w:val="en-IN" w:eastAsia="en-IN"/>
              </w:rPr>
            </w:pPr>
            <w:r w:rsidRPr="009B7179">
              <w:rPr>
                <w:rFonts w:asciiTheme="minorHAnsi" w:hAnsiTheme="minorHAnsi"/>
                <w:sz w:val="22"/>
                <w:szCs w:val="22"/>
                <w:lang w:val="en-IN" w:eastAsia="en-IN"/>
              </w:rPr>
              <w:t>Sub-Total</w:t>
            </w:r>
          </w:p>
        </w:tc>
        <w:tc>
          <w:tcPr>
            <w:tcW w:w="56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5933</w:t>
            </w:r>
          </w:p>
        </w:tc>
        <w:tc>
          <w:tcPr>
            <w:tcW w:w="41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32126</w:t>
            </w:r>
          </w:p>
        </w:tc>
        <w:tc>
          <w:tcPr>
            <w:tcW w:w="384"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rPr>
              <w:t>1.33</w:t>
            </w:r>
          </w:p>
        </w:tc>
        <w:tc>
          <w:tcPr>
            <w:tcW w:w="52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4283</w:t>
            </w:r>
          </w:p>
        </w:tc>
        <w:tc>
          <w:tcPr>
            <w:tcW w:w="407"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rPr>
              <w:t>2.48</w:t>
            </w:r>
          </w:p>
        </w:tc>
        <w:tc>
          <w:tcPr>
            <w:tcW w:w="428"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7976</w:t>
            </w:r>
          </w:p>
        </w:tc>
        <w:tc>
          <w:tcPr>
            <w:tcW w:w="456"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rPr>
              <w:t>3.82</w:t>
            </w:r>
          </w:p>
        </w:tc>
        <w:tc>
          <w:tcPr>
            <w:tcW w:w="441"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12259</w:t>
            </w:r>
          </w:p>
        </w:tc>
        <w:tc>
          <w:tcPr>
            <w:tcW w:w="480"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3.82</w:t>
            </w:r>
          </w:p>
        </w:tc>
      </w:tr>
    </w:tbl>
    <w:p w:rsidR="00C34658" w:rsidRPr="00BB5484" w:rsidRDefault="00C34658" w:rsidP="009B7179">
      <w:pPr>
        <w:spacing w:before="0"/>
        <w:jc w:val="center"/>
        <w:rPr>
          <w:rFonts w:asciiTheme="minorHAnsi" w:hAnsiTheme="minorHAnsi"/>
        </w:rPr>
      </w:pPr>
    </w:p>
    <w:p w:rsidR="00C34658" w:rsidRPr="00BB5484" w:rsidRDefault="00E34329" w:rsidP="00C34658">
      <w:pPr>
        <w:spacing w:before="0"/>
        <w:jc w:val="center"/>
        <w:rPr>
          <w:rFonts w:asciiTheme="minorHAnsi" w:hAnsiTheme="minorHAnsi" w:cs="Calibri"/>
          <w:b/>
          <w:sz w:val="22"/>
          <w:szCs w:val="22"/>
          <w:lang w:val="en-US"/>
        </w:rPr>
      </w:pPr>
      <w:bookmarkStart w:id="510" w:name="_Toc395657936"/>
      <w:bookmarkStart w:id="511" w:name="_Toc396573987"/>
      <w:bookmarkStart w:id="512" w:name="_Toc399624088"/>
      <w:bookmarkStart w:id="513" w:name="_Toc453367668"/>
      <w:bookmarkStart w:id="514" w:name="_Toc457604037"/>
      <w:bookmarkStart w:id="515" w:name="_Toc357719703"/>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21</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DETAILS OF POWER PURCHASE COST FROM UPJVNL STATIONS FOR FY2016-17 AS SUBMITTED BY DISTRIBUTION LICENSEES</w:t>
      </w:r>
      <w:bookmarkEnd w:id="510"/>
      <w:bookmarkEnd w:id="511"/>
      <w:bookmarkEnd w:id="512"/>
      <w:bookmarkEnd w:id="513"/>
      <w:bookmarkEnd w:id="514"/>
    </w:p>
    <w:tbl>
      <w:tblPr>
        <w:tblW w:w="3897" w:type="pct"/>
        <w:jc w:val="center"/>
        <w:tblInd w:w="-10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858"/>
        <w:gridCol w:w="1138"/>
        <w:gridCol w:w="1190"/>
        <w:gridCol w:w="1420"/>
        <w:gridCol w:w="1319"/>
      </w:tblGrid>
      <w:tr w:rsidR="00C34658" w:rsidRPr="009B7179" w:rsidTr="009B7179">
        <w:trPr>
          <w:trHeight w:val="350"/>
          <w:tblHeader/>
          <w:jc w:val="center"/>
        </w:trPr>
        <w:tc>
          <w:tcPr>
            <w:tcW w:w="1342" w:type="pct"/>
            <w:vMerge w:val="restart"/>
            <w:shd w:val="clear" w:color="000000" w:fill="DBE5F1"/>
            <w:hideMark/>
          </w:tcPr>
          <w:bookmarkEnd w:id="515"/>
          <w:p w:rsidR="00603835"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Source of Power</w:t>
            </w:r>
          </w:p>
        </w:tc>
        <w:tc>
          <w:tcPr>
            <w:tcW w:w="822" w:type="pct"/>
            <w:vMerge w:val="restart"/>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MW Available</w:t>
            </w:r>
          </w:p>
        </w:tc>
        <w:tc>
          <w:tcPr>
            <w:tcW w:w="859" w:type="pct"/>
            <w:vMerge w:val="restart"/>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MU</w:t>
            </w:r>
          </w:p>
        </w:tc>
        <w:tc>
          <w:tcPr>
            <w:tcW w:w="1976" w:type="pct"/>
            <w:gridSpan w:val="2"/>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Total Cost</w:t>
            </w:r>
          </w:p>
        </w:tc>
      </w:tr>
      <w:tr w:rsidR="00C34658" w:rsidRPr="009B7179" w:rsidTr="009B7179">
        <w:trPr>
          <w:trHeight w:val="197"/>
          <w:tblHeader/>
          <w:jc w:val="center"/>
        </w:trPr>
        <w:tc>
          <w:tcPr>
            <w:tcW w:w="1342" w:type="pct"/>
            <w:vMerge/>
            <w:hideMark/>
          </w:tcPr>
          <w:p w:rsidR="00603835" w:rsidRPr="009B7179" w:rsidRDefault="00603835" w:rsidP="009B7179">
            <w:pPr>
              <w:spacing w:before="0" w:line="240" w:lineRule="auto"/>
              <w:jc w:val="center"/>
              <w:rPr>
                <w:rFonts w:asciiTheme="minorHAnsi" w:hAnsiTheme="minorHAnsi"/>
                <w:b/>
                <w:sz w:val="22"/>
                <w:szCs w:val="22"/>
                <w:lang w:val="en-IN" w:eastAsia="en-IN"/>
              </w:rPr>
            </w:pPr>
            <w:bookmarkStart w:id="516" w:name="_Toc457055591"/>
            <w:bookmarkEnd w:id="516"/>
          </w:p>
        </w:tc>
        <w:tc>
          <w:tcPr>
            <w:tcW w:w="822" w:type="pct"/>
            <w:vMerge/>
            <w:hideMark/>
          </w:tcPr>
          <w:p w:rsidR="00603835" w:rsidRPr="009B7179" w:rsidRDefault="00603835" w:rsidP="009B7179">
            <w:pPr>
              <w:spacing w:before="0" w:line="240" w:lineRule="auto"/>
              <w:jc w:val="center"/>
              <w:rPr>
                <w:rFonts w:asciiTheme="minorHAnsi" w:hAnsiTheme="minorHAnsi"/>
                <w:b/>
                <w:sz w:val="22"/>
                <w:szCs w:val="22"/>
                <w:lang w:val="en-IN" w:eastAsia="en-IN"/>
              </w:rPr>
            </w:pPr>
            <w:bookmarkStart w:id="517" w:name="_Toc457055592"/>
            <w:bookmarkEnd w:id="517"/>
          </w:p>
        </w:tc>
        <w:tc>
          <w:tcPr>
            <w:tcW w:w="859" w:type="pct"/>
            <w:vMerge/>
            <w:hideMark/>
          </w:tcPr>
          <w:p w:rsidR="00603835" w:rsidRPr="009B7179" w:rsidRDefault="00603835" w:rsidP="009B7179">
            <w:pPr>
              <w:spacing w:before="0" w:line="240" w:lineRule="auto"/>
              <w:jc w:val="center"/>
              <w:rPr>
                <w:rFonts w:asciiTheme="minorHAnsi" w:hAnsiTheme="minorHAnsi"/>
                <w:b/>
                <w:sz w:val="22"/>
                <w:szCs w:val="22"/>
                <w:lang w:val="en-IN" w:eastAsia="en-IN"/>
              </w:rPr>
            </w:pPr>
            <w:bookmarkStart w:id="518" w:name="_Toc457055593"/>
            <w:bookmarkEnd w:id="518"/>
          </w:p>
        </w:tc>
        <w:tc>
          <w:tcPr>
            <w:tcW w:w="1025" w:type="pct"/>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(Rs. / kWh)</w:t>
            </w:r>
          </w:p>
        </w:tc>
        <w:tc>
          <w:tcPr>
            <w:tcW w:w="952" w:type="pct"/>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IN" w:eastAsia="en-IN"/>
              </w:rPr>
            </w:pPr>
            <w:r w:rsidRPr="009B7179">
              <w:rPr>
                <w:rFonts w:asciiTheme="minorHAnsi" w:hAnsiTheme="minorHAnsi"/>
                <w:b/>
                <w:sz w:val="22"/>
                <w:szCs w:val="22"/>
                <w:lang w:val="en-IN" w:eastAsia="en-IN"/>
              </w:rPr>
              <w:t>(Rs. Cr.)</w:t>
            </w:r>
          </w:p>
        </w:tc>
      </w:tr>
      <w:tr w:rsidR="00C34658" w:rsidRPr="009B7179" w:rsidTr="009B7179">
        <w:trPr>
          <w:trHeight w:val="300"/>
          <w:jc w:val="center"/>
        </w:trPr>
        <w:tc>
          <w:tcPr>
            <w:tcW w:w="1342" w:type="pct"/>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rPr>
            </w:pPr>
            <w:r w:rsidRPr="009B7179">
              <w:rPr>
                <w:rFonts w:asciiTheme="minorHAnsi" w:hAnsiTheme="minorHAnsi"/>
                <w:sz w:val="22"/>
                <w:szCs w:val="22"/>
                <w:lang w:val="en-IN" w:eastAsia="en-IN"/>
              </w:rPr>
              <w:t>Khara</w:t>
            </w:r>
          </w:p>
        </w:tc>
        <w:tc>
          <w:tcPr>
            <w:tcW w:w="82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58</w:t>
            </w:r>
          </w:p>
        </w:tc>
        <w:tc>
          <w:tcPr>
            <w:tcW w:w="859"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151</w:t>
            </w:r>
          </w:p>
        </w:tc>
        <w:tc>
          <w:tcPr>
            <w:tcW w:w="1025"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0.78</w:t>
            </w:r>
          </w:p>
        </w:tc>
        <w:tc>
          <w:tcPr>
            <w:tcW w:w="95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lang w:val="en-IN" w:eastAsia="en-IN"/>
              </w:rPr>
              <w:t>11.79</w:t>
            </w:r>
          </w:p>
        </w:tc>
      </w:tr>
      <w:tr w:rsidR="00C34658" w:rsidRPr="009B7179" w:rsidTr="009B7179">
        <w:trPr>
          <w:trHeight w:val="300"/>
          <w:jc w:val="center"/>
        </w:trPr>
        <w:tc>
          <w:tcPr>
            <w:tcW w:w="1342" w:type="pct"/>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rPr>
            </w:pPr>
            <w:r w:rsidRPr="009B7179">
              <w:rPr>
                <w:rFonts w:asciiTheme="minorHAnsi" w:hAnsiTheme="minorHAnsi"/>
                <w:sz w:val="22"/>
                <w:szCs w:val="22"/>
                <w:lang w:val="en-IN" w:eastAsia="en-IN"/>
              </w:rPr>
              <w:t>Matatila</w:t>
            </w:r>
          </w:p>
        </w:tc>
        <w:tc>
          <w:tcPr>
            <w:tcW w:w="82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20</w:t>
            </w:r>
          </w:p>
        </w:tc>
        <w:tc>
          <w:tcPr>
            <w:tcW w:w="859"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53</w:t>
            </w:r>
          </w:p>
        </w:tc>
        <w:tc>
          <w:tcPr>
            <w:tcW w:w="1025"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0.70</w:t>
            </w:r>
          </w:p>
        </w:tc>
        <w:tc>
          <w:tcPr>
            <w:tcW w:w="95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lang w:val="en-IN" w:eastAsia="en-IN"/>
              </w:rPr>
              <w:t>3.70</w:t>
            </w:r>
          </w:p>
        </w:tc>
      </w:tr>
      <w:tr w:rsidR="00C34658" w:rsidRPr="009B7179" w:rsidTr="009B7179">
        <w:trPr>
          <w:trHeight w:val="300"/>
          <w:jc w:val="center"/>
        </w:trPr>
        <w:tc>
          <w:tcPr>
            <w:tcW w:w="1342" w:type="pct"/>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rPr>
            </w:pPr>
            <w:r w:rsidRPr="009B7179">
              <w:rPr>
                <w:rFonts w:asciiTheme="minorHAnsi" w:hAnsiTheme="minorHAnsi"/>
                <w:sz w:val="22"/>
                <w:szCs w:val="22"/>
                <w:lang w:val="en-IN" w:eastAsia="en-IN"/>
              </w:rPr>
              <w:t>Obra (Hydel)</w:t>
            </w:r>
          </w:p>
        </w:tc>
        <w:tc>
          <w:tcPr>
            <w:tcW w:w="82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99</w:t>
            </w:r>
          </w:p>
        </w:tc>
        <w:tc>
          <w:tcPr>
            <w:tcW w:w="859"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260</w:t>
            </w:r>
          </w:p>
        </w:tc>
        <w:tc>
          <w:tcPr>
            <w:tcW w:w="1025"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0.68</w:t>
            </w:r>
          </w:p>
        </w:tc>
        <w:tc>
          <w:tcPr>
            <w:tcW w:w="95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lang w:val="en-IN" w:eastAsia="en-IN"/>
              </w:rPr>
              <w:t>17.73</w:t>
            </w:r>
          </w:p>
        </w:tc>
      </w:tr>
      <w:tr w:rsidR="00C34658" w:rsidRPr="009B7179" w:rsidTr="009B7179">
        <w:trPr>
          <w:trHeight w:val="300"/>
          <w:jc w:val="center"/>
        </w:trPr>
        <w:tc>
          <w:tcPr>
            <w:tcW w:w="1342" w:type="pct"/>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rPr>
            </w:pPr>
            <w:r w:rsidRPr="009B7179">
              <w:rPr>
                <w:rFonts w:asciiTheme="minorHAnsi" w:hAnsiTheme="minorHAnsi"/>
                <w:sz w:val="22"/>
                <w:szCs w:val="22"/>
                <w:lang w:val="en-IN" w:eastAsia="en-IN"/>
              </w:rPr>
              <w:t>Rihand</w:t>
            </w:r>
          </w:p>
        </w:tc>
        <w:tc>
          <w:tcPr>
            <w:tcW w:w="82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255</w:t>
            </w:r>
          </w:p>
        </w:tc>
        <w:tc>
          <w:tcPr>
            <w:tcW w:w="859"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670</w:t>
            </w:r>
          </w:p>
        </w:tc>
        <w:tc>
          <w:tcPr>
            <w:tcW w:w="1025"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0.59</w:t>
            </w:r>
          </w:p>
        </w:tc>
        <w:tc>
          <w:tcPr>
            <w:tcW w:w="95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lang w:val="en-IN" w:eastAsia="en-IN"/>
              </w:rPr>
              <w:t>39.87</w:t>
            </w:r>
          </w:p>
        </w:tc>
      </w:tr>
      <w:tr w:rsidR="00C34658" w:rsidRPr="009B7179" w:rsidTr="009B7179">
        <w:trPr>
          <w:trHeight w:val="242"/>
          <w:jc w:val="center"/>
        </w:trPr>
        <w:tc>
          <w:tcPr>
            <w:tcW w:w="1342" w:type="pct"/>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rPr>
            </w:pPr>
            <w:r w:rsidRPr="009B7179">
              <w:rPr>
                <w:rFonts w:asciiTheme="minorHAnsi" w:hAnsiTheme="minorHAnsi"/>
                <w:sz w:val="22"/>
                <w:szCs w:val="22"/>
                <w:lang w:val="en-IN" w:eastAsia="en-IN"/>
              </w:rPr>
              <w:t>UGC Power Stations</w:t>
            </w:r>
          </w:p>
        </w:tc>
        <w:tc>
          <w:tcPr>
            <w:tcW w:w="82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14</w:t>
            </w:r>
          </w:p>
        </w:tc>
        <w:tc>
          <w:tcPr>
            <w:tcW w:w="859"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36</w:t>
            </w:r>
          </w:p>
        </w:tc>
        <w:tc>
          <w:tcPr>
            <w:tcW w:w="1025"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2.30</w:t>
            </w:r>
          </w:p>
        </w:tc>
        <w:tc>
          <w:tcPr>
            <w:tcW w:w="95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lang w:val="en-IN" w:eastAsia="en-IN"/>
              </w:rPr>
              <w:t>8.29</w:t>
            </w:r>
          </w:p>
        </w:tc>
      </w:tr>
      <w:tr w:rsidR="00C34658" w:rsidRPr="009B7179" w:rsidTr="009B7179">
        <w:trPr>
          <w:trHeight w:val="300"/>
          <w:jc w:val="center"/>
        </w:trPr>
        <w:tc>
          <w:tcPr>
            <w:tcW w:w="1342" w:type="pct"/>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rPr>
            </w:pPr>
            <w:r w:rsidRPr="009B7179">
              <w:rPr>
                <w:rFonts w:asciiTheme="minorHAnsi" w:hAnsiTheme="minorHAnsi"/>
                <w:sz w:val="22"/>
                <w:szCs w:val="22"/>
                <w:lang w:val="en-IN" w:eastAsia="en-IN"/>
              </w:rPr>
              <w:t>Belka&amp;Babail</w:t>
            </w:r>
          </w:p>
        </w:tc>
        <w:tc>
          <w:tcPr>
            <w:tcW w:w="82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6</w:t>
            </w:r>
          </w:p>
        </w:tc>
        <w:tc>
          <w:tcPr>
            <w:tcW w:w="859"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16</w:t>
            </w:r>
          </w:p>
        </w:tc>
        <w:tc>
          <w:tcPr>
            <w:tcW w:w="1025"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2.43</w:t>
            </w:r>
          </w:p>
        </w:tc>
        <w:tc>
          <w:tcPr>
            <w:tcW w:w="95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lang w:val="en-IN" w:eastAsia="en-IN"/>
              </w:rPr>
              <w:t>3.84</w:t>
            </w:r>
          </w:p>
        </w:tc>
      </w:tr>
      <w:tr w:rsidR="00C34658" w:rsidRPr="009B7179" w:rsidTr="009B7179">
        <w:trPr>
          <w:trHeight w:val="300"/>
          <w:jc w:val="center"/>
        </w:trPr>
        <w:tc>
          <w:tcPr>
            <w:tcW w:w="1342" w:type="pct"/>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rPr>
            </w:pPr>
            <w:r w:rsidRPr="009B7179">
              <w:rPr>
                <w:rFonts w:asciiTheme="minorHAnsi" w:hAnsiTheme="minorHAnsi"/>
                <w:sz w:val="22"/>
                <w:szCs w:val="22"/>
                <w:lang w:val="en-IN" w:eastAsia="en-IN"/>
              </w:rPr>
              <w:t>Sheetla</w:t>
            </w:r>
          </w:p>
        </w:tc>
        <w:tc>
          <w:tcPr>
            <w:tcW w:w="82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w:t>
            </w:r>
          </w:p>
        </w:tc>
        <w:tc>
          <w:tcPr>
            <w:tcW w:w="859"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9</w:t>
            </w:r>
          </w:p>
        </w:tc>
        <w:tc>
          <w:tcPr>
            <w:tcW w:w="1025"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2.95</w:t>
            </w:r>
          </w:p>
        </w:tc>
        <w:tc>
          <w:tcPr>
            <w:tcW w:w="95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IN" w:eastAsia="en-IN"/>
              </w:rPr>
            </w:pPr>
            <w:r w:rsidRPr="009B7179">
              <w:rPr>
                <w:rFonts w:asciiTheme="minorHAnsi" w:hAnsiTheme="minorHAnsi"/>
                <w:sz w:val="22"/>
                <w:szCs w:val="22"/>
                <w:lang w:val="en-IN" w:eastAsia="en-IN"/>
              </w:rPr>
              <w:t>2.79</w:t>
            </w:r>
          </w:p>
        </w:tc>
      </w:tr>
      <w:tr w:rsidR="00C34658" w:rsidRPr="009B7179" w:rsidTr="009B7179">
        <w:trPr>
          <w:trHeight w:val="300"/>
          <w:jc w:val="center"/>
        </w:trPr>
        <w:tc>
          <w:tcPr>
            <w:tcW w:w="1342" w:type="pct"/>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rPr>
            </w:pPr>
            <w:r w:rsidRPr="009B7179">
              <w:rPr>
                <w:rFonts w:asciiTheme="minorHAnsi" w:hAnsiTheme="minorHAnsi"/>
                <w:sz w:val="22"/>
                <w:szCs w:val="22"/>
                <w:lang w:val="en-IN" w:eastAsia="en-IN"/>
              </w:rPr>
              <w:t>Sub total - Hydro</w:t>
            </w:r>
          </w:p>
        </w:tc>
        <w:tc>
          <w:tcPr>
            <w:tcW w:w="82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455</w:t>
            </w:r>
          </w:p>
        </w:tc>
        <w:tc>
          <w:tcPr>
            <w:tcW w:w="859"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1195</w:t>
            </w:r>
          </w:p>
        </w:tc>
        <w:tc>
          <w:tcPr>
            <w:tcW w:w="1025"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rPr>
              <w:t>0.74</w:t>
            </w:r>
          </w:p>
        </w:tc>
        <w:tc>
          <w:tcPr>
            <w:tcW w:w="952" w:type="pct"/>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rPr>
            </w:pPr>
            <w:r w:rsidRPr="009B7179">
              <w:rPr>
                <w:rFonts w:asciiTheme="minorHAnsi" w:hAnsiTheme="minorHAnsi"/>
                <w:sz w:val="22"/>
                <w:szCs w:val="22"/>
                <w:lang w:val="en-IN" w:eastAsia="en-IN"/>
              </w:rPr>
              <w:t>88.00</w:t>
            </w:r>
          </w:p>
        </w:tc>
      </w:tr>
    </w:tbl>
    <w:p w:rsidR="00C34658" w:rsidRPr="00BB5484" w:rsidRDefault="00C34658" w:rsidP="009B7179">
      <w:pPr>
        <w:pStyle w:val="Heading4"/>
        <w:numPr>
          <w:ilvl w:val="0"/>
          <w:numId w:val="0"/>
        </w:numPr>
        <w:spacing w:before="0"/>
        <w:ind w:left="864"/>
        <w:rPr>
          <w:rFonts w:asciiTheme="minorHAnsi" w:hAnsiTheme="minorHAnsi"/>
        </w:rPr>
      </w:pPr>
    </w:p>
    <w:p w:rsidR="00C34658" w:rsidRPr="00BB5484" w:rsidRDefault="00E34329" w:rsidP="00C34658">
      <w:pPr>
        <w:pStyle w:val="Heading3"/>
        <w:numPr>
          <w:ilvl w:val="0"/>
          <w:numId w:val="0"/>
        </w:numPr>
        <w:ind w:left="90"/>
        <w:rPr>
          <w:rFonts w:asciiTheme="minorHAnsi" w:hAnsiTheme="minorHAnsi"/>
          <w:b/>
        </w:rPr>
      </w:pPr>
      <w:r w:rsidRPr="00E34329">
        <w:rPr>
          <w:rFonts w:asciiTheme="minorHAnsi" w:hAnsiTheme="minorHAnsi"/>
          <w:b/>
        </w:rPr>
        <w:t>The Commission’s Analysis:</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The assumptions considered by the Commission while approving the power purchase from the State owned Thermal generating stations and Hydro generating stations are given below in the following Tables:</w:t>
      </w:r>
    </w:p>
    <w:p w:rsidR="00DF7ACD" w:rsidRDefault="00E34329" w:rsidP="00DF7ACD">
      <w:pPr>
        <w:pStyle w:val="Heading3"/>
        <w:keepNext/>
        <w:keepLines/>
        <w:numPr>
          <w:ilvl w:val="0"/>
          <w:numId w:val="0"/>
        </w:numPr>
        <w:jc w:val="center"/>
        <w:rPr>
          <w:rFonts w:asciiTheme="minorHAnsi" w:hAnsiTheme="minorHAnsi" w:cs="Calibri"/>
          <w:b/>
          <w:sz w:val="22"/>
          <w:szCs w:val="22"/>
          <w:lang w:val="en-US"/>
        </w:rPr>
      </w:pPr>
      <w:bookmarkStart w:id="519" w:name="_Toc457604038"/>
      <w:r w:rsidRPr="00E34329">
        <w:rPr>
          <w:rFonts w:asciiTheme="minorHAnsi" w:hAnsiTheme="minorHAnsi" w:cs="Calibri"/>
          <w:b/>
          <w:sz w:val="22"/>
          <w:szCs w:val="22"/>
          <w:lang w:val="en-US"/>
        </w:rPr>
        <w:lastRenderedPageBreak/>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22</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ASSUMPTIONS FOR POWER PURCHASE FROM UPRVUNL AS CONSIDERED BY THE COMMISSION</w:t>
      </w:r>
      <w:bookmarkEnd w:id="519"/>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38"/>
        <w:gridCol w:w="2205"/>
        <w:gridCol w:w="5942"/>
      </w:tblGrid>
      <w:tr w:rsidR="00B754AD" w:rsidRPr="00BB5484" w:rsidTr="00B754AD">
        <w:tc>
          <w:tcPr>
            <w:tcW w:w="738" w:type="dxa"/>
            <w:shd w:val="clear" w:color="auto" w:fill="C6D9F1" w:themeFill="text2" w:themeFillTint="33"/>
          </w:tcPr>
          <w:p w:rsidR="00B754AD" w:rsidRDefault="00B754AD" w:rsidP="00B754AD">
            <w:pPr>
              <w:spacing w:before="0" w:line="240" w:lineRule="auto"/>
              <w:jc w:val="center"/>
              <w:rPr>
                <w:rFonts w:asciiTheme="minorHAnsi" w:hAnsiTheme="minorHAnsi"/>
                <w:b/>
                <w:sz w:val="22"/>
                <w:szCs w:val="22"/>
                <w:lang w:val="en-US"/>
              </w:rPr>
            </w:pPr>
            <w:r w:rsidRPr="00E34329">
              <w:rPr>
                <w:rFonts w:asciiTheme="minorHAnsi" w:hAnsiTheme="minorHAnsi"/>
                <w:b/>
                <w:sz w:val="22"/>
                <w:szCs w:val="22"/>
              </w:rPr>
              <w:t>Sl.  No.</w:t>
            </w:r>
          </w:p>
        </w:tc>
        <w:tc>
          <w:tcPr>
            <w:tcW w:w="2205" w:type="dxa"/>
            <w:shd w:val="clear" w:color="auto" w:fill="C6D9F1" w:themeFill="text2" w:themeFillTint="33"/>
          </w:tcPr>
          <w:p w:rsidR="00B754AD" w:rsidRDefault="00B754AD" w:rsidP="00B754AD">
            <w:pPr>
              <w:spacing w:before="0" w:line="240" w:lineRule="auto"/>
              <w:jc w:val="center"/>
              <w:rPr>
                <w:rFonts w:asciiTheme="minorHAnsi" w:hAnsiTheme="minorHAnsi"/>
                <w:b/>
                <w:sz w:val="22"/>
                <w:szCs w:val="22"/>
                <w:lang w:val="en-US"/>
              </w:rPr>
            </w:pPr>
            <w:r w:rsidRPr="00E34329">
              <w:rPr>
                <w:rFonts w:asciiTheme="minorHAnsi" w:hAnsiTheme="minorHAnsi"/>
                <w:b/>
                <w:sz w:val="22"/>
                <w:szCs w:val="22"/>
              </w:rPr>
              <w:t>Particulars</w:t>
            </w:r>
          </w:p>
        </w:tc>
        <w:tc>
          <w:tcPr>
            <w:tcW w:w="5942" w:type="dxa"/>
            <w:shd w:val="clear" w:color="auto" w:fill="C6D9F1" w:themeFill="text2" w:themeFillTint="33"/>
          </w:tcPr>
          <w:p w:rsidR="00B754AD" w:rsidRDefault="00B754AD" w:rsidP="00B754AD">
            <w:pPr>
              <w:spacing w:before="0" w:line="240" w:lineRule="auto"/>
              <w:jc w:val="center"/>
              <w:rPr>
                <w:rFonts w:asciiTheme="minorHAnsi" w:hAnsiTheme="minorHAnsi"/>
                <w:b/>
                <w:sz w:val="22"/>
                <w:szCs w:val="22"/>
                <w:lang w:val="en-US"/>
              </w:rPr>
            </w:pPr>
            <w:r w:rsidRPr="00E34329">
              <w:rPr>
                <w:rFonts w:asciiTheme="minorHAnsi" w:hAnsiTheme="minorHAnsi"/>
                <w:b/>
                <w:sz w:val="22"/>
                <w:szCs w:val="22"/>
              </w:rPr>
              <w:t>Assumption</w:t>
            </w:r>
          </w:p>
        </w:tc>
      </w:tr>
      <w:tr w:rsidR="00B754AD" w:rsidRPr="00BB5484" w:rsidTr="00B754AD">
        <w:tc>
          <w:tcPr>
            <w:tcW w:w="738" w:type="dxa"/>
          </w:tcPr>
          <w:p w:rsidR="00B754AD" w:rsidRDefault="00B754AD" w:rsidP="00B754AD">
            <w:pPr>
              <w:spacing w:before="0" w:line="240" w:lineRule="auto"/>
              <w:jc w:val="center"/>
              <w:rPr>
                <w:rFonts w:asciiTheme="minorHAnsi" w:hAnsiTheme="minorHAnsi"/>
                <w:sz w:val="22"/>
                <w:szCs w:val="22"/>
                <w:lang w:val="en-US"/>
              </w:rPr>
            </w:pPr>
            <w:r w:rsidRPr="00E34329">
              <w:rPr>
                <w:rFonts w:asciiTheme="minorHAnsi" w:hAnsiTheme="minorHAnsi"/>
                <w:sz w:val="22"/>
                <w:szCs w:val="22"/>
                <w:lang w:val="en-US"/>
              </w:rPr>
              <w:t>1</w:t>
            </w:r>
          </w:p>
        </w:tc>
        <w:tc>
          <w:tcPr>
            <w:tcW w:w="2205" w:type="dxa"/>
          </w:tcPr>
          <w:p w:rsidR="00B754AD" w:rsidRPr="00BB5484" w:rsidRDefault="00B754AD" w:rsidP="00B754AD">
            <w:pPr>
              <w:spacing w:before="0" w:line="240" w:lineRule="auto"/>
              <w:rPr>
                <w:rFonts w:asciiTheme="minorHAnsi" w:hAnsiTheme="minorHAnsi"/>
                <w:sz w:val="22"/>
                <w:szCs w:val="22"/>
                <w:lang w:val="en-US"/>
              </w:rPr>
            </w:pPr>
            <w:r w:rsidRPr="00E34329">
              <w:rPr>
                <w:rFonts w:asciiTheme="minorHAnsi" w:hAnsiTheme="minorHAnsi"/>
                <w:sz w:val="22"/>
                <w:szCs w:val="22"/>
              </w:rPr>
              <w:t>Power Purchase Quantum</w:t>
            </w:r>
          </w:p>
        </w:tc>
        <w:tc>
          <w:tcPr>
            <w:tcW w:w="5942" w:type="dxa"/>
          </w:tcPr>
          <w:p w:rsidR="00B754AD" w:rsidRPr="00BB5484" w:rsidRDefault="00B754AD" w:rsidP="00B754AD">
            <w:pPr>
              <w:spacing w:before="0" w:line="240" w:lineRule="auto"/>
              <w:rPr>
                <w:rFonts w:asciiTheme="minorHAnsi" w:hAnsiTheme="minorHAnsi"/>
                <w:sz w:val="22"/>
                <w:szCs w:val="22"/>
              </w:rPr>
            </w:pPr>
            <w:r w:rsidRPr="00E34329">
              <w:rPr>
                <w:rFonts w:asciiTheme="minorHAnsi" w:hAnsiTheme="minorHAnsi"/>
                <w:sz w:val="22"/>
                <w:szCs w:val="22"/>
              </w:rPr>
              <w:t>Net Power Purchase Quantum is considered based on the Commission’s Order for UPRVUNL stations.</w:t>
            </w:r>
          </w:p>
          <w:p w:rsidR="00B754AD" w:rsidRPr="00BB5484" w:rsidRDefault="00B754AD" w:rsidP="00B754AD">
            <w:pPr>
              <w:spacing w:before="0" w:line="240" w:lineRule="auto"/>
              <w:rPr>
                <w:rFonts w:asciiTheme="minorHAnsi" w:hAnsiTheme="minorHAnsi"/>
                <w:sz w:val="22"/>
                <w:szCs w:val="22"/>
                <w:lang w:val="en-US"/>
              </w:rPr>
            </w:pPr>
            <w:r w:rsidRPr="00E34329">
              <w:rPr>
                <w:rFonts w:asciiTheme="minorHAnsi" w:hAnsiTheme="minorHAnsi"/>
                <w:sz w:val="22"/>
                <w:szCs w:val="22"/>
              </w:rPr>
              <w:t>Further the quantum is approved as per Merit order despatch principles.</w:t>
            </w:r>
          </w:p>
        </w:tc>
      </w:tr>
      <w:tr w:rsidR="00B754AD" w:rsidRPr="00BB5484" w:rsidTr="00B754AD">
        <w:tc>
          <w:tcPr>
            <w:tcW w:w="738" w:type="dxa"/>
            <w:vAlign w:val="center"/>
          </w:tcPr>
          <w:p w:rsidR="00B754AD" w:rsidRDefault="00B754AD" w:rsidP="00B754AD">
            <w:pPr>
              <w:spacing w:before="0" w:line="240" w:lineRule="auto"/>
              <w:jc w:val="center"/>
              <w:rPr>
                <w:rFonts w:asciiTheme="minorHAnsi" w:hAnsiTheme="minorHAnsi"/>
                <w:sz w:val="22"/>
                <w:szCs w:val="22"/>
                <w:lang w:val="en-US"/>
              </w:rPr>
            </w:pPr>
            <w:r w:rsidRPr="00E34329">
              <w:rPr>
                <w:rFonts w:asciiTheme="minorHAnsi" w:hAnsiTheme="minorHAnsi"/>
                <w:sz w:val="22"/>
                <w:szCs w:val="22"/>
              </w:rPr>
              <w:t>2</w:t>
            </w:r>
          </w:p>
        </w:tc>
        <w:tc>
          <w:tcPr>
            <w:tcW w:w="2205" w:type="dxa"/>
            <w:vAlign w:val="center"/>
          </w:tcPr>
          <w:p w:rsidR="00B754AD" w:rsidRPr="00BB5484" w:rsidRDefault="00B754AD" w:rsidP="00B754AD">
            <w:pPr>
              <w:spacing w:before="0" w:line="240" w:lineRule="auto"/>
              <w:rPr>
                <w:rFonts w:asciiTheme="minorHAnsi" w:hAnsiTheme="minorHAnsi"/>
                <w:sz w:val="22"/>
                <w:szCs w:val="22"/>
                <w:lang w:val="en-US"/>
              </w:rPr>
            </w:pPr>
            <w:r w:rsidRPr="00E34329">
              <w:rPr>
                <w:rFonts w:asciiTheme="minorHAnsi" w:hAnsiTheme="minorHAnsi"/>
                <w:sz w:val="22"/>
                <w:szCs w:val="22"/>
              </w:rPr>
              <w:t>Fixed &amp; Variable Charges</w:t>
            </w:r>
          </w:p>
        </w:tc>
        <w:tc>
          <w:tcPr>
            <w:tcW w:w="5942" w:type="dxa"/>
          </w:tcPr>
          <w:p w:rsidR="00B754AD" w:rsidRPr="00BB5484" w:rsidRDefault="00B754AD" w:rsidP="00B754AD">
            <w:pPr>
              <w:spacing w:before="0" w:line="240" w:lineRule="auto"/>
              <w:rPr>
                <w:rFonts w:asciiTheme="minorHAnsi" w:hAnsiTheme="minorHAnsi"/>
                <w:sz w:val="22"/>
                <w:szCs w:val="22"/>
                <w:lang w:val="en-US"/>
              </w:rPr>
            </w:pPr>
            <w:r w:rsidRPr="00E34329">
              <w:rPr>
                <w:rFonts w:asciiTheme="minorHAnsi" w:hAnsiTheme="minorHAnsi"/>
                <w:sz w:val="22"/>
                <w:szCs w:val="22"/>
                <w:lang w:val="en-US"/>
              </w:rPr>
              <w:t>Fixed and Variable charge per unit is considered based on the Commission’s Order for UPRVUNL stations</w:t>
            </w:r>
          </w:p>
        </w:tc>
      </w:tr>
    </w:tbl>
    <w:p w:rsidR="00B754AD" w:rsidRPr="00BB5484" w:rsidRDefault="00B754AD" w:rsidP="00B754AD">
      <w:pPr>
        <w:pStyle w:val="Heading3"/>
        <w:keepNext/>
        <w:keepLines/>
        <w:numPr>
          <w:ilvl w:val="0"/>
          <w:numId w:val="0"/>
        </w:numPr>
        <w:rPr>
          <w:rFonts w:asciiTheme="minorHAnsi" w:hAnsiTheme="minorHAnsi" w:cs="Calibri"/>
          <w:b/>
          <w:sz w:val="22"/>
          <w:szCs w:val="22"/>
          <w:lang w:val="en-US"/>
        </w:rPr>
      </w:pPr>
    </w:p>
    <w:p w:rsidR="00D5771F" w:rsidRDefault="00E34329" w:rsidP="00B754AD">
      <w:pPr>
        <w:spacing w:before="0"/>
        <w:jc w:val="center"/>
        <w:rPr>
          <w:rFonts w:asciiTheme="minorHAnsi" w:hAnsiTheme="minorHAnsi" w:cs="Calibri"/>
          <w:b/>
          <w:sz w:val="22"/>
          <w:szCs w:val="22"/>
          <w:lang w:val="en-US"/>
        </w:rPr>
      </w:pPr>
      <w:bookmarkStart w:id="520" w:name="_Toc457604039"/>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23</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ASSUMPTIONS FOR POWER PURCHASE FROM UPJVNL AS CONSIDERED BY THE COMMISSION</w:t>
      </w:r>
      <w:bookmarkEnd w:id="520"/>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59"/>
        <w:gridCol w:w="1984"/>
        <w:gridCol w:w="5942"/>
      </w:tblGrid>
      <w:tr w:rsidR="00DF7ACD" w:rsidRPr="00BB5484" w:rsidTr="00162F01">
        <w:tc>
          <w:tcPr>
            <w:tcW w:w="959" w:type="dxa"/>
            <w:shd w:val="clear" w:color="auto" w:fill="C6D9F1" w:themeFill="text2" w:themeFillTint="33"/>
          </w:tcPr>
          <w:p w:rsidR="00DF7ACD" w:rsidRPr="00BB5484" w:rsidRDefault="00E34329" w:rsidP="00B754AD">
            <w:pPr>
              <w:spacing w:before="0" w:line="240" w:lineRule="auto"/>
              <w:jc w:val="center"/>
              <w:rPr>
                <w:rFonts w:asciiTheme="minorHAnsi" w:hAnsiTheme="minorHAnsi" w:cs="Calibri"/>
                <w:b/>
                <w:sz w:val="22"/>
                <w:szCs w:val="22"/>
                <w:lang w:val="en-US"/>
              </w:rPr>
            </w:pPr>
            <w:r w:rsidRPr="00E34329">
              <w:rPr>
                <w:rFonts w:asciiTheme="minorHAnsi" w:hAnsiTheme="minorHAnsi"/>
                <w:b/>
                <w:sz w:val="22"/>
                <w:szCs w:val="22"/>
                <w:lang w:eastAsia="en-IN"/>
              </w:rPr>
              <w:t>S. No.</w:t>
            </w:r>
          </w:p>
        </w:tc>
        <w:tc>
          <w:tcPr>
            <w:tcW w:w="1984" w:type="dxa"/>
            <w:shd w:val="clear" w:color="auto" w:fill="C6D9F1" w:themeFill="text2" w:themeFillTint="33"/>
          </w:tcPr>
          <w:p w:rsidR="00DF7ACD" w:rsidRPr="00BB5484" w:rsidRDefault="00E34329" w:rsidP="00B754AD">
            <w:pPr>
              <w:spacing w:before="0" w:line="240" w:lineRule="auto"/>
              <w:jc w:val="center"/>
              <w:rPr>
                <w:rFonts w:asciiTheme="minorHAnsi" w:hAnsiTheme="minorHAnsi" w:cs="Calibri"/>
                <w:b/>
                <w:sz w:val="22"/>
                <w:szCs w:val="22"/>
                <w:lang w:val="en-US"/>
              </w:rPr>
            </w:pPr>
            <w:r w:rsidRPr="00E34329">
              <w:rPr>
                <w:rFonts w:asciiTheme="minorHAnsi" w:hAnsiTheme="minorHAnsi"/>
                <w:b/>
                <w:sz w:val="22"/>
                <w:szCs w:val="22"/>
                <w:lang w:eastAsia="en-IN"/>
              </w:rPr>
              <w:t>Particulars</w:t>
            </w:r>
          </w:p>
        </w:tc>
        <w:tc>
          <w:tcPr>
            <w:tcW w:w="5942" w:type="dxa"/>
            <w:shd w:val="clear" w:color="auto" w:fill="C6D9F1" w:themeFill="text2" w:themeFillTint="33"/>
          </w:tcPr>
          <w:p w:rsidR="00DF7ACD" w:rsidRPr="00BB5484" w:rsidRDefault="00E34329" w:rsidP="00B754AD">
            <w:pPr>
              <w:spacing w:before="0" w:line="240" w:lineRule="auto"/>
              <w:jc w:val="center"/>
              <w:rPr>
                <w:rFonts w:asciiTheme="minorHAnsi" w:hAnsiTheme="minorHAnsi" w:cs="Calibri"/>
                <w:b/>
                <w:sz w:val="22"/>
                <w:szCs w:val="22"/>
                <w:lang w:val="en-US"/>
              </w:rPr>
            </w:pPr>
            <w:r w:rsidRPr="00E34329">
              <w:rPr>
                <w:rFonts w:asciiTheme="minorHAnsi" w:hAnsiTheme="minorHAnsi"/>
                <w:b/>
                <w:sz w:val="22"/>
                <w:szCs w:val="22"/>
                <w:lang w:eastAsia="en-IN"/>
              </w:rPr>
              <w:t>Assumption</w:t>
            </w:r>
          </w:p>
        </w:tc>
      </w:tr>
      <w:tr w:rsidR="00DF7ACD" w:rsidRPr="00BB5484" w:rsidTr="00162F01">
        <w:tc>
          <w:tcPr>
            <w:tcW w:w="959" w:type="dxa"/>
          </w:tcPr>
          <w:p w:rsidR="00DF7ACD" w:rsidRPr="00BB5484" w:rsidRDefault="00E34329" w:rsidP="00B754AD">
            <w:pPr>
              <w:spacing w:before="0" w:line="240" w:lineRule="auto"/>
              <w:jc w:val="center"/>
              <w:rPr>
                <w:rFonts w:asciiTheme="minorHAnsi" w:hAnsiTheme="minorHAnsi" w:cs="Calibri"/>
                <w:b/>
                <w:sz w:val="22"/>
                <w:szCs w:val="22"/>
                <w:lang w:val="en-US"/>
              </w:rPr>
            </w:pPr>
            <w:r w:rsidRPr="00E34329">
              <w:rPr>
                <w:rFonts w:asciiTheme="minorHAnsi" w:hAnsiTheme="minorHAnsi"/>
                <w:sz w:val="22"/>
                <w:szCs w:val="22"/>
                <w:lang w:eastAsia="en-IN"/>
              </w:rPr>
              <w:t>1</w:t>
            </w:r>
          </w:p>
        </w:tc>
        <w:tc>
          <w:tcPr>
            <w:tcW w:w="1984" w:type="dxa"/>
          </w:tcPr>
          <w:p w:rsidR="00DF7ACD" w:rsidRPr="00BB5484" w:rsidRDefault="00E34329" w:rsidP="00B754AD">
            <w:pPr>
              <w:spacing w:before="0" w:line="240" w:lineRule="auto"/>
              <w:jc w:val="center"/>
              <w:rPr>
                <w:rFonts w:asciiTheme="minorHAnsi" w:hAnsiTheme="minorHAnsi" w:cs="Calibri"/>
                <w:b/>
                <w:sz w:val="22"/>
                <w:szCs w:val="22"/>
                <w:lang w:val="en-US"/>
              </w:rPr>
            </w:pPr>
            <w:r w:rsidRPr="00E34329">
              <w:rPr>
                <w:rFonts w:asciiTheme="minorHAnsi" w:hAnsiTheme="minorHAnsi"/>
                <w:sz w:val="22"/>
                <w:szCs w:val="22"/>
                <w:lang w:eastAsia="en-IN"/>
              </w:rPr>
              <w:t>Power Purchase Quantum</w:t>
            </w:r>
          </w:p>
        </w:tc>
        <w:tc>
          <w:tcPr>
            <w:tcW w:w="5942" w:type="dxa"/>
          </w:tcPr>
          <w:p w:rsidR="00DF7ACD" w:rsidRPr="00BB5484" w:rsidRDefault="00E34329" w:rsidP="00B754AD">
            <w:pPr>
              <w:pStyle w:val="ListParagraph"/>
              <w:numPr>
                <w:ilvl w:val="0"/>
                <w:numId w:val="172"/>
              </w:numPr>
              <w:spacing w:before="0" w:line="240" w:lineRule="auto"/>
              <w:jc w:val="left"/>
              <w:rPr>
                <w:rFonts w:asciiTheme="minorHAnsi" w:hAnsiTheme="minorHAnsi"/>
                <w:sz w:val="22"/>
                <w:szCs w:val="22"/>
                <w:lang w:eastAsia="en-IN"/>
              </w:rPr>
            </w:pPr>
            <w:r w:rsidRPr="00E34329">
              <w:rPr>
                <w:rFonts w:asciiTheme="minorHAnsi" w:hAnsiTheme="minorHAnsi"/>
                <w:sz w:val="22"/>
                <w:szCs w:val="22"/>
                <w:lang w:eastAsia="en-IN"/>
              </w:rPr>
              <w:t>Net Power Purchase from Belka and Babail is taken as projected by the Licensees.</w:t>
            </w:r>
          </w:p>
          <w:p w:rsidR="00DF7ACD" w:rsidRPr="00BB5484" w:rsidRDefault="00E34329" w:rsidP="00B754AD">
            <w:pPr>
              <w:pStyle w:val="ListParagraph"/>
              <w:numPr>
                <w:ilvl w:val="0"/>
                <w:numId w:val="172"/>
              </w:numPr>
              <w:spacing w:before="0" w:line="240" w:lineRule="auto"/>
              <w:rPr>
                <w:rFonts w:asciiTheme="minorHAnsi" w:hAnsiTheme="minorHAnsi" w:cs="Calibri"/>
                <w:sz w:val="22"/>
                <w:szCs w:val="22"/>
                <w:lang w:val="en-US"/>
              </w:rPr>
            </w:pPr>
            <w:r w:rsidRPr="00E34329">
              <w:rPr>
                <w:rFonts w:asciiTheme="minorHAnsi" w:hAnsiTheme="minorHAnsi"/>
                <w:sz w:val="22"/>
                <w:szCs w:val="22"/>
                <w:lang w:eastAsia="en-IN"/>
              </w:rPr>
              <w:t>Hydro Stations are considered as Must-run in Merit Order Dispatch.</w:t>
            </w:r>
          </w:p>
        </w:tc>
      </w:tr>
      <w:tr w:rsidR="00DF7ACD" w:rsidRPr="00BB5484" w:rsidTr="00162F01">
        <w:tc>
          <w:tcPr>
            <w:tcW w:w="959" w:type="dxa"/>
          </w:tcPr>
          <w:p w:rsidR="00DF7ACD" w:rsidRPr="00BB5484" w:rsidRDefault="00E34329" w:rsidP="00B754AD">
            <w:pPr>
              <w:spacing w:before="0" w:line="240" w:lineRule="auto"/>
              <w:jc w:val="center"/>
              <w:rPr>
                <w:rFonts w:asciiTheme="minorHAnsi" w:hAnsiTheme="minorHAnsi" w:cs="Calibri"/>
                <w:b/>
                <w:sz w:val="22"/>
                <w:szCs w:val="22"/>
                <w:lang w:val="en-US"/>
              </w:rPr>
            </w:pPr>
            <w:r w:rsidRPr="00E34329">
              <w:rPr>
                <w:rFonts w:asciiTheme="minorHAnsi" w:hAnsiTheme="minorHAnsi"/>
                <w:sz w:val="22"/>
                <w:szCs w:val="22"/>
                <w:lang w:eastAsia="en-IN"/>
              </w:rPr>
              <w:t>2</w:t>
            </w:r>
          </w:p>
        </w:tc>
        <w:tc>
          <w:tcPr>
            <w:tcW w:w="1984" w:type="dxa"/>
          </w:tcPr>
          <w:p w:rsidR="00DF7ACD" w:rsidRPr="00BB5484" w:rsidRDefault="00E34329" w:rsidP="00B754AD">
            <w:pPr>
              <w:spacing w:before="0" w:line="240" w:lineRule="auto"/>
              <w:jc w:val="center"/>
              <w:rPr>
                <w:rFonts w:asciiTheme="minorHAnsi" w:hAnsiTheme="minorHAnsi" w:cs="Calibri"/>
                <w:b/>
                <w:sz w:val="22"/>
                <w:szCs w:val="22"/>
                <w:lang w:val="en-US"/>
              </w:rPr>
            </w:pPr>
            <w:r w:rsidRPr="00E34329">
              <w:rPr>
                <w:rFonts w:asciiTheme="minorHAnsi" w:hAnsiTheme="minorHAnsi"/>
                <w:sz w:val="22"/>
                <w:szCs w:val="22"/>
                <w:lang w:eastAsia="en-IN"/>
              </w:rPr>
              <w:t>Fixed &amp; Variable Charges</w:t>
            </w:r>
          </w:p>
        </w:tc>
        <w:tc>
          <w:tcPr>
            <w:tcW w:w="5942" w:type="dxa"/>
          </w:tcPr>
          <w:p w:rsidR="00DF7ACD" w:rsidRPr="00BB5484" w:rsidRDefault="00E34329" w:rsidP="00B754AD">
            <w:pPr>
              <w:spacing w:before="0" w:line="240" w:lineRule="auto"/>
              <w:rPr>
                <w:rFonts w:asciiTheme="minorHAnsi" w:hAnsiTheme="minorHAnsi" w:cs="Calibri"/>
                <w:b/>
                <w:sz w:val="22"/>
                <w:szCs w:val="22"/>
                <w:lang w:val="en-US"/>
              </w:rPr>
            </w:pPr>
            <w:r w:rsidRPr="00E34329">
              <w:rPr>
                <w:rFonts w:asciiTheme="minorHAnsi" w:hAnsiTheme="minorHAnsi"/>
                <w:sz w:val="22"/>
                <w:szCs w:val="22"/>
                <w:lang w:eastAsia="en-IN"/>
              </w:rPr>
              <w:t>The same has been considered as submitted by the Licensee which is as per the actual bills raised by UPJVNL for the period April to September, 2015.</w:t>
            </w:r>
          </w:p>
        </w:tc>
      </w:tr>
    </w:tbl>
    <w:p w:rsidR="00DF7ACD" w:rsidRPr="00BB5484" w:rsidRDefault="00DF7ACD" w:rsidP="00DF7ACD">
      <w:pPr>
        <w:keepNext/>
        <w:spacing w:before="0"/>
        <w:jc w:val="center"/>
        <w:rPr>
          <w:rFonts w:asciiTheme="minorHAnsi" w:hAnsiTheme="minorHAnsi" w:cs="Calibri"/>
          <w:b/>
          <w:sz w:val="22"/>
          <w:szCs w:val="22"/>
          <w:lang w:val="en-US"/>
        </w:rPr>
      </w:pPr>
    </w:p>
    <w:p w:rsidR="00D5771F" w:rsidRDefault="00E34329">
      <w:pPr>
        <w:pStyle w:val="Heading3"/>
        <w:tabs>
          <w:tab w:val="clear" w:pos="720"/>
        </w:tabs>
        <w:spacing w:after="240"/>
        <w:ind w:left="993" w:hanging="993"/>
        <w:rPr>
          <w:rFonts w:asciiTheme="minorHAnsi" w:hAnsiTheme="minorHAnsi"/>
        </w:rPr>
      </w:pPr>
      <w:bookmarkStart w:id="521" w:name="_Toc454753172"/>
      <w:bookmarkStart w:id="522" w:name="_Toc455415617"/>
      <w:bookmarkStart w:id="523" w:name="_Toc455418603"/>
      <w:bookmarkStart w:id="524" w:name="_Toc455419685"/>
      <w:bookmarkStart w:id="525" w:name="_Toc455420439"/>
      <w:bookmarkStart w:id="526" w:name="_Toc455484372"/>
      <w:bookmarkStart w:id="527" w:name="_Toc455485435"/>
      <w:bookmarkStart w:id="528" w:name="_Toc455490174"/>
      <w:bookmarkStart w:id="529" w:name="_Toc455494966"/>
      <w:bookmarkStart w:id="530" w:name="_Toc455497341"/>
      <w:bookmarkStart w:id="531" w:name="_Toc455497451"/>
      <w:bookmarkStart w:id="532" w:name="_Toc455497561"/>
      <w:bookmarkStart w:id="533" w:name="_Toc455497672"/>
      <w:bookmarkStart w:id="534" w:name="_Toc455497785"/>
      <w:bookmarkStart w:id="535" w:name="_Toc455505981"/>
      <w:bookmarkStart w:id="536" w:name="_Toc455577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E34329">
        <w:rPr>
          <w:rFonts w:asciiTheme="minorHAnsi" w:hAnsiTheme="minorHAnsi"/>
        </w:rPr>
        <w:t>Based on above approach, the summary of approved cost of power purchase from UPRVUNL and UPJVNL generating stations for FY 2016-17 is given in the following Tables:</w:t>
      </w:r>
    </w:p>
    <w:p w:rsidR="00C34658" w:rsidRPr="00BB5484" w:rsidRDefault="00E34329" w:rsidP="00C34658">
      <w:pPr>
        <w:keepNext/>
        <w:spacing w:before="0"/>
        <w:ind w:left="-187"/>
        <w:jc w:val="center"/>
        <w:rPr>
          <w:rFonts w:asciiTheme="minorHAnsi" w:hAnsiTheme="minorHAnsi" w:cs="Calibri"/>
          <w:b/>
          <w:sz w:val="22"/>
          <w:szCs w:val="22"/>
          <w:lang w:val="en-US"/>
        </w:rPr>
      </w:pPr>
      <w:bookmarkStart w:id="537" w:name="_Toc325475664"/>
      <w:bookmarkStart w:id="538" w:name="_Toc338310679"/>
      <w:bookmarkStart w:id="539" w:name="_Toc338419509"/>
      <w:bookmarkStart w:id="540" w:name="_Toc357721100"/>
      <w:bookmarkStart w:id="541" w:name="_Toc395657939"/>
      <w:bookmarkStart w:id="542" w:name="_Toc396573990"/>
      <w:bookmarkStart w:id="543" w:name="_Toc399624091"/>
      <w:bookmarkStart w:id="544" w:name="_Toc453367670"/>
      <w:bookmarkStart w:id="545" w:name="_Toc457604040"/>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24</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xml:space="preserve">: APPROVED COST OF POWER PURCHASE FROM UPRVUNL STATIONS FOR FY </w:t>
      </w:r>
      <w:bookmarkEnd w:id="537"/>
      <w:bookmarkEnd w:id="538"/>
      <w:bookmarkEnd w:id="539"/>
      <w:bookmarkEnd w:id="540"/>
      <w:bookmarkEnd w:id="541"/>
      <w:bookmarkEnd w:id="542"/>
      <w:bookmarkEnd w:id="543"/>
      <w:r w:rsidRPr="00E34329">
        <w:rPr>
          <w:rFonts w:asciiTheme="minorHAnsi" w:hAnsiTheme="minorHAnsi" w:cs="Calibri"/>
          <w:b/>
          <w:sz w:val="22"/>
          <w:szCs w:val="22"/>
          <w:lang w:val="en-US"/>
        </w:rPr>
        <w:t>2016-17</w:t>
      </w:r>
      <w:bookmarkEnd w:id="544"/>
      <w:bookmarkEnd w:id="545"/>
    </w:p>
    <w:tbl>
      <w:tblPr>
        <w:tblW w:w="93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440"/>
        <w:gridCol w:w="1062"/>
        <w:gridCol w:w="1107"/>
        <w:gridCol w:w="708"/>
        <w:gridCol w:w="996"/>
        <w:gridCol w:w="708"/>
        <w:gridCol w:w="996"/>
        <w:gridCol w:w="708"/>
        <w:gridCol w:w="1107"/>
        <w:gridCol w:w="967"/>
      </w:tblGrid>
      <w:tr w:rsidR="00C34658" w:rsidRPr="009B7179" w:rsidTr="009B7179">
        <w:trPr>
          <w:trHeight w:val="600"/>
          <w:tblHeader/>
          <w:jc w:val="center"/>
        </w:trPr>
        <w:tc>
          <w:tcPr>
            <w:tcW w:w="0" w:type="auto"/>
            <w:vMerge w:val="restart"/>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bookmarkStart w:id="546" w:name="_Ref325470229"/>
            <w:bookmarkStart w:id="547" w:name="_Toc325475665"/>
            <w:bookmarkStart w:id="548" w:name="_Toc338310680"/>
            <w:bookmarkStart w:id="549" w:name="_Toc338419510"/>
            <w:bookmarkStart w:id="550" w:name="_Toc357721101"/>
            <w:r w:rsidRPr="009B7179">
              <w:rPr>
                <w:rFonts w:asciiTheme="minorHAnsi" w:hAnsiTheme="minorHAnsi"/>
                <w:b/>
                <w:sz w:val="22"/>
                <w:szCs w:val="22"/>
                <w:lang w:val="en-US"/>
              </w:rPr>
              <w:t>Source of Power</w:t>
            </w:r>
          </w:p>
        </w:tc>
        <w:tc>
          <w:tcPr>
            <w:tcW w:w="0" w:type="auto"/>
            <w:vMerge w:val="restart"/>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MW Available</w:t>
            </w:r>
          </w:p>
        </w:tc>
        <w:tc>
          <w:tcPr>
            <w:tcW w:w="1031" w:type="dxa"/>
            <w:vMerge w:val="restart"/>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MU</w:t>
            </w:r>
          </w:p>
        </w:tc>
        <w:tc>
          <w:tcPr>
            <w:tcW w:w="0" w:type="auto"/>
            <w:gridSpan w:val="2"/>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Fixed Cost</w:t>
            </w:r>
          </w:p>
        </w:tc>
        <w:tc>
          <w:tcPr>
            <w:tcW w:w="1638" w:type="dxa"/>
            <w:gridSpan w:val="2"/>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Variable Cost</w:t>
            </w:r>
          </w:p>
        </w:tc>
        <w:tc>
          <w:tcPr>
            <w:tcW w:w="0" w:type="auto"/>
            <w:gridSpan w:val="2"/>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Total Cost</w:t>
            </w:r>
          </w:p>
        </w:tc>
        <w:tc>
          <w:tcPr>
            <w:tcW w:w="0" w:type="auto"/>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Average Cost</w:t>
            </w:r>
          </w:p>
        </w:tc>
      </w:tr>
      <w:tr w:rsidR="00C34658" w:rsidRPr="009B7179" w:rsidTr="009B7179">
        <w:trPr>
          <w:trHeight w:val="600"/>
          <w:tblHeader/>
          <w:jc w:val="center"/>
        </w:trPr>
        <w:tc>
          <w:tcPr>
            <w:tcW w:w="0" w:type="auto"/>
            <w:vMerge/>
            <w:hideMark/>
          </w:tcPr>
          <w:p w:rsidR="00603835" w:rsidRPr="009B7179" w:rsidRDefault="00603835" w:rsidP="009B7179">
            <w:pPr>
              <w:spacing w:before="0" w:line="240" w:lineRule="auto"/>
              <w:jc w:val="center"/>
              <w:rPr>
                <w:rFonts w:asciiTheme="minorHAnsi" w:hAnsiTheme="minorHAnsi"/>
                <w:b/>
                <w:sz w:val="22"/>
                <w:szCs w:val="22"/>
                <w:lang w:val="en-US"/>
              </w:rPr>
            </w:pPr>
            <w:bookmarkStart w:id="551" w:name="_Toc457055594"/>
            <w:bookmarkEnd w:id="551"/>
          </w:p>
        </w:tc>
        <w:tc>
          <w:tcPr>
            <w:tcW w:w="0" w:type="auto"/>
            <w:vMerge/>
            <w:hideMark/>
          </w:tcPr>
          <w:p w:rsidR="00603835" w:rsidRPr="009B7179" w:rsidRDefault="00603835" w:rsidP="009B7179">
            <w:pPr>
              <w:spacing w:before="0" w:line="240" w:lineRule="auto"/>
              <w:jc w:val="center"/>
              <w:rPr>
                <w:rFonts w:asciiTheme="minorHAnsi" w:hAnsiTheme="minorHAnsi"/>
                <w:b/>
                <w:sz w:val="22"/>
                <w:szCs w:val="22"/>
                <w:lang w:val="en-US"/>
              </w:rPr>
            </w:pPr>
            <w:bookmarkStart w:id="552" w:name="_Toc457055595"/>
            <w:bookmarkEnd w:id="552"/>
          </w:p>
        </w:tc>
        <w:tc>
          <w:tcPr>
            <w:tcW w:w="1031" w:type="dxa"/>
            <w:vMerge/>
            <w:hideMark/>
          </w:tcPr>
          <w:p w:rsidR="00603835" w:rsidRPr="009B7179" w:rsidRDefault="00603835" w:rsidP="009B7179">
            <w:pPr>
              <w:spacing w:before="0" w:line="240" w:lineRule="auto"/>
              <w:jc w:val="center"/>
              <w:rPr>
                <w:rFonts w:asciiTheme="minorHAnsi" w:hAnsiTheme="minorHAnsi"/>
                <w:b/>
                <w:sz w:val="22"/>
                <w:szCs w:val="22"/>
                <w:lang w:val="en-US"/>
              </w:rPr>
            </w:pPr>
            <w:bookmarkStart w:id="553" w:name="_Toc457055596"/>
            <w:bookmarkEnd w:id="553"/>
          </w:p>
        </w:tc>
        <w:tc>
          <w:tcPr>
            <w:tcW w:w="0" w:type="auto"/>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(Rs. / kWh)</w:t>
            </w:r>
          </w:p>
        </w:tc>
        <w:tc>
          <w:tcPr>
            <w:tcW w:w="0" w:type="auto"/>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(Rs. Cr.)</w:t>
            </w:r>
          </w:p>
        </w:tc>
        <w:tc>
          <w:tcPr>
            <w:tcW w:w="708" w:type="dxa"/>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(Rs. / kWh)</w:t>
            </w:r>
          </w:p>
        </w:tc>
        <w:tc>
          <w:tcPr>
            <w:tcW w:w="0" w:type="auto"/>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(Rs. Cr.)</w:t>
            </w:r>
          </w:p>
        </w:tc>
        <w:tc>
          <w:tcPr>
            <w:tcW w:w="0" w:type="auto"/>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(Rs. / kWh)</w:t>
            </w:r>
          </w:p>
        </w:tc>
        <w:tc>
          <w:tcPr>
            <w:tcW w:w="0" w:type="auto"/>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(Rs. Cr.)</w:t>
            </w:r>
          </w:p>
        </w:tc>
        <w:tc>
          <w:tcPr>
            <w:tcW w:w="0" w:type="auto"/>
            <w:shd w:val="clear" w:color="000000" w:fill="DBE5F1"/>
            <w:hideMark/>
          </w:tcPr>
          <w:p w:rsidR="00603835" w:rsidRPr="009B7179" w:rsidRDefault="00E34329" w:rsidP="009B7179">
            <w:pPr>
              <w:spacing w:before="0" w:line="240" w:lineRule="auto"/>
              <w:jc w:val="center"/>
              <w:rPr>
                <w:rFonts w:asciiTheme="minorHAnsi" w:hAnsiTheme="minorHAnsi"/>
                <w:b/>
                <w:sz w:val="22"/>
                <w:szCs w:val="22"/>
                <w:lang w:val="en-US"/>
              </w:rPr>
            </w:pPr>
            <w:r w:rsidRPr="009B7179">
              <w:rPr>
                <w:rFonts w:asciiTheme="minorHAnsi" w:hAnsiTheme="minorHAnsi"/>
                <w:b/>
                <w:sz w:val="22"/>
                <w:szCs w:val="22"/>
                <w:lang w:val="en-US"/>
              </w:rPr>
              <w:t>(Rs. / kWh)</w:t>
            </w:r>
          </w:p>
        </w:tc>
      </w:tr>
      <w:tr w:rsidR="00C34658" w:rsidRPr="009B7179" w:rsidTr="009B7179">
        <w:trPr>
          <w:trHeight w:val="315"/>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Anpara A</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630.00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4,292.25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0.72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309.20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1.87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802.65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2.59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1,111.85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2.59 </w:t>
            </w:r>
          </w:p>
        </w:tc>
      </w:tr>
      <w:tr w:rsidR="00C34658" w:rsidRPr="009B7179" w:rsidTr="009B7179">
        <w:trPr>
          <w:trHeight w:val="315"/>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Anpara B</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1,000.00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7,055.09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0.65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459.88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1.62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1,142.92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2.27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1,602.80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2.27 </w:t>
            </w:r>
          </w:p>
        </w:tc>
      </w:tr>
      <w:tr w:rsidR="00C34658" w:rsidRPr="009B7179" w:rsidTr="009B7179">
        <w:trPr>
          <w:trHeight w:val="315"/>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Harduagunj</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165.00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840.86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1.47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123.42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3.47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291.78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4.94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415.20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4.94 </w:t>
            </w:r>
          </w:p>
        </w:tc>
      </w:tr>
      <w:tr w:rsidR="00C34658" w:rsidRPr="009B7179" w:rsidTr="009B7179">
        <w:trPr>
          <w:trHeight w:val="315"/>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Obra A</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288.00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1,070.65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1.81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194.07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1.60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171.30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3.41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365.37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3.41 </w:t>
            </w:r>
          </w:p>
        </w:tc>
      </w:tr>
      <w:tr w:rsidR="00C34658" w:rsidRPr="009B7179" w:rsidTr="009B7179">
        <w:trPr>
          <w:trHeight w:val="315"/>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Obra B</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1,000.00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6,328.22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0.69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436.17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1.52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961.89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2.21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1,398.06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2.21 </w:t>
            </w:r>
          </w:p>
        </w:tc>
      </w:tr>
      <w:tr w:rsidR="00C34658" w:rsidRPr="009B7179" w:rsidTr="009B7179">
        <w:trPr>
          <w:trHeight w:val="315"/>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Panki</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210.00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1,161.52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1.44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167.70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3.45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400.72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4.89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568.42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4.89 </w:t>
            </w:r>
          </w:p>
        </w:tc>
      </w:tr>
      <w:tr w:rsidR="00C34658" w:rsidRPr="009B7179" w:rsidTr="009B7179">
        <w:trPr>
          <w:trHeight w:val="315"/>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Parichha</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220.00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1,290.74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1.06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136.82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3.90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503.39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4.96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640.21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4.96 </w:t>
            </w:r>
          </w:p>
        </w:tc>
      </w:tr>
      <w:tr w:rsidR="00C34658" w:rsidRPr="009B7179" w:rsidTr="009B7179">
        <w:trPr>
          <w:trHeight w:val="315"/>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ParichhaExtn.</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420.00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2,845.86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1.35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384.40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3.21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913.52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4.56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1,297.92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4.56 </w:t>
            </w:r>
          </w:p>
        </w:tc>
      </w:tr>
      <w:tr w:rsidR="00C34658" w:rsidRPr="009B7179" w:rsidTr="009B7179">
        <w:trPr>
          <w:trHeight w:val="600"/>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ParichhaExtn. Stage II</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500.00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3,387.93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1.84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624.00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3.21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1,087.53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5.05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1,711.53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5.05 </w:t>
            </w:r>
          </w:p>
        </w:tc>
      </w:tr>
      <w:tr w:rsidR="00C34658" w:rsidRPr="009B7179" w:rsidTr="009B7179">
        <w:trPr>
          <w:trHeight w:val="315"/>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lastRenderedPageBreak/>
              <w:t>Harduaganj Ext.</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500.00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3,387.93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1.99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672.96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2.67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904.58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4.66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1,577.54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4.66 </w:t>
            </w:r>
          </w:p>
        </w:tc>
      </w:tr>
      <w:tr w:rsidR="00C34658" w:rsidRPr="009B7179" w:rsidTr="009B7179">
        <w:trPr>
          <w:trHeight w:val="315"/>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Anpara D</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1,000.00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7,000.11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1.89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1,323.02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1.44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1,008.02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3.33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2,331.04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3.33 </w:t>
            </w:r>
          </w:p>
        </w:tc>
      </w:tr>
      <w:tr w:rsidR="00C34658" w:rsidRPr="009B7179" w:rsidTr="009B7179">
        <w:trPr>
          <w:trHeight w:val="300"/>
          <w:jc w:val="center"/>
        </w:trPr>
        <w:tc>
          <w:tcPr>
            <w:tcW w:w="0" w:type="auto"/>
            <w:shd w:val="clear" w:color="auto" w:fill="auto"/>
            <w:vAlign w:val="center"/>
            <w:hideMark/>
          </w:tcPr>
          <w:p w:rsidR="00C34658" w:rsidRPr="009B7179" w:rsidRDefault="00E34329" w:rsidP="009B7179">
            <w:pPr>
              <w:spacing w:before="0" w:line="240" w:lineRule="auto"/>
              <w:jc w:val="left"/>
              <w:rPr>
                <w:rFonts w:asciiTheme="minorHAnsi" w:hAnsiTheme="minorHAnsi"/>
                <w:sz w:val="22"/>
                <w:szCs w:val="22"/>
                <w:lang w:val="en-US"/>
              </w:rPr>
            </w:pPr>
            <w:r w:rsidRPr="009B7179">
              <w:rPr>
                <w:rFonts w:asciiTheme="minorHAnsi" w:hAnsiTheme="minorHAnsi"/>
                <w:sz w:val="22"/>
                <w:szCs w:val="22"/>
                <w:lang w:val="en-US"/>
              </w:rPr>
              <w:t>Total</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5,933.00 </w:t>
            </w:r>
          </w:p>
        </w:tc>
        <w:tc>
          <w:tcPr>
            <w:tcW w:w="1031"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38,661.16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1.25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4,831.64 </w:t>
            </w:r>
          </w:p>
        </w:tc>
        <w:tc>
          <w:tcPr>
            <w:tcW w:w="708" w:type="dxa"/>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2.12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8,188.30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3.37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13,019.94 </w:t>
            </w:r>
          </w:p>
        </w:tc>
        <w:tc>
          <w:tcPr>
            <w:tcW w:w="0" w:type="auto"/>
            <w:shd w:val="clear" w:color="auto" w:fill="auto"/>
            <w:vAlign w:val="center"/>
            <w:hideMark/>
          </w:tcPr>
          <w:p w:rsidR="00C34658" w:rsidRPr="009B7179" w:rsidRDefault="00E34329" w:rsidP="009B7179">
            <w:pPr>
              <w:spacing w:before="0" w:line="240" w:lineRule="auto"/>
              <w:jc w:val="right"/>
              <w:rPr>
                <w:rFonts w:asciiTheme="minorHAnsi" w:hAnsiTheme="minorHAnsi"/>
                <w:sz w:val="22"/>
                <w:szCs w:val="22"/>
                <w:lang w:val="en-US"/>
              </w:rPr>
            </w:pPr>
            <w:r w:rsidRPr="009B7179">
              <w:rPr>
                <w:rFonts w:asciiTheme="minorHAnsi" w:hAnsiTheme="minorHAnsi"/>
                <w:color w:val="000000"/>
                <w:sz w:val="22"/>
                <w:szCs w:val="22"/>
              </w:rPr>
              <w:t xml:space="preserve">3.37 </w:t>
            </w:r>
          </w:p>
        </w:tc>
      </w:tr>
    </w:tbl>
    <w:p w:rsidR="00C34658" w:rsidRPr="00BB5484" w:rsidRDefault="00C34658" w:rsidP="009B7179">
      <w:pPr>
        <w:pStyle w:val="Caption"/>
        <w:keepNext/>
        <w:spacing w:before="0" w:after="0"/>
        <w:ind w:firstLine="720"/>
        <w:rPr>
          <w:rFonts w:asciiTheme="minorHAnsi" w:hAnsiTheme="minorHAnsi"/>
        </w:rPr>
      </w:pPr>
    </w:p>
    <w:p w:rsidR="00B754AD" w:rsidRDefault="00B754AD" w:rsidP="00C34658">
      <w:pPr>
        <w:keepNext/>
        <w:spacing w:before="0"/>
        <w:jc w:val="center"/>
        <w:rPr>
          <w:rFonts w:asciiTheme="minorHAnsi" w:hAnsiTheme="minorHAnsi" w:cs="Calibri"/>
          <w:b/>
          <w:sz w:val="22"/>
          <w:szCs w:val="22"/>
          <w:lang w:val="en-US"/>
        </w:rPr>
      </w:pPr>
      <w:bookmarkStart w:id="554" w:name="_Toc395657940"/>
      <w:bookmarkStart w:id="555" w:name="_Toc396573991"/>
      <w:bookmarkStart w:id="556" w:name="_Toc399624092"/>
      <w:bookmarkStart w:id="557" w:name="_Toc453367671"/>
      <w:bookmarkEnd w:id="546"/>
    </w:p>
    <w:p w:rsidR="00C34658" w:rsidRPr="00BB5484" w:rsidRDefault="00E34329" w:rsidP="00C34658">
      <w:pPr>
        <w:keepNext/>
        <w:spacing w:before="0"/>
        <w:jc w:val="center"/>
        <w:rPr>
          <w:rFonts w:asciiTheme="minorHAnsi" w:hAnsiTheme="minorHAnsi" w:cs="Calibri"/>
          <w:b/>
          <w:sz w:val="22"/>
          <w:szCs w:val="22"/>
          <w:lang w:val="en-US"/>
        </w:rPr>
      </w:pPr>
      <w:bookmarkStart w:id="558" w:name="_Toc457604041"/>
      <w:r w:rsidRPr="00E34329">
        <w:rPr>
          <w:rFonts w:asciiTheme="minorHAnsi" w:hAnsiTheme="minorHAnsi" w:cs="Calibri"/>
          <w:b/>
          <w:sz w:val="22"/>
          <w:szCs w:val="22"/>
          <w:lang w:val="en-US"/>
        </w:rPr>
        <w:t xml:space="preserve">Table </w:t>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STYLEREF 1 \s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noBreakHyphen/>
      </w:r>
      <w:r w:rsidR="009741CA" w:rsidRPr="00E34329">
        <w:rPr>
          <w:rFonts w:asciiTheme="minorHAnsi" w:hAnsiTheme="minorHAnsi" w:cs="Calibri"/>
          <w:b/>
          <w:sz w:val="22"/>
          <w:szCs w:val="22"/>
          <w:lang w:val="en-US"/>
        </w:rPr>
        <w:fldChar w:fldCharType="begin"/>
      </w:r>
      <w:r w:rsidRPr="00E34329">
        <w:rPr>
          <w:rFonts w:asciiTheme="minorHAnsi" w:hAnsiTheme="minorHAnsi" w:cs="Calibri"/>
          <w:b/>
          <w:sz w:val="22"/>
          <w:szCs w:val="22"/>
          <w:lang w:val="en-US"/>
        </w:rPr>
        <w:instrText xml:space="preserve"> SEQ Table \* ARABIC \s 1 </w:instrText>
      </w:r>
      <w:r w:rsidR="009741CA" w:rsidRPr="00E34329">
        <w:rPr>
          <w:rFonts w:asciiTheme="minorHAnsi" w:hAnsiTheme="minorHAnsi" w:cs="Calibri"/>
          <w:b/>
          <w:sz w:val="22"/>
          <w:szCs w:val="22"/>
          <w:lang w:val="en-US"/>
        </w:rPr>
        <w:fldChar w:fldCharType="separate"/>
      </w:r>
      <w:r w:rsidR="00BA08F0">
        <w:rPr>
          <w:rFonts w:asciiTheme="minorHAnsi" w:hAnsiTheme="minorHAnsi" w:cs="Calibri"/>
          <w:b/>
          <w:noProof/>
          <w:sz w:val="22"/>
          <w:szCs w:val="22"/>
          <w:lang w:val="en-US"/>
        </w:rPr>
        <w:t>25</w:t>
      </w:r>
      <w:r w:rsidR="009741CA" w:rsidRPr="00E34329">
        <w:rPr>
          <w:rFonts w:asciiTheme="minorHAnsi" w:hAnsiTheme="minorHAnsi" w:cs="Calibri"/>
          <w:b/>
          <w:sz w:val="22"/>
          <w:szCs w:val="22"/>
          <w:lang w:val="en-US"/>
        </w:rPr>
        <w:fldChar w:fldCharType="end"/>
      </w:r>
      <w:r w:rsidRPr="00E34329">
        <w:rPr>
          <w:rFonts w:asciiTheme="minorHAnsi" w:hAnsiTheme="minorHAnsi" w:cs="Calibri"/>
          <w:b/>
          <w:sz w:val="22"/>
          <w:szCs w:val="22"/>
          <w:lang w:val="en-US"/>
        </w:rPr>
        <w:t xml:space="preserve">: APPROVED COST OF POWER PURCHASE FROM UPJVNL STATIONS FOR FY </w:t>
      </w:r>
      <w:bookmarkEnd w:id="547"/>
      <w:bookmarkEnd w:id="548"/>
      <w:bookmarkEnd w:id="549"/>
      <w:bookmarkEnd w:id="550"/>
      <w:bookmarkEnd w:id="554"/>
      <w:bookmarkEnd w:id="555"/>
      <w:bookmarkEnd w:id="556"/>
      <w:r w:rsidRPr="00E34329">
        <w:rPr>
          <w:rFonts w:asciiTheme="minorHAnsi" w:hAnsiTheme="minorHAnsi" w:cs="Calibri"/>
          <w:b/>
          <w:sz w:val="22"/>
          <w:szCs w:val="22"/>
          <w:lang w:val="en-US"/>
        </w:rPr>
        <w:t>2016-17</w:t>
      </w:r>
      <w:bookmarkEnd w:id="557"/>
      <w:bookmarkEnd w:id="558"/>
    </w:p>
    <w:tbl>
      <w:tblPr>
        <w:tblW w:w="0" w:type="auto"/>
        <w:jc w:val="center"/>
        <w:tblInd w:w="13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30"/>
        <w:gridCol w:w="1062"/>
        <w:gridCol w:w="1234"/>
        <w:gridCol w:w="1389"/>
        <w:gridCol w:w="1276"/>
      </w:tblGrid>
      <w:tr w:rsidR="00C34658" w:rsidRPr="00BB5484" w:rsidTr="008334E8">
        <w:trPr>
          <w:trHeight w:val="300"/>
          <w:tblHeader/>
          <w:jc w:val="center"/>
        </w:trPr>
        <w:tc>
          <w:tcPr>
            <w:tcW w:w="2530" w:type="dxa"/>
            <w:vMerge w:val="restart"/>
            <w:shd w:val="clear" w:color="000000" w:fill="DBE5F1"/>
            <w:hideMark/>
          </w:tcPr>
          <w:p w:rsidR="00603835" w:rsidRDefault="00E34329">
            <w:pPr>
              <w:spacing w:before="0" w:line="240" w:lineRule="auto"/>
              <w:jc w:val="center"/>
              <w:rPr>
                <w:rFonts w:asciiTheme="minorHAnsi" w:hAnsiTheme="minorHAnsi"/>
                <w:b/>
                <w:sz w:val="22"/>
                <w:szCs w:val="22"/>
                <w:lang w:val="en-US"/>
              </w:rPr>
            </w:pPr>
            <w:bookmarkStart w:id="559" w:name="_Toc356322590"/>
            <w:bookmarkStart w:id="560" w:name="_Toc420193384"/>
            <w:bookmarkStart w:id="561" w:name="_Toc420193526"/>
            <w:bookmarkStart w:id="562" w:name="_Toc420196273"/>
            <w:bookmarkStart w:id="563" w:name="_Toc420197527"/>
            <w:bookmarkStart w:id="564" w:name="_Toc325475522"/>
            <w:bookmarkStart w:id="565" w:name="_Toc356322591"/>
            <w:bookmarkStart w:id="566" w:name="_Toc357720872"/>
            <w:bookmarkStart w:id="567" w:name="_Toc396573828"/>
            <w:bookmarkStart w:id="568" w:name="_Toc399623726"/>
            <w:bookmarkEnd w:id="559"/>
            <w:bookmarkEnd w:id="560"/>
            <w:bookmarkEnd w:id="561"/>
            <w:bookmarkEnd w:id="562"/>
            <w:bookmarkEnd w:id="563"/>
            <w:r w:rsidRPr="00E34329">
              <w:rPr>
                <w:rFonts w:asciiTheme="minorHAnsi" w:hAnsiTheme="minorHAnsi"/>
                <w:b/>
                <w:sz w:val="22"/>
                <w:szCs w:val="22"/>
                <w:lang w:val="en-US"/>
              </w:rPr>
              <w:t>Source of Power</w:t>
            </w:r>
          </w:p>
        </w:tc>
        <w:tc>
          <w:tcPr>
            <w:tcW w:w="1062" w:type="dxa"/>
            <w:vMerge w:val="restart"/>
            <w:shd w:val="clear" w:color="000000" w:fill="DBE5F1"/>
            <w:hideMark/>
          </w:tcPr>
          <w:p w:rsidR="00603835" w:rsidRDefault="00E34329">
            <w:pPr>
              <w:spacing w:before="0" w:line="240" w:lineRule="auto"/>
              <w:jc w:val="center"/>
              <w:rPr>
                <w:rFonts w:asciiTheme="minorHAnsi" w:hAnsiTheme="minorHAnsi"/>
                <w:b/>
                <w:sz w:val="22"/>
                <w:szCs w:val="22"/>
                <w:lang w:val="en-US"/>
              </w:rPr>
            </w:pPr>
            <w:r w:rsidRPr="00E34329">
              <w:rPr>
                <w:rFonts w:asciiTheme="minorHAnsi" w:hAnsiTheme="minorHAnsi"/>
                <w:b/>
                <w:sz w:val="22"/>
                <w:szCs w:val="22"/>
                <w:lang w:val="en-US"/>
              </w:rPr>
              <w:t>MW Available</w:t>
            </w:r>
          </w:p>
        </w:tc>
        <w:tc>
          <w:tcPr>
            <w:tcW w:w="1234" w:type="dxa"/>
            <w:vMerge w:val="restart"/>
            <w:shd w:val="clear" w:color="000000" w:fill="DBE5F1"/>
            <w:hideMark/>
          </w:tcPr>
          <w:p w:rsidR="00603835" w:rsidRDefault="00E34329">
            <w:pPr>
              <w:spacing w:before="0" w:line="240" w:lineRule="auto"/>
              <w:jc w:val="center"/>
              <w:rPr>
                <w:rFonts w:asciiTheme="minorHAnsi" w:hAnsiTheme="minorHAnsi"/>
                <w:b/>
                <w:sz w:val="22"/>
                <w:szCs w:val="22"/>
                <w:lang w:val="en-US"/>
              </w:rPr>
            </w:pPr>
            <w:r w:rsidRPr="00E34329">
              <w:rPr>
                <w:rFonts w:asciiTheme="minorHAnsi" w:hAnsiTheme="minorHAnsi"/>
                <w:b/>
                <w:sz w:val="22"/>
                <w:szCs w:val="22"/>
                <w:lang w:val="en-US"/>
              </w:rPr>
              <w:t>MU</w:t>
            </w:r>
          </w:p>
        </w:tc>
        <w:tc>
          <w:tcPr>
            <w:tcW w:w="0" w:type="auto"/>
            <w:gridSpan w:val="2"/>
            <w:shd w:val="clear" w:color="000000" w:fill="DBE5F1"/>
            <w:hideMark/>
          </w:tcPr>
          <w:p w:rsidR="00603835" w:rsidRDefault="00E34329">
            <w:pPr>
              <w:spacing w:before="0" w:line="240" w:lineRule="auto"/>
              <w:jc w:val="center"/>
              <w:rPr>
                <w:rFonts w:asciiTheme="minorHAnsi" w:hAnsiTheme="minorHAnsi"/>
                <w:b/>
                <w:sz w:val="22"/>
                <w:szCs w:val="22"/>
                <w:lang w:val="en-US"/>
              </w:rPr>
            </w:pPr>
            <w:r w:rsidRPr="00E34329">
              <w:rPr>
                <w:rFonts w:asciiTheme="minorHAnsi" w:hAnsiTheme="minorHAnsi"/>
                <w:b/>
                <w:sz w:val="22"/>
                <w:szCs w:val="22"/>
                <w:lang w:val="en-US"/>
              </w:rPr>
              <w:t>Fixed Cost</w:t>
            </w:r>
          </w:p>
        </w:tc>
      </w:tr>
      <w:tr w:rsidR="00C34658" w:rsidRPr="00BB5484" w:rsidTr="0000599F">
        <w:trPr>
          <w:trHeight w:val="179"/>
          <w:tblHeader/>
          <w:jc w:val="center"/>
        </w:trPr>
        <w:tc>
          <w:tcPr>
            <w:tcW w:w="2530" w:type="dxa"/>
            <w:vMerge/>
            <w:hideMark/>
          </w:tcPr>
          <w:p w:rsidR="00603835" w:rsidRDefault="00603835">
            <w:pPr>
              <w:spacing w:before="0" w:line="240" w:lineRule="auto"/>
              <w:jc w:val="center"/>
              <w:rPr>
                <w:rFonts w:asciiTheme="minorHAnsi" w:hAnsiTheme="minorHAnsi" w:cs="Arial"/>
                <w:b/>
                <w:bCs/>
                <w:caps/>
                <w:kern w:val="32"/>
                <w:sz w:val="22"/>
                <w:szCs w:val="22"/>
                <w:lang w:val="en-US"/>
              </w:rPr>
            </w:pPr>
          </w:p>
        </w:tc>
        <w:tc>
          <w:tcPr>
            <w:tcW w:w="1062" w:type="dxa"/>
            <w:vMerge/>
            <w:hideMark/>
          </w:tcPr>
          <w:p w:rsidR="00603835" w:rsidRDefault="00603835">
            <w:pPr>
              <w:spacing w:before="0" w:line="240" w:lineRule="auto"/>
              <w:jc w:val="center"/>
              <w:rPr>
                <w:rFonts w:asciiTheme="minorHAnsi" w:hAnsiTheme="minorHAnsi" w:cs="Arial"/>
                <w:b/>
                <w:bCs/>
                <w:caps/>
                <w:kern w:val="32"/>
                <w:sz w:val="22"/>
                <w:szCs w:val="22"/>
                <w:lang w:val="en-US"/>
              </w:rPr>
            </w:pPr>
          </w:p>
        </w:tc>
        <w:tc>
          <w:tcPr>
            <w:tcW w:w="1234" w:type="dxa"/>
            <w:vMerge/>
            <w:hideMark/>
          </w:tcPr>
          <w:p w:rsidR="00603835" w:rsidRDefault="00603835">
            <w:pPr>
              <w:spacing w:before="0" w:line="240" w:lineRule="auto"/>
              <w:jc w:val="center"/>
              <w:rPr>
                <w:rFonts w:asciiTheme="minorHAnsi" w:hAnsiTheme="minorHAnsi" w:cs="Arial"/>
                <w:b/>
                <w:bCs/>
                <w:caps/>
                <w:kern w:val="32"/>
                <w:sz w:val="22"/>
                <w:szCs w:val="22"/>
                <w:lang w:val="en-US"/>
              </w:rPr>
            </w:pPr>
          </w:p>
        </w:tc>
        <w:tc>
          <w:tcPr>
            <w:tcW w:w="1389" w:type="dxa"/>
            <w:shd w:val="clear" w:color="000000" w:fill="DBE5F1"/>
            <w:hideMark/>
          </w:tcPr>
          <w:p w:rsidR="00603835" w:rsidRDefault="00E34329">
            <w:pPr>
              <w:spacing w:before="0" w:line="240" w:lineRule="auto"/>
              <w:jc w:val="center"/>
              <w:rPr>
                <w:rFonts w:asciiTheme="minorHAnsi" w:hAnsiTheme="minorHAnsi"/>
                <w:b/>
                <w:sz w:val="22"/>
                <w:szCs w:val="22"/>
                <w:lang w:val="en-US"/>
              </w:rPr>
            </w:pPr>
            <w:r w:rsidRPr="00E34329">
              <w:rPr>
                <w:rFonts w:asciiTheme="minorHAnsi" w:hAnsiTheme="minorHAnsi"/>
                <w:b/>
                <w:sz w:val="22"/>
                <w:szCs w:val="22"/>
                <w:lang w:val="en-US"/>
              </w:rPr>
              <w:t>(Rs. / kWh)</w:t>
            </w:r>
          </w:p>
        </w:tc>
        <w:tc>
          <w:tcPr>
            <w:tcW w:w="1276" w:type="dxa"/>
            <w:shd w:val="clear" w:color="000000" w:fill="DBE5F1"/>
            <w:hideMark/>
          </w:tcPr>
          <w:p w:rsidR="00603835" w:rsidRDefault="00E34329">
            <w:pPr>
              <w:spacing w:before="0" w:line="240" w:lineRule="auto"/>
              <w:jc w:val="center"/>
              <w:rPr>
                <w:rFonts w:asciiTheme="minorHAnsi" w:hAnsiTheme="minorHAnsi"/>
                <w:b/>
                <w:sz w:val="22"/>
                <w:szCs w:val="22"/>
                <w:lang w:val="en-US"/>
              </w:rPr>
            </w:pPr>
            <w:r w:rsidRPr="00E34329">
              <w:rPr>
                <w:rFonts w:asciiTheme="minorHAnsi" w:hAnsiTheme="minorHAnsi"/>
                <w:b/>
                <w:sz w:val="22"/>
                <w:szCs w:val="22"/>
                <w:lang w:val="en-US"/>
              </w:rPr>
              <w:t>(Rs. Cr.)</w:t>
            </w:r>
          </w:p>
        </w:tc>
      </w:tr>
      <w:tr w:rsidR="00C34658" w:rsidRPr="00BB5484" w:rsidTr="00D55642">
        <w:trPr>
          <w:trHeight w:val="300"/>
          <w:jc w:val="center"/>
        </w:trPr>
        <w:tc>
          <w:tcPr>
            <w:tcW w:w="2530" w:type="dxa"/>
            <w:shd w:val="clear" w:color="auto" w:fill="auto"/>
            <w:hideMark/>
          </w:tcPr>
          <w:p w:rsidR="00D5771F" w:rsidRDefault="00E34329">
            <w:pPr>
              <w:spacing w:before="0" w:line="240" w:lineRule="auto"/>
              <w:jc w:val="left"/>
              <w:rPr>
                <w:rFonts w:asciiTheme="minorHAnsi" w:hAnsiTheme="minorHAnsi"/>
                <w:sz w:val="22"/>
                <w:szCs w:val="22"/>
                <w:lang w:val="en-US"/>
              </w:rPr>
            </w:pPr>
            <w:r w:rsidRPr="00E34329">
              <w:rPr>
                <w:rFonts w:asciiTheme="minorHAnsi" w:hAnsiTheme="minorHAnsi"/>
                <w:sz w:val="22"/>
                <w:szCs w:val="22"/>
                <w:lang w:val="en-US"/>
              </w:rPr>
              <w:t>Khara</w:t>
            </w:r>
          </w:p>
        </w:tc>
        <w:tc>
          <w:tcPr>
            <w:tcW w:w="1062"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57.60</w:t>
            </w:r>
          </w:p>
        </w:tc>
        <w:tc>
          <w:tcPr>
            <w:tcW w:w="1234"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151.37</w:t>
            </w:r>
          </w:p>
        </w:tc>
        <w:tc>
          <w:tcPr>
            <w:tcW w:w="1389"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0.78</w:t>
            </w:r>
          </w:p>
        </w:tc>
        <w:tc>
          <w:tcPr>
            <w:tcW w:w="1276"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11.79</w:t>
            </w:r>
          </w:p>
        </w:tc>
      </w:tr>
      <w:tr w:rsidR="00C34658" w:rsidRPr="00BB5484" w:rsidTr="00D55642">
        <w:trPr>
          <w:trHeight w:val="300"/>
          <w:jc w:val="center"/>
        </w:trPr>
        <w:tc>
          <w:tcPr>
            <w:tcW w:w="2530" w:type="dxa"/>
            <w:shd w:val="clear" w:color="auto" w:fill="auto"/>
            <w:hideMark/>
          </w:tcPr>
          <w:p w:rsidR="00D5771F" w:rsidRDefault="00E34329">
            <w:pPr>
              <w:spacing w:before="0" w:line="240" w:lineRule="auto"/>
              <w:jc w:val="left"/>
              <w:rPr>
                <w:rFonts w:asciiTheme="minorHAnsi" w:hAnsiTheme="minorHAnsi"/>
                <w:sz w:val="22"/>
                <w:szCs w:val="22"/>
                <w:lang w:val="en-US"/>
              </w:rPr>
            </w:pPr>
            <w:r w:rsidRPr="00E34329">
              <w:rPr>
                <w:rFonts w:asciiTheme="minorHAnsi" w:hAnsiTheme="minorHAnsi"/>
                <w:sz w:val="22"/>
                <w:szCs w:val="22"/>
                <w:lang w:val="en-US"/>
              </w:rPr>
              <w:t>Matatila</w:t>
            </w:r>
          </w:p>
        </w:tc>
        <w:tc>
          <w:tcPr>
            <w:tcW w:w="1062"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20.00</w:t>
            </w:r>
          </w:p>
        </w:tc>
        <w:tc>
          <w:tcPr>
            <w:tcW w:w="1234"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52.56</w:t>
            </w:r>
          </w:p>
        </w:tc>
        <w:tc>
          <w:tcPr>
            <w:tcW w:w="1389"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0.70</w:t>
            </w:r>
          </w:p>
        </w:tc>
        <w:tc>
          <w:tcPr>
            <w:tcW w:w="1276"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3.70</w:t>
            </w:r>
          </w:p>
        </w:tc>
      </w:tr>
      <w:tr w:rsidR="00C34658" w:rsidRPr="00BB5484" w:rsidTr="00D55642">
        <w:trPr>
          <w:trHeight w:val="300"/>
          <w:jc w:val="center"/>
        </w:trPr>
        <w:tc>
          <w:tcPr>
            <w:tcW w:w="2530" w:type="dxa"/>
            <w:shd w:val="clear" w:color="auto" w:fill="auto"/>
            <w:hideMark/>
          </w:tcPr>
          <w:p w:rsidR="00D5771F" w:rsidRDefault="00E34329">
            <w:pPr>
              <w:spacing w:before="0" w:line="240" w:lineRule="auto"/>
              <w:jc w:val="left"/>
              <w:rPr>
                <w:rFonts w:asciiTheme="minorHAnsi" w:hAnsiTheme="minorHAnsi"/>
                <w:sz w:val="22"/>
                <w:szCs w:val="22"/>
                <w:lang w:val="en-US"/>
              </w:rPr>
            </w:pPr>
            <w:r w:rsidRPr="00E34329">
              <w:rPr>
                <w:rFonts w:asciiTheme="minorHAnsi" w:hAnsiTheme="minorHAnsi"/>
                <w:sz w:val="22"/>
                <w:szCs w:val="22"/>
                <w:lang w:val="en-US"/>
              </w:rPr>
              <w:t>Obra (Hydel)</w:t>
            </w:r>
          </w:p>
        </w:tc>
        <w:tc>
          <w:tcPr>
            <w:tcW w:w="1062"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99.00</w:t>
            </w:r>
          </w:p>
        </w:tc>
        <w:tc>
          <w:tcPr>
            <w:tcW w:w="1234"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260.17</w:t>
            </w:r>
          </w:p>
        </w:tc>
        <w:tc>
          <w:tcPr>
            <w:tcW w:w="1389"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0.68</w:t>
            </w:r>
          </w:p>
        </w:tc>
        <w:tc>
          <w:tcPr>
            <w:tcW w:w="1276"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17.73</w:t>
            </w:r>
          </w:p>
        </w:tc>
      </w:tr>
      <w:tr w:rsidR="00C34658" w:rsidRPr="00BB5484" w:rsidTr="00D55642">
        <w:trPr>
          <w:trHeight w:val="300"/>
          <w:jc w:val="center"/>
        </w:trPr>
        <w:tc>
          <w:tcPr>
            <w:tcW w:w="2530" w:type="dxa"/>
            <w:shd w:val="clear" w:color="auto" w:fill="auto"/>
            <w:hideMark/>
          </w:tcPr>
          <w:p w:rsidR="00D5771F" w:rsidRDefault="00E34329">
            <w:pPr>
              <w:spacing w:before="0" w:line="240" w:lineRule="auto"/>
              <w:jc w:val="left"/>
              <w:rPr>
                <w:rFonts w:asciiTheme="minorHAnsi" w:hAnsiTheme="minorHAnsi"/>
                <w:sz w:val="22"/>
                <w:szCs w:val="22"/>
                <w:lang w:val="en-US"/>
              </w:rPr>
            </w:pPr>
            <w:r w:rsidRPr="00E34329">
              <w:rPr>
                <w:rFonts w:asciiTheme="minorHAnsi" w:hAnsiTheme="minorHAnsi"/>
                <w:sz w:val="22"/>
                <w:szCs w:val="22"/>
                <w:lang w:val="en-US"/>
              </w:rPr>
              <w:t>Rihand</w:t>
            </w:r>
          </w:p>
        </w:tc>
        <w:tc>
          <w:tcPr>
            <w:tcW w:w="1062"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255.00</w:t>
            </w:r>
          </w:p>
        </w:tc>
        <w:tc>
          <w:tcPr>
            <w:tcW w:w="1234"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670.14</w:t>
            </w:r>
          </w:p>
        </w:tc>
        <w:tc>
          <w:tcPr>
            <w:tcW w:w="1389"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0.59</w:t>
            </w:r>
          </w:p>
        </w:tc>
        <w:tc>
          <w:tcPr>
            <w:tcW w:w="1276"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39.87</w:t>
            </w:r>
          </w:p>
        </w:tc>
      </w:tr>
      <w:tr w:rsidR="00C34658" w:rsidRPr="00BB5484" w:rsidTr="00D55642">
        <w:trPr>
          <w:trHeight w:val="167"/>
          <w:jc w:val="center"/>
        </w:trPr>
        <w:tc>
          <w:tcPr>
            <w:tcW w:w="2530" w:type="dxa"/>
            <w:shd w:val="clear" w:color="auto" w:fill="auto"/>
            <w:hideMark/>
          </w:tcPr>
          <w:p w:rsidR="00D5771F" w:rsidRDefault="00E34329">
            <w:pPr>
              <w:spacing w:before="0" w:line="240" w:lineRule="auto"/>
              <w:jc w:val="left"/>
              <w:rPr>
                <w:rFonts w:asciiTheme="minorHAnsi" w:hAnsiTheme="minorHAnsi"/>
                <w:sz w:val="22"/>
                <w:szCs w:val="22"/>
                <w:lang w:val="en-US"/>
              </w:rPr>
            </w:pPr>
            <w:r w:rsidRPr="00E34329">
              <w:rPr>
                <w:rFonts w:asciiTheme="minorHAnsi" w:hAnsiTheme="minorHAnsi"/>
                <w:sz w:val="22"/>
                <w:szCs w:val="22"/>
                <w:lang w:val="en-US"/>
              </w:rPr>
              <w:t>UGC Power Stations</w:t>
            </w:r>
          </w:p>
        </w:tc>
        <w:tc>
          <w:tcPr>
            <w:tcW w:w="1062"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13.70</w:t>
            </w:r>
          </w:p>
        </w:tc>
        <w:tc>
          <w:tcPr>
            <w:tcW w:w="1234"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36.00</w:t>
            </w:r>
          </w:p>
        </w:tc>
        <w:tc>
          <w:tcPr>
            <w:tcW w:w="1389"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2.30</w:t>
            </w:r>
          </w:p>
        </w:tc>
        <w:tc>
          <w:tcPr>
            <w:tcW w:w="1276"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8.29</w:t>
            </w:r>
          </w:p>
        </w:tc>
      </w:tr>
      <w:tr w:rsidR="00C34658" w:rsidRPr="00BB5484" w:rsidTr="00D55642">
        <w:trPr>
          <w:trHeight w:val="300"/>
          <w:jc w:val="center"/>
        </w:trPr>
        <w:tc>
          <w:tcPr>
            <w:tcW w:w="2530" w:type="dxa"/>
            <w:shd w:val="clear" w:color="auto" w:fill="auto"/>
            <w:hideMark/>
          </w:tcPr>
          <w:p w:rsidR="00D5771F" w:rsidRDefault="00E34329">
            <w:pPr>
              <w:spacing w:before="0" w:line="240" w:lineRule="auto"/>
              <w:jc w:val="left"/>
              <w:rPr>
                <w:rFonts w:asciiTheme="minorHAnsi" w:hAnsiTheme="minorHAnsi"/>
                <w:sz w:val="22"/>
                <w:szCs w:val="22"/>
                <w:lang w:val="en-US"/>
              </w:rPr>
            </w:pPr>
            <w:r w:rsidRPr="00E34329">
              <w:rPr>
                <w:rFonts w:asciiTheme="minorHAnsi" w:hAnsiTheme="minorHAnsi"/>
                <w:sz w:val="22"/>
                <w:szCs w:val="22"/>
                <w:lang w:val="en-US"/>
              </w:rPr>
              <w:t>Belka&amp;Babail</w:t>
            </w:r>
          </w:p>
        </w:tc>
        <w:tc>
          <w:tcPr>
            <w:tcW w:w="1062"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6.00</w:t>
            </w:r>
          </w:p>
        </w:tc>
        <w:tc>
          <w:tcPr>
            <w:tcW w:w="1234"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15.77</w:t>
            </w:r>
          </w:p>
        </w:tc>
        <w:tc>
          <w:tcPr>
            <w:tcW w:w="1389"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2.43</w:t>
            </w:r>
          </w:p>
        </w:tc>
        <w:tc>
          <w:tcPr>
            <w:tcW w:w="1276"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3.84</w:t>
            </w:r>
          </w:p>
        </w:tc>
      </w:tr>
      <w:tr w:rsidR="00C34658" w:rsidRPr="00BB5484" w:rsidTr="00D55642">
        <w:trPr>
          <w:trHeight w:val="300"/>
          <w:jc w:val="center"/>
        </w:trPr>
        <w:tc>
          <w:tcPr>
            <w:tcW w:w="2530" w:type="dxa"/>
            <w:shd w:val="clear" w:color="auto" w:fill="auto"/>
            <w:hideMark/>
          </w:tcPr>
          <w:p w:rsidR="00D5771F" w:rsidRDefault="00E34329">
            <w:pPr>
              <w:spacing w:before="0" w:line="240" w:lineRule="auto"/>
              <w:jc w:val="left"/>
              <w:rPr>
                <w:rFonts w:asciiTheme="minorHAnsi" w:hAnsiTheme="minorHAnsi"/>
                <w:sz w:val="22"/>
                <w:szCs w:val="22"/>
                <w:lang w:val="en-US"/>
              </w:rPr>
            </w:pPr>
            <w:r w:rsidRPr="00E34329">
              <w:rPr>
                <w:rFonts w:asciiTheme="minorHAnsi" w:hAnsiTheme="minorHAnsi"/>
                <w:sz w:val="22"/>
                <w:szCs w:val="22"/>
                <w:lang w:val="en-US"/>
              </w:rPr>
              <w:t>Sheetla</w:t>
            </w:r>
          </w:p>
        </w:tc>
        <w:tc>
          <w:tcPr>
            <w:tcW w:w="1062"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3.60</w:t>
            </w:r>
          </w:p>
        </w:tc>
        <w:tc>
          <w:tcPr>
            <w:tcW w:w="1234"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9.46</w:t>
            </w:r>
          </w:p>
        </w:tc>
        <w:tc>
          <w:tcPr>
            <w:tcW w:w="1389"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2.95</w:t>
            </w:r>
          </w:p>
        </w:tc>
        <w:tc>
          <w:tcPr>
            <w:tcW w:w="1276" w:type="dxa"/>
            <w:shd w:val="clear" w:color="auto" w:fill="auto"/>
            <w:vAlign w:val="center"/>
            <w:hideMark/>
          </w:tcPr>
          <w:p w:rsidR="00D5771F" w:rsidRDefault="00E34329">
            <w:pPr>
              <w:spacing w:before="0" w:line="240" w:lineRule="auto"/>
              <w:jc w:val="right"/>
              <w:rPr>
                <w:rFonts w:asciiTheme="minorHAnsi" w:hAnsiTheme="minorHAnsi"/>
                <w:sz w:val="22"/>
                <w:szCs w:val="22"/>
                <w:lang w:val="en-US"/>
              </w:rPr>
            </w:pPr>
            <w:r w:rsidRPr="00E34329">
              <w:rPr>
                <w:rFonts w:asciiTheme="minorHAnsi" w:hAnsiTheme="minorHAnsi"/>
                <w:color w:val="000000"/>
                <w:sz w:val="22"/>
                <w:szCs w:val="22"/>
              </w:rPr>
              <w:t>2.79</w:t>
            </w:r>
          </w:p>
        </w:tc>
      </w:tr>
      <w:tr w:rsidR="00C34658" w:rsidRPr="00BB5484" w:rsidTr="00D55642">
        <w:trPr>
          <w:trHeight w:val="300"/>
          <w:jc w:val="center"/>
        </w:trPr>
        <w:tc>
          <w:tcPr>
            <w:tcW w:w="2530" w:type="dxa"/>
            <w:shd w:val="clear" w:color="auto" w:fill="auto"/>
            <w:hideMark/>
          </w:tcPr>
          <w:p w:rsidR="00D5771F" w:rsidRDefault="00E34329">
            <w:pPr>
              <w:spacing w:before="0" w:line="240" w:lineRule="auto"/>
              <w:jc w:val="left"/>
              <w:rPr>
                <w:rFonts w:asciiTheme="minorHAnsi" w:hAnsiTheme="minorHAnsi"/>
                <w:b/>
                <w:bCs/>
                <w:sz w:val="22"/>
                <w:szCs w:val="22"/>
                <w:lang w:val="en-US"/>
              </w:rPr>
            </w:pPr>
            <w:r w:rsidRPr="00E34329">
              <w:rPr>
                <w:rFonts w:asciiTheme="minorHAnsi" w:hAnsiTheme="minorHAnsi"/>
                <w:b/>
                <w:bCs/>
                <w:sz w:val="22"/>
                <w:szCs w:val="22"/>
                <w:lang w:val="en-US"/>
              </w:rPr>
              <w:t>Total</w:t>
            </w:r>
          </w:p>
        </w:tc>
        <w:tc>
          <w:tcPr>
            <w:tcW w:w="1062" w:type="dxa"/>
            <w:shd w:val="clear" w:color="auto" w:fill="auto"/>
            <w:vAlign w:val="center"/>
            <w:hideMark/>
          </w:tcPr>
          <w:p w:rsidR="00D5771F" w:rsidRDefault="00E34329">
            <w:pPr>
              <w:spacing w:before="0" w:line="240" w:lineRule="auto"/>
              <w:jc w:val="right"/>
              <w:rPr>
                <w:rFonts w:asciiTheme="minorHAnsi" w:hAnsiTheme="minorHAnsi"/>
                <w:b/>
                <w:bCs/>
                <w:sz w:val="22"/>
                <w:szCs w:val="22"/>
                <w:lang w:val="en-US"/>
              </w:rPr>
            </w:pPr>
            <w:r w:rsidRPr="00E34329">
              <w:rPr>
                <w:rFonts w:asciiTheme="minorHAnsi" w:hAnsiTheme="minorHAnsi"/>
                <w:b/>
                <w:color w:val="000000"/>
                <w:sz w:val="22"/>
                <w:szCs w:val="22"/>
              </w:rPr>
              <w:t>454.90</w:t>
            </w:r>
          </w:p>
        </w:tc>
        <w:tc>
          <w:tcPr>
            <w:tcW w:w="1234" w:type="dxa"/>
            <w:shd w:val="clear" w:color="auto" w:fill="auto"/>
            <w:vAlign w:val="center"/>
            <w:hideMark/>
          </w:tcPr>
          <w:p w:rsidR="00D5771F" w:rsidRDefault="00E34329">
            <w:pPr>
              <w:spacing w:before="0" w:line="240" w:lineRule="auto"/>
              <w:jc w:val="right"/>
              <w:rPr>
                <w:rFonts w:asciiTheme="minorHAnsi" w:hAnsiTheme="minorHAnsi"/>
                <w:b/>
                <w:bCs/>
                <w:sz w:val="22"/>
                <w:szCs w:val="22"/>
                <w:lang w:val="en-US"/>
              </w:rPr>
            </w:pPr>
            <w:r w:rsidRPr="00E34329">
              <w:rPr>
                <w:rFonts w:asciiTheme="minorHAnsi" w:hAnsiTheme="minorHAnsi"/>
                <w:b/>
                <w:color w:val="000000"/>
                <w:sz w:val="22"/>
                <w:szCs w:val="22"/>
              </w:rPr>
              <w:t>1195.48</w:t>
            </w:r>
          </w:p>
        </w:tc>
        <w:tc>
          <w:tcPr>
            <w:tcW w:w="1389" w:type="dxa"/>
            <w:shd w:val="clear" w:color="auto" w:fill="auto"/>
            <w:vAlign w:val="center"/>
            <w:hideMark/>
          </w:tcPr>
          <w:p w:rsidR="00D5771F" w:rsidRDefault="00E34329">
            <w:pPr>
              <w:spacing w:before="0" w:line="240" w:lineRule="auto"/>
              <w:jc w:val="right"/>
              <w:rPr>
                <w:rFonts w:asciiTheme="minorHAnsi" w:hAnsiTheme="minorHAnsi"/>
                <w:b/>
                <w:bCs/>
                <w:sz w:val="22"/>
                <w:szCs w:val="22"/>
                <w:lang w:val="en-US"/>
              </w:rPr>
            </w:pPr>
            <w:r w:rsidRPr="00E34329">
              <w:rPr>
                <w:rFonts w:asciiTheme="minorHAnsi" w:hAnsiTheme="minorHAnsi"/>
                <w:b/>
                <w:color w:val="000000"/>
                <w:sz w:val="22"/>
                <w:szCs w:val="22"/>
              </w:rPr>
              <w:t>0.74</w:t>
            </w:r>
          </w:p>
        </w:tc>
        <w:tc>
          <w:tcPr>
            <w:tcW w:w="1276" w:type="dxa"/>
            <w:shd w:val="clear" w:color="auto" w:fill="auto"/>
            <w:vAlign w:val="center"/>
            <w:hideMark/>
          </w:tcPr>
          <w:p w:rsidR="00D5771F" w:rsidRDefault="00E34329">
            <w:pPr>
              <w:spacing w:before="0" w:line="240" w:lineRule="auto"/>
              <w:jc w:val="right"/>
              <w:rPr>
                <w:rFonts w:asciiTheme="minorHAnsi" w:hAnsiTheme="minorHAnsi"/>
                <w:b/>
                <w:bCs/>
                <w:sz w:val="22"/>
                <w:szCs w:val="22"/>
                <w:lang w:val="en-US"/>
              </w:rPr>
            </w:pPr>
            <w:r w:rsidRPr="00E34329">
              <w:rPr>
                <w:rFonts w:asciiTheme="minorHAnsi" w:hAnsiTheme="minorHAnsi"/>
                <w:b/>
                <w:color w:val="000000"/>
                <w:sz w:val="22"/>
                <w:szCs w:val="22"/>
              </w:rPr>
              <w:t>88.00</w:t>
            </w:r>
          </w:p>
        </w:tc>
      </w:tr>
    </w:tbl>
    <w:p w:rsidR="00C34658" w:rsidRDefault="00C34658" w:rsidP="00C34658">
      <w:pPr>
        <w:pStyle w:val="Heading2"/>
        <w:numPr>
          <w:ilvl w:val="0"/>
          <w:numId w:val="0"/>
        </w:numPr>
        <w:spacing w:before="0"/>
        <w:ind w:left="780"/>
      </w:pPr>
    </w:p>
    <w:p w:rsidR="006C63AF" w:rsidRDefault="006C63AF" w:rsidP="006C63AF">
      <w:pPr>
        <w:pStyle w:val="Heading2"/>
        <w:numPr>
          <w:ilvl w:val="0"/>
          <w:numId w:val="0"/>
        </w:numPr>
        <w:spacing w:before="0"/>
        <w:ind w:left="778"/>
      </w:pPr>
    </w:p>
    <w:p w:rsidR="006C63AF" w:rsidRDefault="00E34329" w:rsidP="006C63AF">
      <w:pPr>
        <w:pStyle w:val="Heading2"/>
        <w:numPr>
          <w:ilvl w:val="1"/>
          <w:numId w:val="16"/>
        </w:numPr>
        <w:spacing w:before="0"/>
        <w:ind w:left="778" w:hanging="778"/>
        <w:contextualSpacing w:val="0"/>
      </w:pPr>
      <w:bookmarkStart w:id="569" w:name="_Toc453367605"/>
      <w:bookmarkStart w:id="570" w:name="_Toc457603942"/>
      <w:r w:rsidRPr="00E34329">
        <w:t>POWER PROCUREMENT FROM CENTRAL GENERATING STATIONS</w:t>
      </w:r>
      <w:bookmarkEnd w:id="564"/>
      <w:bookmarkEnd w:id="565"/>
      <w:bookmarkEnd w:id="566"/>
      <w:bookmarkEnd w:id="567"/>
      <w:bookmarkEnd w:id="568"/>
      <w:bookmarkEnd w:id="569"/>
      <w:bookmarkEnd w:id="570"/>
    </w:p>
    <w:p w:rsidR="00C34658" w:rsidRPr="00BB5484" w:rsidRDefault="00E34329" w:rsidP="00C34658">
      <w:pPr>
        <w:pStyle w:val="Heading3"/>
        <w:numPr>
          <w:ilvl w:val="0"/>
          <w:numId w:val="0"/>
        </w:numPr>
        <w:ind w:left="90"/>
        <w:rPr>
          <w:rFonts w:asciiTheme="minorHAnsi" w:hAnsiTheme="minorHAnsi"/>
          <w:b/>
        </w:rPr>
      </w:pPr>
      <w:r w:rsidRPr="00E34329">
        <w:rPr>
          <w:rFonts w:asciiTheme="minorHAnsi" w:hAnsiTheme="minorHAnsi"/>
          <w:b/>
        </w:rPr>
        <w:t>The Licensees’ Submission:</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The Licensees procures power from Central Generating Stations (CGS), which includes power from National Thermal Power Corporation Ltd. (NTPC), National Hydro Power Corporation Ltd. (NHPC), and Nuclear Power Corporation of India Ltd. (NPCIL).</w:t>
      </w:r>
      <w:r w:rsidRPr="00E34329">
        <w:rPr>
          <w:rFonts w:asciiTheme="minorHAnsi" w:hAnsiTheme="minorHAnsi" w:cs="Calibri"/>
          <w:bCs w:val="0"/>
        </w:rPr>
        <w:t xml:space="preserve">In addition to the firm share allocation, most of these stations have unallocated power. The distribution of this unallocated power among the constituents of Northern Region is decided from time to time based on power requirement and power shortage in different States. UPPCL also gets a substantial portion of the unallocated share. </w:t>
      </w:r>
      <w:r w:rsidRPr="00E34329">
        <w:rPr>
          <w:rFonts w:asciiTheme="minorHAnsi" w:hAnsiTheme="minorHAnsi"/>
        </w:rPr>
        <w:t xml:space="preserve">The Licensees in their ARR / Tariff Petition for FY 2016-17 have submitted that the cost of power procurement for FY 2016-17 from these sources is based on the following: </w:t>
      </w:r>
    </w:p>
    <w:p w:rsidR="00D5771F" w:rsidRDefault="00E34329">
      <w:pPr>
        <w:pStyle w:val="Heading4"/>
        <w:numPr>
          <w:ilvl w:val="0"/>
          <w:numId w:val="179"/>
        </w:numPr>
        <w:spacing w:before="0"/>
        <w:ind w:left="1620"/>
        <w:rPr>
          <w:rFonts w:asciiTheme="minorHAnsi" w:hAnsiTheme="minorHAnsi"/>
        </w:rPr>
      </w:pPr>
      <w:r w:rsidRPr="00E34329">
        <w:rPr>
          <w:rFonts w:asciiTheme="minorHAnsi" w:hAnsiTheme="minorHAnsi"/>
        </w:rPr>
        <w:t xml:space="preserve">UPPCL’s current allocated share from various central sector plants is projected as per </w:t>
      </w:r>
      <w:r w:rsidRPr="00E34329">
        <w:rPr>
          <w:rFonts w:asciiTheme="minorHAnsi" w:hAnsiTheme="minorHAnsi" w:cs="Calibri"/>
          <w:lang w:val="en-IN" w:eastAsia="en-IN"/>
        </w:rPr>
        <w:t xml:space="preserve">(NRPC/ OPR/ 103/ 02/ 2015-16/9771-9794) dated </w:t>
      </w:r>
      <w:r w:rsidRPr="00E34329">
        <w:rPr>
          <w:rFonts w:asciiTheme="minorHAnsi" w:hAnsiTheme="minorHAnsi" w:cs="Calibri"/>
          <w:lang w:val="en-IN" w:eastAsia="en-IN"/>
        </w:rPr>
        <w:lastRenderedPageBreak/>
        <w:t>26.10.2015</w:t>
      </w:r>
      <w:r w:rsidRPr="00E34329">
        <w:rPr>
          <w:rFonts w:asciiTheme="minorHAnsi" w:hAnsiTheme="minorHAnsi"/>
        </w:rPr>
        <w:t>. In this circular, UPPCL’s total share includes the allocated share from unallocated quota also.</w:t>
      </w:r>
    </w:p>
    <w:p w:rsidR="00C34658" w:rsidRPr="00BB5484" w:rsidRDefault="00C34658" w:rsidP="00C34658">
      <w:pPr>
        <w:pStyle w:val="Heading4"/>
        <w:numPr>
          <w:ilvl w:val="0"/>
          <w:numId w:val="0"/>
        </w:numPr>
        <w:spacing w:before="0"/>
        <w:ind w:left="1620"/>
        <w:rPr>
          <w:rFonts w:asciiTheme="minorHAnsi" w:hAnsiTheme="minorHAnsi"/>
        </w:rPr>
      </w:pPr>
    </w:p>
    <w:p w:rsidR="00C34658" w:rsidRPr="00BB5484" w:rsidRDefault="00E34329" w:rsidP="00C34658">
      <w:pPr>
        <w:numPr>
          <w:ilvl w:val="0"/>
          <w:numId w:val="15"/>
        </w:numPr>
        <w:tabs>
          <w:tab w:val="left" w:pos="360"/>
        </w:tabs>
        <w:spacing w:before="0" w:after="200"/>
        <w:rPr>
          <w:rFonts w:asciiTheme="minorHAnsi" w:hAnsiTheme="minorHAnsi" w:cs="Calibri"/>
        </w:rPr>
      </w:pPr>
      <w:r w:rsidRPr="00E34329">
        <w:rPr>
          <w:rFonts w:asciiTheme="minorHAnsi" w:hAnsiTheme="minorHAnsi"/>
        </w:rPr>
        <w:t>The variable (Primary and Secondary fuel) costs of central sector plants and other plants have been taken from the energy bills for the month up to September, 2015 and are inclusive of FPA. All variable costs have been escalated by 4% for FY 2016-17.</w:t>
      </w:r>
    </w:p>
    <w:p w:rsidR="00C34658" w:rsidRPr="00BB5484" w:rsidRDefault="00E34329" w:rsidP="00C34658">
      <w:pPr>
        <w:numPr>
          <w:ilvl w:val="0"/>
          <w:numId w:val="15"/>
        </w:numPr>
        <w:tabs>
          <w:tab w:val="left" w:pos="360"/>
        </w:tabs>
        <w:spacing w:before="0" w:after="200"/>
        <w:rPr>
          <w:rFonts w:asciiTheme="minorHAnsi" w:hAnsiTheme="minorHAnsi" w:cs="Calibri"/>
        </w:rPr>
      </w:pPr>
      <w:r w:rsidRPr="00E34329">
        <w:rPr>
          <w:rFonts w:asciiTheme="minorHAnsi" w:hAnsiTheme="minorHAnsi" w:cs="Calibri"/>
        </w:rPr>
        <w:t>Provisional power purchase cost and units of FY 2014-15</w:t>
      </w:r>
    </w:p>
    <w:p w:rsidR="00D5771F" w:rsidRDefault="00E34329">
      <w:pPr>
        <w:pStyle w:val="Heading3"/>
        <w:tabs>
          <w:tab w:val="clear" w:pos="720"/>
        </w:tabs>
        <w:spacing w:after="240"/>
        <w:ind w:left="993" w:hanging="993"/>
        <w:rPr>
          <w:rFonts w:asciiTheme="minorHAnsi" w:hAnsiTheme="minorHAnsi"/>
        </w:rPr>
      </w:pPr>
      <w:r w:rsidRPr="00E34329">
        <w:rPr>
          <w:rFonts w:asciiTheme="minorHAnsi" w:hAnsiTheme="minorHAnsi"/>
        </w:rPr>
        <w:t xml:space="preserve">The Licensees has submitted that the cost of energy from Central Sector stations has been derived from tariffs approved by Central Electricity Regulatory Commission. </w:t>
      </w:r>
      <w:r w:rsidRPr="00E34329">
        <w:rPr>
          <w:rFonts w:asciiTheme="minorHAnsi" w:hAnsiTheme="minorHAnsi" w:cs="Calibri"/>
          <w:bCs w:val="0"/>
        </w:rPr>
        <w:t xml:space="preserve">It is pertinent to mention that the final orders for 2014-19 tariff period is yet to be finalised by the CERC. In such cases, the Petitioner has referred to the last approved Tariff Orders by CERC. </w:t>
      </w:r>
    </w:p>
    <w:p w:rsidR="00D5771F" w:rsidRDefault="00E34329">
      <w:pPr>
        <w:pStyle w:val="Heading3"/>
        <w:tabs>
          <w:tab w:val="clear" w:pos="720"/>
        </w:tabs>
        <w:spacing w:after="240"/>
        <w:ind w:left="993" w:hanging="993"/>
      </w:pPr>
      <w:r w:rsidRPr="00E34329">
        <w:rPr>
          <w:rFonts w:asciiTheme="minorHAnsi" w:hAnsiTheme="minorHAnsi"/>
        </w:rPr>
        <w:t>The assumptions considered by the Licensees while estimating the power purchase from NTPC, NHPC and NPCIL Stations are given in the following Tables:</w:t>
      </w:r>
    </w:p>
    <w:p w:rsidR="00C34658" w:rsidRPr="00C60AD1" w:rsidRDefault="00C34658" w:rsidP="00C34658">
      <w:pPr>
        <w:spacing w:before="0"/>
        <w:jc w:val="center"/>
        <w:rPr>
          <w:rFonts w:cs="Calibri"/>
          <w:b/>
          <w:sz w:val="22"/>
          <w:szCs w:val="22"/>
          <w:lang w:val="en-US"/>
        </w:rPr>
      </w:pPr>
      <w:bookmarkStart w:id="571" w:name="_Toc395657941"/>
      <w:bookmarkStart w:id="572" w:name="_Toc396573992"/>
      <w:bookmarkStart w:id="573" w:name="_Toc399624093"/>
      <w:bookmarkStart w:id="574" w:name="_Toc453367672"/>
      <w:bookmarkStart w:id="575" w:name="_Toc457604042"/>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26</w:t>
      </w:r>
      <w:r w:rsidR="009741CA" w:rsidRPr="00C60AD1">
        <w:rPr>
          <w:rFonts w:cs="Calibri"/>
          <w:b/>
          <w:sz w:val="22"/>
          <w:szCs w:val="22"/>
          <w:lang w:val="en-US"/>
        </w:rPr>
        <w:fldChar w:fldCharType="end"/>
      </w:r>
      <w:r w:rsidRPr="00C60AD1">
        <w:rPr>
          <w:rFonts w:cs="Calibri"/>
          <w:b/>
          <w:sz w:val="22"/>
          <w:szCs w:val="22"/>
          <w:lang w:val="en-US"/>
        </w:rPr>
        <w:t>: ASSUMPTIONS FOR POWER PURCHASE FROM NTPC STATIONS AS CONSIDERED BY THE DISTRIBUTION LICENSEES</w:t>
      </w:r>
      <w:bookmarkEnd w:id="571"/>
      <w:bookmarkEnd w:id="572"/>
      <w:bookmarkEnd w:id="573"/>
      <w:r>
        <w:rPr>
          <w:rFonts w:cs="Calibri"/>
          <w:b/>
          <w:sz w:val="22"/>
          <w:szCs w:val="22"/>
          <w:lang w:val="en-US"/>
        </w:rPr>
        <w:t xml:space="preserve"> for FY 2016-17</w:t>
      </w:r>
      <w:bookmarkEnd w:id="574"/>
      <w:bookmarkEnd w:id="575"/>
    </w:p>
    <w:tbl>
      <w:tblPr>
        <w:tblW w:w="9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8"/>
        <w:gridCol w:w="2846"/>
        <w:gridCol w:w="6048"/>
      </w:tblGrid>
      <w:tr w:rsidR="00C34658" w:rsidRPr="00EE55E3" w:rsidTr="00D55642">
        <w:trPr>
          <w:tblHeader/>
        </w:trPr>
        <w:tc>
          <w:tcPr>
            <w:tcW w:w="918"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S. No.</w:t>
            </w:r>
          </w:p>
        </w:tc>
        <w:tc>
          <w:tcPr>
            <w:tcW w:w="2846"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Particulars</w:t>
            </w:r>
          </w:p>
        </w:tc>
        <w:tc>
          <w:tcPr>
            <w:tcW w:w="6048"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Assumption</w:t>
            </w:r>
          </w:p>
        </w:tc>
      </w:tr>
      <w:tr w:rsidR="00C34658" w:rsidRPr="00EE55E3" w:rsidTr="00D55642">
        <w:tc>
          <w:tcPr>
            <w:tcW w:w="918" w:type="dxa"/>
          </w:tcPr>
          <w:p w:rsidR="00C34658" w:rsidRDefault="00C34658" w:rsidP="00D55642">
            <w:pPr>
              <w:spacing w:before="0" w:line="240" w:lineRule="auto"/>
              <w:rPr>
                <w:sz w:val="22"/>
                <w:szCs w:val="22"/>
              </w:rPr>
            </w:pPr>
            <w:r w:rsidRPr="00DB21D8">
              <w:rPr>
                <w:rFonts w:cs="Calibri"/>
                <w:sz w:val="22"/>
                <w:szCs w:val="22"/>
                <w:lang w:val="en-IN" w:eastAsia="en-IN"/>
              </w:rPr>
              <w:t>1</w:t>
            </w:r>
          </w:p>
        </w:tc>
        <w:tc>
          <w:tcPr>
            <w:tcW w:w="2846" w:type="dxa"/>
          </w:tcPr>
          <w:p w:rsidR="00C34658" w:rsidRPr="0000599F" w:rsidRDefault="00337C98" w:rsidP="00D55642">
            <w:pPr>
              <w:spacing w:before="0" w:line="240" w:lineRule="auto"/>
              <w:jc w:val="left"/>
              <w:rPr>
                <w:sz w:val="22"/>
                <w:szCs w:val="22"/>
              </w:rPr>
            </w:pPr>
            <w:r w:rsidRPr="00337C98">
              <w:rPr>
                <w:rFonts w:cs="Calibri"/>
                <w:bCs/>
                <w:sz w:val="22"/>
                <w:szCs w:val="22"/>
                <w:lang w:val="en-IN" w:eastAsia="en-IN"/>
              </w:rPr>
              <w:t>Power Purchase Quantum</w:t>
            </w:r>
          </w:p>
        </w:tc>
        <w:tc>
          <w:tcPr>
            <w:tcW w:w="6048" w:type="dxa"/>
          </w:tcPr>
          <w:p w:rsidR="00C34658" w:rsidRDefault="00C34658" w:rsidP="00D55642">
            <w:pPr>
              <w:spacing w:before="0" w:line="240" w:lineRule="auto"/>
              <w:rPr>
                <w:rFonts w:cs="Calibri"/>
                <w:sz w:val="22"/>
                <w:szCs w:val="22"/>
                <w:lang w:val="en-IN" w:eastAsia="en-IN"/>
              </w:rPr>
            </w:pPr>
            <w:r w:rsidRPr="00DB21D8">
              <w:rPr>
                <w:rFonts w:cs="Calibri"/>
                <w:sz w:val="22"/>
                <w:szCs w:val="22"/>
                <w:lang w:val="en-IN" w:eastAsia="en-IN"/>
              </w:rPr>
              <w:t xml:space="preserve">Net Power Purchase Quantum is derived as a product of respective power plants MW capacity, plant load factor (PLF) and UP State's share in respective power plant. Further the quantum is approved as per Merit </w:t>
            </w:r>
            <w:r>
              <w:rPr>
                <w:rFonts w:cs="Calibri"/>
                <w:sz w:val="22"/>
                <w:szCs w:val="22"/>
                <w:lang w:val="en-IN" w:eastAsia="en-IN"/>
              </w:rPr>
              <w:t>O</w:t>
            </w:r>
            <w:r w:rsidRPr="00DB21D8">
              <w:rPr>
                <w:rFonts w:cs="Calibri"/>
                <w:sz w:val="22"/>
                <w:szCs w:val="22"/>
                <w:lang w:val="en-IN" w:eastAsia="en-IN"/>
              </w:rPr>
              <w:t xml:space="preserve">rder despatch principles. </w:t>
            </w:r>
          </w:p>
          <w:p w:rsidR="00C34658" w:rsidRDefault="00C34658" w:rsidP="00D55642">
            <w:pPr>
              <w:spacing w:before="0" w:line="240" w:lineRule="auto"/>
              <w:jc w:val="left"/>
              <w:rPr>
                <w:sz w:val="22"/>
                <w:szCs w:val="22"/>
              </w:rPr>
            </w:pPr>
            <w:r w:rsidRPr="00DB21D8">
              <w:rPr>
                <w:rFonts w:cs="Calibri"/>
                <w:sz w:val="22"/>
                <w:szCs w:val="22"/>
                <w:lang w:val="en-IN" w:eastAsia="en-IN"/>
              </w:rPr>
              <w:t>The Petitioner has also referred to the actual plant load factor of such stations for the last 3 years while projecting the PLF for the current year and ensuing year.</w:t>
            </w:r>
          </w:p>
        </w:tc>
      </w:tr>
      <w:tr w:rsidR="00C34658" w:rsidRPr="00EE55E3" w:rsidTr="00D55642">
        <w:trPr>
          <w:trHeight w:val="419"/>
        </w:trPr>
        <w:tc>
          <w:tcPr>
            <w:tcW w:w="918" w:type="dxa"/>
            <w:vAlign w:val="center"/>
          </w:tcPr>
          <w:p w:rsidR="00C34658" w:rsidRDefault="00C34658" w:rsidP="00D55642">
            <w:pPr>
              <w:spacing w:before="0" w:line="240" w:lineRule="auto"/>
              <w:rPr>
                <w:sz w:val="22"/>
                <w:szCs w:val="22"/>
              </w:rPr>
            </w:pPr>
            <w:r w:rsidRPr="00DB21D8">
              <w:rPr>
                <w:sz w:val="22"/>
                <w:szCs w:val="22"/>
              </w:rPr>
              <w:t>2</w:t>
            </w:r>
          </w:p>
        </w:tc>
        <w:tc>
          <w:tcPr>
            <w:tcW w:w="2846" w:type="dxa"/>
            <w:vAlign w:val="center"/>
          </w:tcPr>
          <w:p w:rsidR="00C34658" w:rsidRDefault="00C34658" w:rsidP="00D55642">
            <w:pPr>
              <w:spacing w:before="0" w:line="240" w:lineRule="auto"/>
              <w:jc w:val="left"/>
              <w:rPr>
                <w:sz w:val="22"/>
                <w:szCs w:val="22"/>
              </w:rPr>
            </w:pPr>
            <w:r w:rsidRPr="00DB21D8">
              <w:rPr>
                <w:sz w:val="22"/>
                <w:szCs w:val="22"/>
              </w:rPr>
              <w:t>Fixed Charges</w:t>
            </w:r>
          </w:p>
        </w:tc>
        <w:tc>
          <w:tcPr>
            <w:tcW w:w="6048" w:type="dxa"/>
            <w:vAlign w:val="center"/>
          </w:tcPr>
          <w:p w:rsidR="00C34658" w:rsidRDefault="00C34658" w:rsidP="00D55642">
            <w:pPr>
              <w:spacing w:before="0" w:line="240" w:lineRule="auto"/>
              <w:jc w:val="left"/>
              <w:rPr>
                <w:rFonts w:cs="Calibri"/>
                <w:sz w:val="22"/>
                <w:szCs w:val="22"/>
                <w:lang w:eastAsia="en-IN"/>
              </w:rPr>
            </w:pPr>
            <w:r w:rsidRPr="00DB21D8">
              <w:rPr>
                <w:rFonts w:cs="Calibri"/>
                <w:sz w:val="22"/>
                <w:szCs w:val="22"/>
                <w:lang w:val="en-IN" w:eastAsia="en-IN"/>
              </w:rPr>
              <w:t>Fixed charges are computed after considering UP State's allocated share in respective power plant as per Regional Energy Accounting Report and Annual Report of NRPC and ERPC and fixed cost approved as per CERC order for respective power plants.</w:t>
            </w:r>
          </w:p>
        </w:tc>
      </w:tr>
      <w:tr w:rsidR="00C34658" w:rsidRPr="00EE55E3" w:rsidTr="00D55642">
        <w:tc>
          <w:tcPr>
            <w:tcW w:w="918" w:type="dxa"/>
            <w:vAlign w:val="center"/>
          </w:tcPr>
          <w:p w:rsidR="00C34658" w:rsidRDefault="00C34658" w:rsidP="00D55642">
            <w:pPr>
              <w:spacing w:before="0" w:line="240" w:lineRule="auto"/>
              <w:rPr>
                <w:sz w:val="22"/>
                <w:szCs w:val="22"/>
              </w:rPr>
            </w:pPr>
            <w:r w:rsidRPr="00DB21D8">
              <w:rPr>
                <w:sz w:val="22"/>
                <w:szCs w:val="22"/>
              </w:rPr>
              <w:t>3</w:t>
            </w:r>
          </w:p>
        </w:tc>
        <w:tc>
          <w:tcPr>
            <w:tcW w:w="2846" w:type="dxa"/>
            <w:vAlign w:val="center"/>
          </w:tcPr>
          <w:p w:rsidR="00C34658" w:rsidRDefault="00C34658" w:rsidP="00D55642">
            <w:pPr>
              <w:spacing w:before="0" w:line="240" w:lineRule="auto"/>
              <w:jc w:val="left"/>
              <w:rPr>
                <w:sz w:val="22"/>
                <w:szCs w:val="22"/>
              </w:rPr>
            </w:pPr>
            <w:r w:rsidRPr="00DB21D8">
              <w:rPr>
                <w:rFonts w:cs="Calibri"/>
                <w:sz w:val="22"/>
                <w:szCs w:val="22"/>
                <w:lang w:eastAsia="en-IN"/>
              </w:rPr>
              <w:t>Variable Charges</w:t>
            </w:r>
          </w:p>
        </w:tc>
        <w:tc>
          <w:tcPr>
            <w:tcW w:w="6048" w:type="dxa"/>
            <w:vAlign w:val="center"/>
          </w:tcPr>
          <w:p w:rsidR="00C34658" w:rsidRDefault="00C34658" w:rsidP="00D55642">
            <w:pPr>
              <w:spacing w:before="0" w:line="240" w:lineRule="auto"/>
              <w:jc w:val="left"/>
              <w:rPr>
                <w:rFonts w:cs="Calibri"/>
                <w:sz w:val="22"/>
                <w:szCs w:val="22"/>
                <w:lang w:eastAsia="en-IN"/>
              </w:rPr>
            </w:pPr>
            <w:r w:rsidRPr="00DB21D8">
              <w:rPr>
                <w:rFonts w:cs="Calibri"/>
                <w:sz w:val="22"/>
                <w:szCs w:val="22"/>
                <w:lang w:val="en-IN" w:eastAsia="en-IN"/>
              </w:rPr>
              <w:t>Variable cost is considered as per the recent energy bills raised for the period April</w:t>
            </w:r>
            <w:r>
              <w:rPr>
                <w:rFonts w:cs="Calibri"/>
                <w:sz w:val="22"/>
                <w:szCs w:val="22"/>
                <w:lang w:val="en-IN" w:eastAsia="en-IN"/>
              </w:rPr>
              <w:t>, 2015</w:t>
            </w:r>
            <w:r w:rsidRPr="00DB21D8">
              <w:rPr>
                <w:rFonts w:cs="Calibri"/>
                <w:sz w:val="22"/>
                <w:szCs w:val="22"/>
                <w:lang w:val="en-IN" w:eastAsia="en-IN"/>
              </w:rPr>
              <w:t xml:space="preserve"> to September, 2015</w:t>
            </w:r>
          </w:p>
        </w:tc>
      </w:tr>
    </w:tbl>
    <w:p w:rsidR="00C34658" w:rsidRDefault="00C34658" w:rsidP="00C34658">
      <w:pPr>
        <w:spacing w:before="0"/>
        <w:outlineLvl w:val="3"/>
        <w:rPr>
          <w:bCs/>
          <w:szCs w:val="28"/>
        </w:rPr>
      </w:pPr>
    </w:p>
    <w:p w:rsidR="00C34658" w:rsidRPr="00C60AD1" w:rsidRDefault="00C34658" w:rsidP="00C34658">
      <w:pPr>
        <w:spacing w:before="0"/>
        <w:jc w:val="center"/>
        <w:rPr>
          <w:rFonts w:cs="Calibri"/>
          <w:b/>
          <w:sz w:val="22"/>
          <w:szCs w:val="22"/>
          <w:lang w:val="en-US"/>
        </w:rPr>
      </w:pPr>
      <w:bookmarkStart w:id="576" w:name="_Ref394919826"/>
      <w:bookmarkStart w:id="577" w:name="_Toc395657942"/>
      <w:bookmarkStart w:id="578" w:name="_Toc396573993"/>
      <w:bookmarkStart w:id="579" w:name="_Toc399624094"/>
      <w:bookmarkStart w:id="580" w:name="_Toc453367673"/>
      <w:bookmarkStart w:id="581" w:name="_Toc457604043"/>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27</w:t>
      </w:r>
      <w:r w:rsidR="009741CA" w:rsidRPr="00C60AD1">
        <w:rPr>
          <w:rFonts w:cs="Calibri"/>
          <w:b/>
          <w:sz w:val="22"/>
          <w:szCs w:val="22"/>
          <w:lang w:val="en-US"/>
        </w:rPr>
        <w:fldChar w:fldCharType="end"/>
      </w:r>
      <w:r w:rsidRPr="00C60AD1">
        <w:rPr>
          <w:rFonts w:cs="Calibri"/>
          <w:b/>
          <w:sz w:val="22"/>
          <w:szCs w:val="22"/>
          <w:lang w:val="en-US"/>
        </w:rPr>
        <w:t>:</w:t>
      </w:r>
      <w:bookmarkEnd w:id="576"/>
      <w:r w:rsidRPr="00C60AD1">
        <w:rPr>
          <w:rFonts w:cs="Calibri"/>
          <w:b/>
          <w:sz w:val="22"/>
          <w:szCs w:val="22"/>
          <w:lang w:val="en-US"/>
        </w:rPr>
        <w:t xml:space="preserve"> ASSUMPTIONS FOR POWER PURCHASE FROM NHPC STATIONS AS CONSIDERED BY THE DISTRIBUTION LICENSEES</w:t>
      </w:r>
      <w:bookmarkEnd w:id="577"/>
      <w:bookmarkEnd w:id="578"/>
      <w:bookmarkEnd w:id="579"/>
      <w:bookmarkEnd w:id="580"/>
      <w:bookmarkEnd w:id="581"/>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80"/>
        <w:gridCol w:w="2462"/>
        <w:gridCol w:w="6405"/>
      </w:tblGrid>
      <w:tr w:rsidR="00C34658" w:rsidRPr="00EE55E3" w:rsidTr="00D55642">
        <w:trPr>
          <w:tblHeader/>
        </w:trPr>
        <w:tc>
          <w:tcPr>
            <w:tcW w:w="880"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S. No.</w:t>
            </w:r>
          </w:p>
        </w:tc>
        <w:tc>
          <w:tcPr>
            <w:tcW w:w="2462"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Particulars</w:t>
            </w:r>
          </w:p>
        </w:tc>
        <w:tc>
          <w:tcPr>
            <w:tcW w:w="6405"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Assumption</w:t>
            </w:r>
          </w:p>
        </w:tc>
      </w:tr>
      <w:tr w:rsidR="00C34658" w:rsidRPr="00EE55E3" w:rsidTr="00D55642">
        <w:tc>
          <w:tcPr>
            <w:tcW w:w="880" w:type="dxa"/>
          </w:tcPr>
          <w:p w:rsidR="00C34658" w:rsidRDefault="00C34658" w:rsidP="00D55642">
            <w:pPr>
              <w:spacing w:before="0" w:line="240" w:lineRule="auto"/>
              <w:jc w:val="left"/>
              <w:rPr>
                <w:sz w:val="22"/>
                <w:szCs w:val="22"/>
              </w:rPr>
            </w:pPr>
            <w:r w:rsidRPr="00DB21D8">
              <w:rPr>
                <w:sz w:val="22"/>
                <w:szCs w:val="22"/>
              </w:rPr>
              <w:t>1</w:t>
            </w:r>
          </w:p>
        </w:tc>
        <w:tc>
          <w:tcPr>
            <w:tcW w:w="2462" w:type="dxa"/>
          </w:tcPr>
          <w:p w:rsidR="00C34658" w:rsidRDefault="00C34658" w:rsidP="00D55642">
            <w:pPr>
              <w:spacing w:before="0" w:line="240" w:lineRule="auto"/>
              <w:jc w:val="left"/>
              <w:rPr>
                <w:sz w:val="22"/>
                <w:szCs w:val="22"/>
              </w:rPr>
            </w:pPr>
            <w:r w:rsidRPr="00DB21D8">
              <w:rPr>
                <w:rFonts w:cs="Calibri"/>
                <w:sz w:val="22"/>
                <w:szCs w:val="22"/>
                <w:lang w:eastAsia="en-IN"/>
              </w:rPr>
              <w:t xml:space="preserve">Power Purchase </w:t>
            </w:r>
            <w:r w:rsidRPr="00DB21D8">
              <w:rPr>
                <w:rFonts w:cs="Calibri"/>
                <w:sz w:val="22"/>
                <w:szCs w:val="22"/>
                <w:lang w:eastAsia="en-IN"/>
              </w:rPr>
              <w:lastRenderedPageBreak/>
              <w:t>Quantum</w:t>
            </w:r>
          </w:p>
        </w:tc>
        <w:tc>
          <w:tcPr>
            <w:tcW w:w="6405" w:type="dxa"/>
          </w:tcPr>
          <w:p w:rsidR="00C34658" w:rsidRDefault="00C34658" w:rsidP="00D55642">
            <w:pPr>
              <w:spacing w:before="0" w:line="240" w:lineRule="auto"/>
              <w:rPr>
                <w:rFonts w:cs="Calibri"/>
                <w:sz w:val="22"/>
                <w:szCs w:val="22"/>
                <w:lang w:eastAsia="en-IN"/>
              </w:rPr>
            </w:pPr>
            <w:r w:rsidRPr="00DB21D8">
              <w:rPr>
                <w:rFonts w:cs="Calibri"/>
                <w:sz w:val="22"/>
                <w:szCs w:val="22"/>
                <w:lang w:val="en-IN" w:eastAsia="en-IN"/>
              </w:rPr>
              <w:lastRenderedPageBreak/>
              <w:t xml:space="preserve">Net Power Purchase Quantum is derived as a product of respective </w:t>
            </w:r>
            <w:r w:rsidRPr="00DB21D8">
              <w:rPr>
                <w:rFonts w:cs="Calibri"/>
                <w:sz w:val="22"/>
                <w:szCs w:val="22"/>
                <w:lang w:val="en-IN" w:eastAsia="en-IN"/>
              </w:rPr>
              <w:lastRenderedPageBreak/>
              <w:t>power plants MW capacity, plant load factor (PLF) and UP State's share in respective power plant. Power sourced from these NHPC plants is considered Must-run in Merit Order Despatch.</w:t>
            </w:r>
          </w:p>
        </w:tc>
      </w:tr>
      <w:tr w:rsidR="00C34658" w:rsidRPr="00EE55E3" w:rsidTr="00D55642">
        <w:tc>
          <w:tcPr>
            <w:tcW w:w="880" w:type="dxa"/>
          </w:tcPr>
          <w:p w:rsidR="00C34658" w:rsidRDefault="00C34658" w:rsidP="00D55642">
            <w:pPr>
              <w:spacing w:before="0" w:line="240" w:lineRule="auto"/>
              <w:jc w:val="left"/>
              <w:rPr>
                <w:sz w:val="22"/>
                <w:szCs w:val="22"/>
              </w:rPr>
            </w:pPr>
            <w:r w:rsidRPr="00DB21D8">
              <w:rPr>
                <w:sz w:val="22"/>
                <w:szCs w:val="22"/>
              </w:rPr>
              <w:lastRenderedPageBreak/>
              <w:t>2</w:t>
            </w:r>
          </w:p>
        </w:tc>
        <w:tc>
          <w:tcPr>
            <w:tcW w:w="2462" w:type="dxa"/>
          </w:tcPr>
          <w:p w:rsidR="00C34658" w:rsidRDefault="00C34658" w:rsidP="00D55642">
            <w:pPr>
              <w:spacing w:before="0" w:line="240" w:lineRule="auto"/>
              <w:jc w:val="left"/>
              <w:rPr>
                <w:rFonts w:cs="Calibri"/>
                <w:sz w:val="22"/>
                <w:szCs w:val="22"/>
                <w:lang w:eastAsia="en-IN"/>
              </w:rPr>
            </w:pPr>
            <w:r w:rsidRPr="00DB21D8">
              <w:rPr>
                <w:rFonts w:cs="Calibri"/>
                <w:sz w:val="22"/>
                <w:szCs w:val="22"/>
                <w:lang w:eastAsia="en-IN"/>
              </w:rPr>
              <w:t>Fixed Charges</w:t>
            </w:r>
          </w:p>
        </w:tc>
        <w:tc>
          <w:tcPr>
            <w:tcW w:w="6405" w:type="dxa"/>
          </w:tcPr>
          <w:p w:rsidR="00C34658" w:rsidRDefault="00C34658" w:rsidP="00D55642">
            <w:pPr>
              <w:spacing w:before="0" w:line="240" w:lineRule="auto"/>
              <w:rPr>
                <w:rFonts w:cs="Calibri"/>
                <w:sz w:val="22"/>
                <w:szCs w:val="22"/>
                <w:lang w:eastAsia="en-IN"/>
              </w:rPr>
            </w:pPr>
            <w:r w:rsidRPr="00DB21D8">
              <w:rPr>
                <w:rFonts w:cs="Calibri"/>
                <w:sz w:val="22"/>
                <w:szCs w:val="22"/>
                <w:lang w:val="en-IN" w:eastAsia="en-IN"/>
              </w:rPr>
              <w:t xml:space="preserve">Fixed charges are computed after considering UP </w:t>
            </w:r>
            <w:r>
              <w:rPr>
                <w:rFonts w:cs="Calibri"/>
                <w:sz w:val="22"/>
                <w:szCs w:val="22"/>
                <w:lang w:val="en-IN" w:eastAsia="en-IN"/>
              </w:rPr>
              <w:t>S</w:t>
            </w:r>
            <w:r w:rsidRPr="00DB21D8">
              <w:rPr>
                <w:rFonts w:cs="Calibri"/>
                <w:sz w:val="22"/>
                <w:szCs w:val="22"/>
                <w:lang w:val="en-IN" w:eastAsia="en-IN"/>
              </w:rPr>
              <w:t xml:space="preserve">tate's allocated share in respective power plant as per Regional Energy Accounting Report and Annual Report of NRPC and fixed cost approved by as per CERC </w:t>
            </w:r>
            <w:r>
              <w:rPr>
                <w:rFonts w:cs="Calibri"/>
                <w:sz w:val="22"/>
                <w:szCs w:val="22"/>
                <w:lang w:val="en-IN" w:eastAsia="en-IN"/>
              </w:rPr>
              <w:t>O</w:t>
            </w:r>
            <w:r w:rsidRPr="00DB21D8">
              <w:rPr>
                <w:rFonts w:cs="Calibri"/>
                <w:sz w:val="22"/>
                <w:szCs w:val="22"/>
                <w:lang w:val="en-IN" w:eastAsia="en-IN"/>
              </w:rPr>
              <w:t>rder</w:t>
            </w:r>
            <w:r>
              <w:rPr>
                <w:rFonts w:cs="Calibri"/>
                <w:sz w:val="22"/>
                <w:szCs w:val="22"/>
                <w:lang w:val="en-IN" w:eastAsia="en-IN"/>
              </w:rPr>
              <w:t>s</w:t>
            </w:r>
            <w:r w:rsidRPr="00DB21D8">
              <w:rPr>
                <w:rFonts w:cs="Calibri"/>
                <w:sz w:val="22"/>
                <w:szCs w:val="22"/>
                <w:lang w:val="en-IN" w:eastAsia="en-IN"/>
              </w:rPr>
              <w:t xml:space="preserve"> for respective power plants.</w:t>
            </w:r>
          </w:p>
        </w:tc>
      </w:tr>
      <w:tr w:rsidR="00C34658" w:rsidRPr="00EE55E3" w:rsidTr="00D55642">
        <w:tc>
          <w:tcPr>
            <w:tcW w:w="880" w:type="dxa"/>
          </w:tcPr>
          <w:p w:rsidR="00C34658" w:rsidRDefault="00C34658" w:rsidP="00D55642">
            <w:pPr>
              <w:spacing w:before="0" w:line="240" w:lineRule="auto"/>
              <w:jc w:val="left"/>
              <w:rPr>
                <w:sz w:val="22"/>
                <w:szCs w:val="22"/>
              </w:rPr>
            </w:pPr>
            <w:r w:rsidRPr="00DB21D8">
              <w:rPr>
                <w:sz w:val="22"/>
                <w:szCs w:val="22"/>
              </w:rPr>
              <w:t>3</w:t>
            </w:r>
          </w:p>
        </w:tc>
        <w:tc>
          <w:tcPr>
            <w:tcW w:w="2462" w:type="dxa"/>
          </w:tcPr>
          <w:p w:rsidR="00C34658" w:rsidRDefault="00C34658" w:rsidP="00D55642">
            <w:pPr>
              <w:spacing w:before="0" w:line="240" w:lineRule="auto"/>
              <w:jc w:val="left"/>
              <w:rPr>
                <w:rFonts w:cs="Calibri"/>
                <w:sz w:val="22"/>
                <w:szCs w:val="22"/>
                <w:lang w:eastAsia="en-IN"/>
              </w:rPr>
            </w:pPr>
            <w:r w:rsidRPr="00DB21D8">
              <w:rPr>
                <w:rFonts w:cs="Calibri"/>
                <w:sz w:val="22"/>
                <w:szCs w:val="22"/>
                <w:lang w:eastAsia="en-IN"/>
              </w:rPr>
              <w:t>Variable Charges</w:t>
            </w:r>
          </w:p>
        </w:tc>
        <w:tc>
          <w:tcPr>
            <w:tcW w:w="6405" w:type="dxa"/>
          </w:tcPr>
          <w:p w:rsidR="00C34658" w:rsidRDefault="00C34658" w:rsidP="00D55642">
            <w:pPr>
              <w:spacing w:before="0" w:line="240" w:lineRule="auto"/>
              <w:rPr>
                <w:rFonts w:cs="Calibri"/>
                <w:sz w:val="22"/>
                <w:szCs w:val="22"/>
                <w:lang w:eastAsia="en-IN"/>
              </w:rPr>
            </w:pPr>
            <w:r w:rsidRPr="00DB21D8">
              <w:rPr>
                <w:rFonts w:cs="Calibri"/>
                <w:sz w:val="22"/>
                <w:szCs w:val="22"/>
                <w:lang w:val="en-IN" w:eastAsia="en-IN"/>
              </w:rPr>
              <w:t>Variable cost is considered as per the recent energy bills raised for the period April</w:t>
            </w:r>
            <w:r>
              <w:rPr>
                <w:rFonts w:cs="Calibri"/>
                <w:sz w:val="22"/>
                <w:szCs w:val="22"/>
                <w:lang w:val="en-IN" w:eastAsia="en-IN"/>
              </w:rPr>
              <w:t>, 2015</w:t>
            </w:r>
            <w:r w:rsidRPr="00DB21D8">
              <w:rPr>
                <w:rFonts w:cs="Calibri"/>
                <w:sz w:val="22"/>
                <w:szCs w:val="22"/>
                <w:lang w:val="en-IN" w:eastAsia="en-IN"/>
              </w:rPr>
              <w:t xml:space="preserve"> to September, 2015</w:t>
            </w:r>
          </w:p>
        </w:tc>
      </w:tr>
    </w:tbl>
    <w:p w:rsidR="00C34658" w:rsidRDefault="00C34658" w:rsidP="00C34658">
      <w:pPr>
        <w:spacing w:before="0"/>
        <w:outlineLvl w:val="3"/>
        <w:rPr>
          <w:bCs/>
          <w:szCs w:val="28"/>
        </w:rPr>
      </w:pPr>
    </w:p>
    <w:p w:rsidR="00C34658" w:rsidRPr="00C60AD1" w:rsidRDefault="00C34658" w:rsidP="00C34658">
      <w:pPr>
        <w:spacing w:before="0"/>
        <w:jc w:val="center"/>
        <w:rPr>
          <w:rFonts w:cs="Calibri"/>
          <w:b/>
          <w:sz w:val="22"/>
          <w:szCs w:val="22"/>
          <w:lang w:val="en-US"/>
        </w:rPr>
      </w:pPr>
      <w:bookmarkStart w:id="582" w:name="_Toc395657943"/>
      <w:bookmarkStart w:id="583" w:name="_Toc396573994"/>
      <w:bookmarkStart w:id="584" w:name="_Toc399624095"/>
      <w:bookmarkStart w:id="585" w:name="_Toc453367674"/>
      <w:bookmarkStart w:id="586" w:name="_Toc457604044"/>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28</w:t>
      </w:r>
      <w:r w:rsidR="009741CA" w:rsidRPr="00C60AD1">
        <w:rPr>
          <w:rFonts w:cs="Calibri"/>
          <w:b/>
          <w:sz w:val="22"/>
          <w:szCs w:val="22"/>
          <w:lang w:val="en-US"/>
        </w:rPr>
        <w:fldChar w:fldCharType="end"/>
      </w:r>
      <w:r w:rsidRPr="00C60AD1">
        <w:rPr>
          <w:rFonts w:cs="Calibri"/>
          <w:b/>
          <w:sz w:val="22"/>
          <w:szCs w:val="22"/>
          <w:lang w:val="en-US"/>
        </w:rPr>
        <w:t>: ASSUMPTIONS FOR POWER PURCHASE FROM NPCIL STATIONS AS CONSIDERED BY THE DISTRIBUTION LICENSEES</w:t>
      </w:r>
      <w:bookmarkEnd w:id="582"/>
      <w:bookmarkEnd w:id="583"/>
      <w:bookmarkEnd w:id="584"/>
      <w:bookmarkEnd w:id="585"/>
      <w:bookmarkEnd w:id="586"/>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79"/>
        <w:gridCol w:w="2463"/>
        <w:gridCol w:w="6405"/>
      </w:tblGrid>
      <w:tr w:rsidR="00C34658" w:rsidRPr="00EE55E3" w:rsidTr="00D55642">
        <w:trPr>
          <w:tblHeader/>
        </w:trPr>
        <w:tc>
          <w:tcPr>
            <w:tcW w:w="879"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S. No.</w:t>
            </w:r>
          </w:p>
        </w:tc>
        <w:tc>
          <w:tcPr>
            <w:tcW w:w="2463"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Particulars</w:t>
            </w:r>
          </w:p>
        </w:tc>
        <w:tc>
          <w:tcPr>
            <w:tcW w:w="6405"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Assumption</w:t>
            </w:r>
          </w:p>
        </w:tc>
      </w:tr>
      <w:tr w:rsidR="00C34658" w:rsidRPr="00EE55E3" w:rsidTr="00D55642">
        <w:tc>
          <w:tcPr>
            <w:tcW w:w="879" w:type="dxa"/>
          </w:tcPr>
          <w:p w:rsidR="00C34658" w:rsidRDefault="00C34658" w:rsidP="00D55642">
            <w:pPr>
              <w:spacing w:before="0" w:line="240" w:lineRule="auto"/>
              <w:rPr>
                <w:sz w:val="22"/>
                <w:szCs w:val="22"/>
              </w:rPr>
            </w:pPr>
            <w:r w:rsidRPr="00DB21D8">
              <w:rPr>
                <w:sz w:val="22"/>
                <w:szCs w:val="22"/>
              </w:rPr>
              <w:t>1</w:t>
            </w:r>
          </w:p>
        </w:tc>
        <w:tc>
          <w:tcPr>
            <w:tcW w:w="2463" w:type="dxa"/>
          </w:tcPr>
          <w:p w:rsidR="00C34658" w:rsidRDefault="00C34658" w:rsidP="00D55642">
            <w:pPr>
              <w:spacing w:before="0" w:line="240" w:lineRule="auto"/>
              <w:jc w:val="left"/>
              <w:rPr>
                <w:sz w:val="22"/>
                <w:szCs w:val="22"/>
              </w:rPr>
            </w:pPr>
            <w:r w:rsidRPr="00DB21D8">
              <w:rPr>
                <w:rFonts w:cs="Calibri"/>
                <w:sz w:val="22"/>
                <w:szCs w:val="22"/>
                <w:lang w:eastAsia="en-IN"/>
              </w:rPr>
              <w:t>Power Purchase Quantum</w:t>
            </w:r>
          </w:p>
        </w:tc>
        <w:tc>
          <w:tcPr>
            <w:tcW w:w="6405" w:type="dxa"/>
          </w:tcPr>
          <w:p w:rsidR="00C34658" w:rsidRDefault="00C34658" w:rsidP="00D55642">
            <w:pPr>
              <w:spacing w:before="0" w:line="240" w:lineRule="auto"/>
              <w:jc w:val="left"/>
              <w:rPr>
                <w:rFonts w:cs="Calibri"/>
                <w:sz w:val="22"/>
                <w:szCs w:val="22"/>
                <w:lang w:eastAsia="en-IN"/>
              </w:rPr>
            </w:pPr>
            <w:r w:rsidRPr="00DB21D8">
              <w:rPr>
                <w:rFonts w:cs="Calibri"/>
                <w:sz w:val="22"/>
                <w:szCs w:val="22"/>
              </w:rPr>
              <w:t xml:space="preserve">Net Power Purchase Quantum is derived as a product of respective power plants MW capacity, capacity factor and UP </w:t>
            </w:r>
            <w:r>
              <w:rPr>
                <w:rFonts w:cs="Calibri"/>
                <w:sz w:val="22"/>
                <w:szCs w:val="22"/>
              </w:rPr>
              <w:t>S</w:t>
            </w:r>
            <w:r w:rsidRPr="00DB21D8">
              <w:rPr>
                <w:rFonts w:cs="Calibri"/>
                <w:sz w:val="22"/>
                <w:szCs w:val="22"/>
              </w:rPr>
              <w:t>tate's share in respective power plant. Power sourced from these NPCIL plants is considered Must-run in Merit Order Dispatch.</w:t>
            </w:r>
          </w:p>
        </w:tc>
      </w:tr>
      <w:tr w:rsidR="00C34658" w:rsidRPr="00EE55E3" w:rsidTr="00D55642">
        <w:trPr>
          <w:trHeight w:val="77"/>
        </w:trPr>
        <w:tc>
          <w:tcPr>
            <w:tcW w:w="879" w:type="dxa"/>
          </w:tcPr>
          <w:p w:rsidR="00C34658" w:rsidRDefault="00C34658" w:rsidP="00D55642">
            <w:pPr>
              <w:spacing w:before="0" w:line="240" w:lineRule="auto"/>
              <w:rPr>
                <w:sz w:val="22"/>
                <w:szCs w:val="22"/>
              </w:rPr>
            </w:pPr>
            <w:r w:rsidRPr="00DB21D8">
              <w:rPr>
                <w:sz w:val="22"/>
                <w:szCs w:val="22"/>
              </w:rPr>
              <w:t>2</w:t>
            </w:r>
          </w:p>
        </w:tc>
        <w:tc>
          <w:tcPr>
            <w:tcW w:w="2463" w:type="dxa"/>
          </w:tcPr>
          <w:p w:rsidR="00C34658" w:rsidRDefault="00C34658" w:rsidP="00D55642">
            <w:pPr>
              <w:spacing w:before="0" w:line="240" w:lineRule="auto"/>
              <w:jc w:val="left"/>
              <w:rPr>
                <w:rFonts w:cs="Calibri"/>
                <w:sz w:val="22"/>
                <w:szCs w:val="22"/>
                <w:lang w:eastAsia="en-IN"/>
              </w:rPr>
            </w:pPr>
            <w:r w:rsidRPr="00DB21D8">
              <w:rPr>
                <w:rFonts w:cs="Calibri"/>
                <w:sz w:val="22"/>
                <w:szCs w:val="22"/>
                <w:lang w:eastAsia="en-IN"/>
              </w:rPr>
              <w:t xml:space="preserve">Tariff </w:t>
            </w:r>
            <w:r w:rsidRPr="00DB21D8">
              <w:rPr>
                <w:rFonts w:cs="Calibri"/>
                <w:sz w:val="22"/>
                <w:szCs w:val="22"/>
                <w:lang w:eastAsia="en-IN"/>
              </w:rPr>
              <w:br/>
              <w:t>(Single part)</w:t>
            </w:r>
          </w:p>
        </w:tc>
        <w:tc>
          <w:tcPr>
            <w:tcW w:w="6405" w:type="dxa"/>
            <w:vAlign w:val="center"/>
          </w:tcPr>
          <w:p w:rsidR="00C34658" w:rsidRDefault="00C34658" w:rsidP="00D55642">
            <w:pPr>
              <w:spacing w:before="0" w:line="240" w:lineRule="auto"/>
              <w:jc w:val="left"/>
              <w:rPr>
                <w:rFonts w:cs="Calibri"/>
                <w:sz w:val="22"/>
                <w:szCs w:val="22"/>
                <w:lang w:eastAsia="en-IN"/>
              </w:rPr>
            </w:pPr>
            <w:r w:rsidRPr="00DB21D8">
              <w:rPr>
                <w:rFonts w:cs="Calibri"/>
                <w:sz w:val="22"/>
                <w:szCs w:val="22"/>
                <w:lang w:val="en-IN" w:eastAsia="en-IN"/>
              </w:rPr>
              <w:t>Variable cost is considered as per the recent energy bills raised for the period April</w:t>
            </w:r>
            <w:r>
              <w:rPr>
                <w:rFonts w:cs="Calibri"/>
                <w:sz w:val="22"/>
                <w:szCs w:val="22"/>
                <w:lang w:val="en-IN" w:eastAsia="en-IN"/>
              </w:rPr>
              <w:t>, 2015</w:t>
            </w:r>
            <w:r w:rsidRPr="00DB21D8">
              <w:rPr>
                <w:rFonts w:cs="Calibri"/>
                <w:sz w:val="22"/>
                <w:szCs w:val="22"/>
                <w:lang w:val="en-IN" w:eastAsia="en-IN"/>
              </w:rPr>
              <w:t xml:space="preserve"> to September, 2015</w:t>
            </w:r>
          </w:p>
        </w:tc>
      </w:tr>
    </w:tbl>
    <w:p w:rsidR="00C34658" w:rsidRPr="00C60AD1" w:rsidRDefault="00C34658" w:rsidP="00C34658">
      <w:pPr>
        <w:pStyle w:val="Heading4"/>
        <w:numPr>
          <w:ilvl w:val="0"/>
          <w:numId w:val="0"/>
        </w:numPr>
        <w:spacing w:before="0"/>
        <w:ind w:left="864"/>
      </w:pPr>
    </w:p>
    <w:p w:rsidR="00D5771F" w:rsidRDefault="00C34658">
      <w:pPr>
        <w:pStyle w:val="Heading3"/>
        <w:tabs>
          <w:tab w:val="clear" w:pos="720"/>
        </w:tabs>
        <w:spacing w:after="240"/>
        <w:ind w:left="993" w:hanging="993"/>
      </w:pPr>
      <w:r w:rsidRPr="00C60AD1">
        <w:t xml:space="preserve">The Licensees’ submission of </w:t>
      </w:r>
      <w:r>
        <w:t xml:space="preserve">projected </w:t>
      </w:r>
      <w:r w:rsidRPr="00C60AD1">
        <w:t xml:space="preserve">power purchase from NTPC, NHPC and NPCIL generating stations for FY </w:t>
      </w:r>
      <w:r>
        <w:t>2016-17</w:t>
      </w:r>
      <w:r w:rsidRPr="00C60AD1">
        <w:t xml:space="preserve"> is provided in the following Tables:</w:t>
      </w:r>
    </w:p>
    <w:p w:rsidR="00C34658" w:rsidRPr="00C60AD1" w:rsidRDefault="00C34658" w:rsidP="00C34658">
      <w:pPr>
        <w:spacing w:before="0"/>
        <w:jc w:val="center"/>
        <w:rPr>
          <w:rFonts w:cs="Calibri"/>
          <w:b/>
          <w:sz w:val="22"/>
          <w:szCs w:val="22"/>
          <w:lang w:val="en-US"/>
        </w:rPr>
      </w:pPr>
      <w:bookmarkStart w:id="587" w:name="_Toc395657944"/>
      <w:bookmarkStart w:id="588" w:name="_Toc396573995"/>
      <w:bookmarkStart w:id="589" w:name="_Toc399624096"/>
      <w:bookmarkStart w:id="590" w:name="_Toc453367675"/>
      <w:bookmarkStart w:id="591" w:name="_Toc457604045"/>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29</w:t>
      </w:r>
      <w:r w:rsidR="009741CA" w:rsidRPr="00C60AD1">
        <w:rPr>
          <w:rFonts w:cs="Calibri"/>
          <w:b/>
          <w:sz w:val="22"/>
          <w:szCs w:val="22"/>
          <w:lang w:val="en-US"/>
        </w:rPr>
        <w:fldChar w:fldCharType="end"/>
      </w:r>
      <w:r w:rsidRPr="00C60AD1">
        <w:rPr>
          <w:rFonts w:cs="Calibri"/>
          <w:b/>
          <w:sz w:val="22"/>
          <w:szCs w:val="22"/>
          <w:lang w:val="en-US"/>
        </w:rPr>
        <w:t>: DETAILS OF POWER PURCHASE COST FROM NTPC STATIONS FOR FY</w:t>
      </w:r>
      <w:r>
        <w:rPr>
          <w:rFonts w:cs="Calibri"/>
          <w:b/>
          <w:sz w:val="22"/>
          <w:szCs w:val="22"/>
          <w:lang w:val="en-US"/>
        </w:rPr>
        <w:t>2016-17</w:t>
      </w:r>
      <w:r w:rsidRPr="00C60AD1">
        <w:rPr>
          <w:rFonts w:cs="Calibri"/>
          <w:b/>
          <w:sz w:val="22"/>
          <w:szCs w:val="22"/>
          <w:lang w:val="en-US"/>
        </w:rPr>
        <w:t xml:space="preserve"> AS SUBMITTED BY DISTRIBUTION LICENSEES</w:t>
      </w:r>
      <w:bookmarkEnd w:id="587"/>
      <w:bookmarkEnd w:id="588"/>
      <w:bookmarkEnd w:id="589"/>
      <w:bookmarkEnd w:id="590"/>
      <w:bookmarkEnd w:id="591"/>
    </w:p>
    <w:tbl>
      <w:tblPr>
        <w:tblW w:w="10595" w:type="dxa"/>
        <w:jc w:val="center"/>
        <w:tblInd w:w="-7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854"/>
        <w:gridCol w:w="1086"/>
        <w:gridCol w:w="887"/>
        <w:gridCol w:w="850"/>
        <w:gridCol w:w="1111"/>
        <w:gridCol w:w="801"/>
        <w:gridCol w:w="1134"/>
        <w:gridCol w:w="709"/>
        <w:gridCol w:w="1128"/>
        <w:gridCol w:w="1035"/>
      </w:tblGrid>
      <w:tr w:rsidR="00C34658" w:rsidRPr="00880697" w:rsidTr="0000599F">
        <w:trPr>
          <w:trHeight w:val="600"/>
          <w:tblHeader/>
          <w:jc w:val="center"/>
        </w:trPr>
        <w:tc>
          <w:tcPr>
            <w:tcW w:w="1854" w:type="dxa"/>
            <w:vMerge w:val="restart"/>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Source of Power</w:t>
            </w:r>
          </w:p>
        </w:tc>
        <w:tc>
          <w:tcPr>
            <w:tcW w:w="1086" w:type="dxa"/>
            <w:vMerge w:val="restart"/>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MW Available</w:t>
            </w:r>
          </w:p>
        </w:tc>
        <w:tc>
          <w:tcPr>
            <w:tcW w:w="887" w:type="dxa"/>
            <w:vMerge w:val="restart"/>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MU</w:t>
            </w:r>
          </w:p>
        </w:tc>
        <w:tc>
          <w:tcPr>
            <w:tcW w:w="1961" w:type="dxa"/>
            <w:gridSpan w:val="2"/>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Fixed Cost</w:t>
            </w:r>
          </w:p>
        </w:tc>
        <w:tc>
          <w:tcPr>
            <w:tcW w:w="1935" w:type="dxa"/>
            <w:gridSpan w:val="2"/>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Variable Cost</w:t>
            </w:r>
          </w:p>
        </w:tc>
        <w:tc>
          <w:tcPr>
            <w:tcW w:w="1837" w:type="dxa"/>
            <w:gridSpan w:val="2"/>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Total Cost</w:t>
            </w:r>
          </w:p>
        </w:tc>
        <w:tc>
          <w:tcPr>
            <w:tcW w:w="1035"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Average Cost</w:t>
            </w:r>
          </w:p>
        </w:tc>
      </w:tr>
      <w:tr w:rsidR="00C34658" w:rsidRPr="00880697" w:rsidTr="0000599F">
        <w:trPr>
          <w:trHeight w:val="600"/>
          <w:tblHeader/>
          <w:jc w:val="center"/>
        </w:trPr>
        <w:tc>
          <w:tcPr>
            <w:tcW w:w="1854" w:type="dxa"/>
            <w:vMerge/>
            <w:hideMark/>
          </w:tcPr>
          <w:p w:rsidR="00337C98" w:rsidRDefault="00337C98" w:rsidP="00337C98">
            <w:pPr>
              <w:spacing w:before="0" w:line="240" w:lineRule="auto"/>
              <w:jc w:val="center"/>
              <w:rPr>
                <w:rFonts w:asciiTheme="minorHAnsi" w:hAnsiTheme="minorHAnsi" w:cs="Calibri"/>
                <w:b/>
                <w:bCs/>
                <w:sz w:val="22"/>
                <w:szCs w:val="22"/>
                <w:lang w:val="en-IN" w:eastAsia="en-IN"/>
              </w:rPr>
            </w:pPr>
          </w:p>
        </w:tc>
        <w:tc>
          <w:tcPr>
            <w:tcW w:w="1086" w:type="dxa"/>
            <w:vMerge/>
            <w:hideMark/>
          </w:tcPr>
          <w:p w:rsidR="00603835" w:rsidRDefault="00603835">
            <w:pPr>
              <w:spacing w:before="0" w:line="240" w:lineRule="auto"/>
              <w:jc w:val="center"/>
              <w:rPr>
                <w:rFonts w:asciiTheme="minorHAnsi" w:hAnsiTheme="minorHAnsi" w:cs="Calibri"/>
                <w:b/>
                <w:bCs/>
                <w:sz w:val="22"/>
                <w:szCs w:val="22"/>
                <w:lang w:val="en-IN" w:eastAsia="en-IN"/>
              </w:rPr>
            </w:pPr>
          </w:p>
        </w:tc>
        <w:tc>
          <w:tcPr>
            <w:tcW w:w="887" w:type="dxa"/>
            <w:vMerge/>
            <w:hideMark/>
          </w:tcPr>
          <w:p w:rsidR="00603835" w:rsidRDefault="00603835">
            <w:pPr>
              <w:spacing w:before="0" w:line="240" w:lineRule="auto"/>
              <w:jc w:val="center"/>
              <w:rPr>
                <w:rFonts w:asciiTheme="minorHAnsi" w:hAnsiTheme="minorHAnsi" w:cs="Calibri"/>
                <w:b/>
                <w:bCs/>
                <w:sz w:val="22"/>
                <w:szCs w:val="22"/>
                <w:lang w:val="en-IN" w:eastAsia="en-IN"/>
              </w:rPr>
            </w:pPr>
          </w:p>
        </w:tc>
        <w:tc>
          <w:tcPr>
            <w:tcW w:w="85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1111"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801"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1134"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709"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1128"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1035"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Anta</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119</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626</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0.73</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45.95</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4.62</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289.39</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5.36</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335.34</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5.36</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Auriya</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243</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1279</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0.55</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70.92</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5.03</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643.12</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5.58</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714.04</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5.58</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Dadri Thermal</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84</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613</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0.86</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52.49</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4.13</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252.96</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4.98</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305.45</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4.98</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Dadri Gas</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271</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1427</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0.57</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81.06</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4.56</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650.58</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5.13</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731.63</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5.13</w:t>
            </w:r>
          </w:p>
        </w:tc>
      </w:tr>
      <w:tr w:rsidR="00C34658" w:rsidRPr="00880697" w:rsidTr="0000599F">
        <w:trPr>
          <w:trHeight w:val="225"/>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Dadri</w:t>
            </w:r>
            <w:r>
              <w:rPr>
                <w:rFonts w:asciiTheme="minorHAnsi" w:hAnsiTheme="minorHAnsi"/>
                <w:sz w:val="22"/>
                <w:szCs w:val="22"/>
              </w:rPr>
              <w:t xml:space="preserve"> E</w:t>
            </w:r>
            <w:r w:rsidRPr="00DB21D8">
              <w:rPr>
                <w:rFonts w:asciiTheme="minorHAnsi" w:hAnsiTheme="minorHAnsi"/>
                <w:sz w:val="22"/>
                <w:szCs w:val="22"/>
              </w:rPr>
              <w:t>xt</w:t>
            </w:r>
            <w:r>
              <w:rPr>
                <w:rFonts w:asciiTheme="minorHAnsi" w:hAnsiTheme="minorHAnsi"/>
                <w:sz w:val="22"/>
                <w:szCs w:val="22"/>
              </w:rPr>
              <w:t>.</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148</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1055</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1.61</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170.36</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3.68</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388.27</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5.29</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558.63</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5.29</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Rihand-I</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372</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2697</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0.81</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219.65</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2.08</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560.15</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2.89</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779.80</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2.89</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Rihand-II</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346</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2791</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0.95</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263.86</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1.95</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542.99</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2.89</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806.85</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2.89</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Singrauli</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846</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6687</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0.54</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360.97</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1.33</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890.82</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1.87</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1,251.79</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1.87</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Tanda</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440</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3255</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1.05</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342.56</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3.69</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1,201.23</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4.74</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1,543.79</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4.74</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Unchahar-I</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257</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2009</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0.86</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173.75</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2.93</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588.84</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3.80</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762.59</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3.80</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Unchahar-II</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152</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1166</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0.89</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104.27</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2.90</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338.28</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3.80</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442.56</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3.80</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Unchahar-III</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74</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577</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1.37</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79.07</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2.43</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139.95</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3.80</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219.02</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3.80</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lastRenderedPageBreak/>
              <w:t>Farakka</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33</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202</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0.85</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17.25</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2.86</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57.66</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3.71</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74.90</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3.71</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Kahalgaon St. I</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77</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552</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0.96</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52.74</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2.61</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144.04</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3.57</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196.78</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3.57</w:t>
            </w:r>
          </w:p>
        </w:tc>
      </w:tr>
      <w:tr w:rsidR="00C34658" w:rsidRPr="00880697" w:rsidTr="0000599F">
        <w:trPr>
          <w:trHeight w:val="314"/>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KahalgaonSt.IIPh.I</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251</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1807</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1.22</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220.76</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2.35</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423.84</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3.57</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644.60</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3.57</w:t>
            </w:r>
          </w:p>
        </w:tc>
      </w:tr>
      <w:tr w:rsidR="00C34658" w:rsidRPr="00880697" w:rsidTr="0000599F">
        <w:trPr>
          <w:trHeight w:val="33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Koldam (Hydro)</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95</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361</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1.56</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56.29</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2.41</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87.06</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3.97</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143.36</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3.97</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Rihand-III</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sz w:val="22"/>
                <w:szCs w:val="22"/>
                <w:lang w:val="en-IN" w:eastAsia="en-IN"/>
              </w:rPr>
            </w:pPr>
            <w:r w:rsidRPr="00DB21D8">
              <w:rPr>
                <w:rFonts w:asciiTheme="minorHAnsi" w:hAnsiTheme="minorHAnsi"/>
                <w:sz w:val="22"/>
                <w:szCs w:val="22"/>
              </w:rPr>
              <w:t>375</w:t>
            </w:r>
          </w:p>
        </w:tc>
        <w:tc>
          <w:tcPr>
            <w:tcW w:w="887"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1980</w:t>
            </w:r>
          </w:p>
        </w:tc>
        <w:tc>
          <w:tcPr>
            <w:tcW w:w="85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1.32</w:t>
            </w:r>
          </w:p>
        </w:tc>
        <w:tc>
          <w:tcPr>
            <w:tcW w:w="111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261.38</w:t>
            </w:r>
          </w:p>
        </w:tc>
        <w:tc>
          <w:tcPr>
            <w:tcW w:w="801"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1.57</w:t>
            </w:r>
          </w:p>
        </w:tc>
        <w:tc>
          <w:tcPr>
            <w:tcW w:w="113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311.02</w:t>
            </w:r>
          </w:p>
        </w:tc>
        <w:tc>
          <w:tcPr>
            <w:tcW w:w="709"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2.89</w:t>
            </w:r>
          </w:p>
        </w:tc>
        <w:tc>
          <w:tcPr>
            <w:tcW w:w="112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572.40</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2.89</w:t>
            </w:r>
          </w:p>
        </w:tc>
      </w:tr>
      <w:tr w:rsidR="00C34658" w:rsidRPr="00880697" w:rsidTr="0000599F">
        <w:trPr>
          <w:trHeight w:val="300"/>
          <w:jc w:val="center"/>
        </w:trPr>
        <w:tc>
          <w:tcPr>
            <w:tcW w:w="1854" w:type="dxa"/>
            <w:shd w:val="clear" w:color="auto" w:fill="auto"/>
            <w:hideMark/>
          </w:tcPr>
          <w:p w:rsidR="00C34658" w:rsidRDefault="00C34658" w:rsidP="00D55642">
            <w:pPr>
              <w:spacing w:before="0" w:line="240" w:lineRule="auto"/>
              <w:jc w:val="left"/>
              <w:rPr>
                <w:rFonts w:asciiTheme="minorHAnsi" w:hAnsiTheme="minorHAnsi" w:cs="Calibri"/>
                <w:b/>
                <w:bCs/>
                <w:sz w:val="22"/>
                <w:szCs w:val="22"/>
                <w:lang w:val="en-IN" w:eastAsia="en-IN"/>
              </w:rPr>
            </w:pPr>
            <w:r w:rsidRPr="00DB21D8">
              <w:rPr>
                <w:rFonts w:asciiTheme="minorHAnsi" w:hAnsiTheme="minorHAnsi"/>
                <w:b/>
                <w:bCs/>
                <w:sz w:val="22"/>
                <w:szCs w:val="22"/>
              </w:rPr>
              <w:t>Total</w:t>
            </w:r>
          </w:p>
        </w:tc>
        <w:tc>
          <w:tcPr>
            <w:tcW w:w="1086" w:type="dxa"/>
            <w:shd w:val="clear" w:color="auto" w:fill="auto"/>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b/>
                <w:bCs/>
                <w:sz w:val="22"/>
                <w:szCs w:val="22"/>
              </w:rPr>
              <w:t>4184</w:t>
            </w:r>
          </w:p>
        </w:tc>
        <w:tc>
          <w:tcPr>
            <w:tcW w:w="887"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29083</w:t>
            </w:r>
          </w:p>
        </w:tc>
        <w:tc>
          <w:tcPr>
            <w:tcW w:w="85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p>
        </w:tc>
        <w:tc>
          <w:tcPr>
            <w:tcW w:w="1111"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2,573.32</w:t>
            </w:r>
          </w:p>
        </w:tc>
        <w:tc>
          <w:tcPr>
            <w:tcW w:w="801"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p>
        </w:tc>
        <w:tc>
          <w:tcPr>
            <w:tcW w:w="1134"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7,510.21</w:t>
            </w:r>
          </w:p>
        </w:tc>
        <w:tc>
          <w:tcPr>
            <w:tcW w:w="709"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p>
        </w:tc>
        <w:tc>
          <w:tcPr>
            <w:tcW w:w="1128"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10,083.53</w:t>
            </w:r>
          </w:p>
        </w:tc>
        <w:tc>
          <w:tcPr>
            <w:tcW w:w="1035"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3.47</w:t>
            </w:r>
          </w:p>
        </w:tc>
      </w:tr>
    </w:tbl>
    <w:p w:rsidR="00C34658" w:rsidRDefault="00C34658" w:rsidP="00C34658">
      <w:pPr>
        <w:pStyle w:val="Heading4"/>
        <w:numPr>
          <w:ilvl w:val="0"/>
          <w:numId w:val="0"/>
        </w:numPr>
        <w:spacing w:before="0"/>
        <w:ind w:left="864"/>
      </w:pPr>
    </w:p>
    <w:p w:rsidR="00C34658" w:rsidRPr="00C60AD1" w:rsidRDefault="00C34658" w:rsidP="00C34658">
      <w:pPr>
        <w:spacing w:before="0"/>
        <w:jc w:val="center"/>
        <w:rPr>
          <w:rFonts w:cs="Calibri"/>
          <w:b/>
          <w:sz w:val="22"/>
          <w:szCs w:val="22"/>
          <w:lang w:val="en-US"/>
        </w:rPr>
      </w:pPr>
      <w:bookmarkStart w:id="592" w:name="_Toc395657945"/>
      <w:bookmarkStart w:id="593" w:name="_Toc396573996"/>
      <w:bookmarkStart w:id="594" w:name="_Toc399624097"/>
      <w:bookmarkStart w:id="595" w:name="_Toc457604046"/>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30</w:t>
      </w:r>
      <w:r w:rsidR="009741CA" w:rsidRPr="00C60AD1">
        <w:rPr>
          <w:rFonts w:cs="Calibri"/>
          <w:b/>
          <w:sz w:val="22"/>
          <w:szCs w:val="22"/>
          <w:lang w:val="en-US"/>
        </w:rPr>
        <w:fldChar w:fldCharType="end"/>
      </w:r>
      <w:r w:rsidRPr="00C60AD1">
        <w:rPr>
          <w:rFonts w:cs="Calibri"/>
          <w:b/>
          <w:sz w:val="22"/>
          <w:szCs w:val="22"/>
          <w:lang w:val="en-US"/>
        </w:rPr>
        <w:t>: DETAILS OF POWER PURCHASE COST FROM NHPC STATIONS FOR FY</w:t>
      </w:r>
      <w:r>
        <w:rPr>
          <w:rFonts w:cs="Calibri"/>
          <w:b/>
          <w:sz w:val="22"/>
          <w:szCs w:val="22"/>
          <w:lang w:val="en-US"/>
        </w:rPr>
        <w:t>2016-17</w:t>
      </w:r>
      <w:r w:rsidRPr="00C60AD1">
        <w:rPr>
          <w:rFonts w:cs="Calibri"/>
          <w:b/>
          <w:sz w:val="22"/>
          <w:szCs w:val="22"/>
          <w:lang w:val="en-US"/>
        </w:rPr>
        <w:t xml:space="preserve"> AS SUBMITTED BY DISTRIBUTION LICENSEES</w:t>
      </w:r>
      <w:bookmarkEnd w:id="592"/>
      <w:bookmarkEnd w:id="593"/>
      <w:bookmarkEnd w:id="594"/>
      <w:bookmarkEnd w:id="595"/>
    </w:p>
    <w:tbl>
      <w:tblPr>
        <w:tblW w:w="10080" w:type="dxa"/>
        <w:tblInd w:w="-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530"/>
        <w:gridCol w:w="1080"/>
        <w:gridCol w:w="1044"/>
        <w:gridCol w:w="726"/>
        <w:gridCol w:w="1060"/>
        <w:gridCol w:w="726"/>
        <w:gridCol w:w="1060"/>
        <w:gridCol w:w="726"/>
        <w:gridCol w:w="1080"/>
        <w:gridCol w:w="1048"/>
      </w:tblGrid>
      <w:tr w:rsidR="00C34658" w:rsidRPr="00880697" w:rsidTr="0000599F">
        <w:trPr>
          <w:trHeight w:val="594"/>
          <w:tblHeader/>
        </w:trPr>
        <w:tc>
          <w:tcPr>
            <w:tcW w:w="1530" w:type="dxa"/>
            <w:vMerge w:val="restart"/>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Source of Power</w:t>
            </w:r>
          </w:p>
        </w:tc>
        <w:tc>
          <w:tcPr>
            <w:tcW w:w="1080" w:type="dxa"/>
            <w:vMerge w:val="restart"/>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MW Available</w:t>
            </w:r>
          </w:p>
        </w:tc>
        <w:tc>
          <w:tcPr>
            <w:tcW w:w="1044" w:type="dxa"/>
            <w:vMerge w:val="restart"/>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MU</w:t>
            </w:r>
          </w:p>
        </w:tc>
        <w:tc>
          <w:tcPr>
            <w:tcW w:w="1786" w:type="dxa"/>
            <w:gridSpan w:val="2"/>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Fixed Cost</w:t>
            </w:r>
          </w:p>
        </w:tc>
        <w:tc>
          <w:tcPr>
            <w:tcW w:w="1786" w:type="dxa"/>
            <w:gridSpan w:val="2"/>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Variable Cost</w:t>
            </w:r>
          </w:p>
        </w:tc>
        <w:tc>
          <w:tcPr>
            <w:tcW w:w="1806" w:type="dxa"/>
            <w:gridSpan w:val="2"/>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Total Cost</w:t>
            </w:r>
          </w:p>
        </w:tc>
        <w:tc>
          <w:tcPr>
            <w:tcW w:w="1048"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Average Cost</w:t>
            </w:r>
          </w:p>
        </w:tc>
      </w:tr>
      <w:tr w:rsidR="00C34658" w:rsidRPr="00880697" w:rsidTr="0000599F">
        <w:trPr>
          <w:trHeight w:val="594"/>
          <w:tblHeader/>
        </w:trPr>
        <w:tc>
          <w:tcPr>
            <w:tcW w:w="1530" w:type="dxa"/>
            <w:vMerge/>
            <w:hideMark/>
          </w:tcPr>
          <w:p w:rsidR="00337C98" w:rsidRDefault="00337C98" w:rsidP="00337C98">
            <w:pPr>
              <w:spacing w:before="0" w:line="240" w:lineRule="auto"/>
              <w:jc w:val="center"/>
              <w:rPr>
                <w:rFonts w:asciiTheme="minorHAnsi" w:hAnsiTheme="minorHAnsi" w:cs="Calibri"/>
                <w:b/>
                <w:bCs/>
                <w:sz w:val="22"/>
                <w:szCs w:val="22"/>
                <w:lang w:val="en-IN" w:eastAsia="en-IN"/>
              </w:rPr>
            </w:pPr>
          </w:p>
        </w:tc>
        <w:tc>
          <w:tcPr>
            <w:tcW w:w="1080" w:type="dxa"/>
            <w:vMerge/>
            <w:hideMark/>
          </w:tcPr>
          <w:p w:rsidR="00603835" w:rsidRDefault="00603835">
            <w:pPr>
              <w:spacing w:before="0" w:line="240" w:lineRule="auto"/>
              <w:jc w:val="center"/>
              <w:rPr>
                <w:rFonts w:asciiTheme="minorHAnsi" w:hAnsiTheme="minorHAnsi" w:cs="Calibri"/>
                <w:b/>
                <w:bCs/>
                <w:sz w:val="22"/>
                <w:szCs w:val="22"/>
                <w:lang w:val="en-IN" w:eastAsia="en-IN"/>
              </w:rPr>
            </w:pPr>
          </w:p>
        </w:tc>
        <w:tc>
          <w:tcPr>
            <w:tcW w:w="1044" w:type="dxa"/>
            <w:vMerge/>
            <w:hideMark/>
          </w:tcPr>
          <w:p w:rsidR="00603835" w:rsidRDefault="00603835">
            <w:pPr>
              <w:spacing w:before="0" w:line="240" w:lineRule="auto"/>
              <w:jc w:val="center"/>
              <w:rPr>
                <w:rFonts w:asciiTheme="minorHAnsi" w:hAnsiTheme="minorHAnsi" w:cs="Calibri"/>
                <w:b/>
                <w:bCs/>
                <w:sz w:val="22"/>
                <w:szCs w:val="22"/>
                <w:lang w:val="en-IN" w:eastAsia="en-IN"/>
              </w:rPr>
            </w:pPr>
          </w:p>
        </w:tc>
        <w:tc>
          <w:tcPr>
            <w:tcW w:w="726"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106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726"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106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726"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108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1048"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Chamera</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109</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336</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0.60</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20.28</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0.85</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28.58</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1.46</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48.86</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1.46</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Chamera-II</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86</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392</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1.34</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52.31</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1.04</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40.56</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2.37</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92.87</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2.37</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Chamera-III</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62</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282</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1.81</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50.97</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1.86</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52.53</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3.67</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103.50</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3.67</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Dhauliganga</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75</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281</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1.10</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31.04</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1.27</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35.60</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2.37</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66.64</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2.37</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Salal I&amp;II</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48</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252</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0.60</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15.20</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0.38</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9.50</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0.98</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24.70</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0.98</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Tanakpur</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103</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1.70</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17.47</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1.22</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12.50</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2.92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29.97</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2.92</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Uri</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96</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497</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1.05</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51.95</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0.89</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44.42</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1.94</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96.38</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1.94</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Dulhasti</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111</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516</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2.82</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145.50</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2.30</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118.44</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5.12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263.94</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5.12</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Sewa-II</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35</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136</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1.89</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25.77</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1.81</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24.62</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3.70</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50.39</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3.70</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Uri-II</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25</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111</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4.98</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55.11</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0.45</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4.98</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5.43</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60.08</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5.43</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Parbati ST-II</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160</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r>
      <w:tr w:rsidR="00C34658" w:rsidRPr="00880697" w:rsidTr="0000599F">
        <w:trPr>
          <w:trHeight w:val="312"/>
        </w:trPr>
        <w:tc>
          <w:tcPr>
            <w:tcW w:w="1530"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Parbati ST-III</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104</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383</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1.41</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53.98</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3.74</w:t>
            </w:r>
          </w:p>
        </w:tc>
        <w:tc>
          <w:tcPr>
            <w:tcW w:w="106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143.07</w:t>
            </w:r>
          </w:p>
        </w:tc>
        <w:tc>
          <w:tcPr>
            <w:tcW w:w="726"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5.15</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197.05</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5.15</w:t>
            </w:r>
          </w:p>
        </w:tc>
      </w:tr>
      <w:tr w:rsidR="00C34658" w:rsidRPr="00880697" w:rsidTr="0000599F">
        <w:trPr>
          <w:trHeight w:val="297"/>
        </w:trPr>
        <w:tc>
          <w:tcPr>
            <w:tcW w:w="1530" w:type="dxa"/>
            <w:shd w:val="clear" w:color="auto" w:fill="auto"/>
            <w:hideMark/>
          </w:tcPr>
          <w:p w:rsidR="00C34658" w:rsidRDefault="00C34658" w:rsidP="00D55642">
            <w:pPr>
              <w:spacing w:before="0" w:line="240" w:lineRule="auto"/>
              <w:jc w:val="left"/>
              <w:rPr>
                <w:rFonts w:asciiTheme="minorHAnsi" w:hAnsiTheme="minorHAnsi" w:cs="Calibri"/>
                <w:b/>
                <w:bCs/>
                <w:sz w:val="22"/>
                <w:szCs w:val="22"/>
                <w:lang w:val="en-IN" w:eastAsia="en-IN"/>
              </w:rPr>
            </w:pPr>
            <w:r w:rsidRPr="00DB21D8">
              <w:rPr>
                <w:rFonts w:asciiTheme="minorHAnsi" w:hAnsiTheme="minorHAnsi"/>
                <w:b/>
                <w:bCs/>
                <w:sz w:val="22"/>
                <w:szCs w:val="22"/>
              </w:rPr>
              <w:t>Total</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933</w:t>
            </w:r>
          </w:p>
        </w:tc>
        <w:tc>
          <w:tcPr>
            <w:tcW w:w="1044"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3287</w:t>
            </w:r>
          </w:p>
        </w:tc>
        <w:tc>
          <w:tcPr>
            <w:tcW w:w="726"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p>
        </w:tc>
        <w:tc>
          <w:tcPr>
            <w:tcW w:w="106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519.58</w:t>
            </w:r>
          </w:p>
        </w:tc>
        <w:tc>
          <w:tcPr>
            <w:tcW w:w="726"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p>
        </w:tc>
        <w:tc>
          <w:tcPr>
            <w:tcW w:w="106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514.80</w:t>
            </w:r>
          </w:p>
        </w:tc>
        <w:tc>
          <w:tcPr>
            <w:tcW w:w="726"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p>
        </w:tc>
        <w:tc>
          <w:tcPr>
            <w:tcW w:w="108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1,034.38</w:t>
            </w:r>
          </w:p>
        </w:tc>
        <w:tc>
          <w:tcPr>
            <w:tcW w:w="1048"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3.15</w:t>
            </w:r>
          </w:p>
        </w:tc>
      </w:tr>
    </w:tbl>
    <w:p w:rsidR="00C34658" w:rsidRPr="00C60AD1" w:rsidRDefault="00C34658" w:rsidP="00C34658">
      <w:pPr>
        <w:pStyle w:val="Heading4"/>
        <w:numPr>
          <w:ilvl w:val="0"/>
          <w:numId w:val="0"/>
        </w:numPr>
        <w:spacing w:before="0"/>
        <w:ind w:left="864"/>
      </w:pPr>
    </w:p>
    <w:p w:rsidR="00C34658" w:rsidRPr="00C60AD1" w:rsidRDefault="00C34658" w:rsidP="00C34658">
      <w:pPr>
        <w:spacing w:before="0"/>
        <w:jc w:val="center"/>
        <w:rPr>
          <w:rFonts w:cs="Calibri"/>
          <w:b/>
          <w:sz w:val="22"/>
          <w:szCs w:val="22"/>
          <w:lang w:val="en-US"/>
        </w:rPr>
      </w:pPr>
      <w:bookmarkStart w:id="596" w:name="_Toc395657946"/>
      <w:bookmarkStart w:id="597" w:name="_Toc396573997"/>
      <w:bookmarkStart w:id="598" w:name="_Toc399624098"/>
      <w:bookmarkStart w:id="599" w:name="_Toc453367676"/>
      <w:bookmarkStart w:id="600" w:name="_Toc457604047"/>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31</w:t>
      </w:r>
      <w:r w:rsidR="009741CA" w:rsidRPr="00C60AD1">
        <w:rPr>
          <w:rFonts w:cs="Calibri"/>
          <w:b/>
          <w:sz w:val="22"/>
          <w:szCs w:val="22"/>
          <w:lang w:val="en-US"/>
        </w:rPr>
        <w:fldChar w:fldCharType="end"/>
      </w:r>
      <w:r w:rsidRPr="00C60AD1">
        <w:rPr>
          <w:rFonts w:cs="Calibri"/>
          <w:b/>
          <w:sz w:val="22"/>
          <w:szCs w:val="22"/>
          <w:lang w:val="en-US"/>
        </w:rPr>
        <w:t>: DETAILS OF POWER PURCHASE COST FROM NPCIL STATIONS FOR FY</w:t>
      </w:r>
      <w:r>
        <w:rPr>
          <w:rFonts w:cs="Calibri"/>
          <w:b/>
          <w:sz w:val="22"/>
          <w:szCs w:val="22"/>
          <w:lang w:val="en-US"/>
        </w:rPr>
        <w:t>2016-17</w:t>
      </w:r>
      <w:r w:rsidRPr="00C60AD1">
        <w:rPr>
          <w:rFonts w:cs="Calibri"/>
          <w:b/>
          <w:sz w:val="22"/>
          <w:szCs w:val="22"/>
          <w:lang w:val="en-US"/>
        </w:rPr>
        <w:t xml:space="preserve"> AS SUBMITTED BY DISTRIBUTION LICENSEES</w:t>
      </w:r>
      <w:bookmarkEnd w:id="596"/>
      <w:bookmarkEnd w:id="597"/>
      <w:bookmarkEnd w:id="598"/>
      <w:bookmarkEnd w:id="599"/>
      <w:bookmarkEnd w:id="600"/>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60"/>
        <w:gridCol w:w="1139"/>
        <w:gridCol w:w="704"/>
        <w:gridCol w:w="753"/>
        <w:gridCol w:w="711"/>
        <w:gridCol w:w="753"/>
        <w:gridCol w:w="889"/>
        <w:gridCol w:w="753"/>
        <w:gridCol w:w="889"/>
        <w:gridCol w:w="1034"/>
      </w:tblGrid>
      <w:tr w:rsidR="00C34658" w:rsidRPr="00880697" w:rsidTr="00D55642">
        <w:trPr>
          <w:trHeight w:val="600"/>
        </w:trPr>
        <w:tc>
          <w:tcPr>
            <w:tcW w:w="709" w:type="pct"/>
            <w:vMerge w:val="restar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Source of Power</w:t>
            </w:r>
          </w:p>
        </w:tc>
        <w:tc>
          <w:tcPr>
            <w:tcW w:w="641" w:type="pct"/>
            <w:vMerge w:val="restar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MW Available</w:t>
            </w:r>
          </w:p>
        </w:tc>
        <w:tc>
          <w:tcPr>
            <w:tcW w:w="396" w:type="pct"/>
            <w:vMerge w:val="restar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MU</w:t>
            </w:r>
          </w:p>
        </w:tc>
        <w:tc>
          <w:tcPr>
            <w:tcW w:w="824" w:type="pct"/>
            <w:gridSpan w:val="2"/>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Fixed Cost</w:t>
            </w:r>
          </w:p>
        </w:tc>
        <w:tc>
          <w:tcPr>
            <w:tcW w:w="924" w:type="pct"/>
            <w:gridSpan w:val="2"/>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Variable Cost</w:t>
            </w:r>
          </w:p>
        </w:tc>
        <w:tc>
          <w:tcPr>
            <w:tcW w:w="924" w:type="pct"/>
            <w:gridSpan w:val="2"/>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Total Cost</w:t>
            </w:r>
          </w:p>
        </w:tc>
        <w:tc>
          <w:tcPr>
            <w:tcW w:w="582" w:type="pc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Average Cost</w:t>
            </w:r>
          </w:p>
        </w:tc>
      </w:tr>
      <w:tr w:rsidR="00C34658" w:rsidRPr="00880697" w:rsidTr="00D55642">
        <w:trPr>
          <w:trHeight w:val="600"/>
        </w:trPr>
        <w:tc>
          <w:tcPr>
            <w:tcW w:w="709" w:type="pct"/>
            <w:vMerge/>
            <w:vAlign w:val="center"/>
            <w:hideMark/>
          </w:tcPr>
          <w:p w:rsidR="00C34658" w:rsidRDefault="00C34658" w:rsidP="00D55642">
            <w:pPr>
              <w:spacing w:before="0" w:line="240" w:lineRule="auto"/>
              <w:jc w:val="left"/>
              <w:rPr>
                <w:rFonts w:asciiTheme="minorHAnsi" w:hAnsiTheme="minorHAnsi" w:cs="Calibri"/>
                <w:b/>
                <w:bCs/>
                <w:sz w:val="22"/>
                <w:szCs w:val="22"/>
                <w:lang w:val="en-IN" w:eastAsia="en-IN"/>
              </w:rPr>
            </w:pPr>
          </w:p>
        </w:tc>
        <w:tc>
          <w:tcPr>
            <w:tcW w:w="641" w:type="pct"/>
            <w:vMerge/>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p>
        </w:tc>
        <w:tc>
          <w:tcPr>
            <w:tcW w:w="396" w:type="pct"/>
            <w:vMerge/>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p>
        </w:tc>
        <w:tc>
          <w:tcPr>
            <w:tcW w:w="424" w:type="pc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400" w:type="pc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424" w:type="pc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500" w:type="pc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424" w:type="pc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500" w:type="pc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582" w:type="pct"/>
            <w:shd w:val="clear" w:color="000000" w:fill="DBE5F1"/>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r>
      <w:tr w:rsidR="00C34658" w:rsidRPr="00880697" w:rsidTr="00D55642">
        <w:trPr>
          <w:trHeight w:val="300"/>
        </w:trPr>
        <w:tc>
          <w:tcPr>
            <w:tcW w:w="709" w:type="pct"/>
            <w:shd w:val="clear" w:color="auto" w:fill="auto"/>
            <w:vAlign w:val="center"/>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cs="Calibri"/>
                <w:sz w:val="22"/>
                <w:szCs w:val="22"/>
                <w:lang w:val="en-IN" w:eastAsia="en-IN"/>
              </w:rPr>
              <w:t>NAPP</w:t>
            </w:r>
          </w:p>
        </w:tc>
        <w:tc>
          <w:tcPr>
            <w:tcW w:w="641"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166</w:t>
            </w:r>
          </w:p>
        </w:tc>
        <w:tc>
          <w:tcPr>
            <w:tcW w:w="396"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935</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w:t>
            </w:r>
          </w:p>
        </w:tc>
        <w:tc>
          <w:tcPr>
            <w:tcW w:w="400"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2.59</w:t>
            </w:r>
          </w:p>
        </w:tc>
        <w:tc>
          <w:tcPr>
            <w:tcW w:w="500"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242.17</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2.59</w:t>
            </w:r>
          </w:p>
        </w:tc>
        <w:tc>
          <w:tcPr>
            <w:tcW w:w="500"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242.17</w:t>
            </w:r>
          </w:p>
        </w:tc>
        <w:tc>
          <w:tcPr>
            <w:tcW w:w="582"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2.59</w:t>
            </w:r>
          </w:p>
        </w:tc>
      </w:tr>
      <w:tr w:rsidR="00C34658" w:rsidRPr="00880697" w:rsidTr="00D55642">
        <w:trPr>
          <w:trHeight w:val="300"/>
        </w:trPr>
        <w:tc>
          <w:tcPr>
            <w:tcW w:w="709" w:type="pct"/>
            <w:shd w:val="clear" w:color="auto" w:fill="auto"/>
            <w:vAlign w:val="center"/>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cs="Calibri"/>
                <w:sz w:val="22"/>
                <w:szCs w:val="22"/>
                <w:lang w:val="en-IN" w:eastAsia="en-IN"/>
              </w:rPr>
              <w:t>RAPP #3&amp;4</w:t>
            </w:r>
          </w:p>
        </w:tc>
        <w:tc>
          <w:tcPr>
            <w:tcW w:w="641"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80</w:t>
            </w:r>
          </w:p>
        </w:tc>
        <w:tc>
          <w:tcPr>
            <w:tcW w:w="396"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604</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w:t>
            </w:r>
          </w:p>
        </w:tc>
        <w:tc>
          <w:tcPr>
            <w:tcW w:w="400"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3.08</w:t>
            </w:r>
          </w:p>
        </w:tc>
        <w:tc>
          <w:tcPr>
            <w:tcW w:w="500"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185.95</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3.08</w:t>
            </w:r>
          </w:p>
        </w:tc>
        <w:tc>
          <w:tcPr>
            <w:tcW w:w="500"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185.95</w:t>
            </w:r>
          </w:p>
        </w:tc>
        <w:tc>
          <w:tcPr>
            <w:tcW w:w="582"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3.08</w:t>
            </w:r>
          </w:p>
        </w:tc>
      </w:tr>
      <w:tr w:rsidR="00C34658" w:rsidRPr="00880697" w:rsidTr="00D55642">
        <w:trPr>
          <w:trHeight w:val="300"/>
        </w:trPr>
        <w:tc>
          <w:tcPr>
            <w:tcW w:w="709" w:type="pct"/>
            <w:shd w:val="clear" w:color="auto" w:fill="auto"/>
            <w:vAlign w:val="center"/>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cs="Calibri"/>
                <w:sz w:val="22"/>
                <w:szCs w:val="22"/>
                <w:lang w:val="en-IN" w:eastAsia="en-IN"/>
              </w:rPr>
              <w:t>RAPP#5&amp;6</w:t>
            </w:r>
          </w:p>
        </w:tc>
        <w:tc>
          <w:tcPr>
            <w:tcW w:w="641"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115</w:t>
            </w:r>
          </w:p>
        </w:tc>
        <w:tc>
          <w:tcPr>
            <w:tcW w:w="396"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799</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w:t>
            </w:r>
          </w:p>
        </w:tc>
        <w:tc>
          <w:tcPr>
            <w:tcW w:w="400"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3.67</w:t>
            </w:r>
          </w:p>
        </w:tc>
        <w:tc>
          <w:tcPr>
            <w:tcW w:w="500"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293.43</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3.67</w:t>
            </w:r>
          </w:p>
        </w:tc>
        <w:tc>
          <w:tcPr>
            <w:tcW w:w="500"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293.43</w:t>
            </w:r>
          </w:p>
        </w:tc>
        <w:tc>
          <w:tcPr>
            <w:tcW w:w="582" w:type="pct"/>
            <w:shd w:val="clear" w:color="auto" w:fill="auto"/>
            <w:hideMark/>
          </w:tcPr>
          <w:p w:rsidR="00C34658" w:rsidRDefault="00C34658" w:rsidP="00D55642">
            <w:pPr>
              <w:spacing w:before="0" w:line="240" w:lineRule="auto"/>
              <w:jc w:val="center"/>
              <w:rPr>
                <w:rFonts w:asciiTheme="minorHAnsi" w:hAnsiTheme="minorHAnsi" w:cs="Calibri"/>
                <w:sz w:val="22"/>
                <w:szCs w:val="22"/>
              </w:rPr>
            </w:pPr>
            <w:r w:rsidRPr="00DB21D8">
              <w:rPr>
                <w:rFonts w:asciiTheme="minorHAnsi" w:hAnsiTheme="minorHAnsi"/>
                <w:sz w:val="22"/>
                <w:szCs w:val="22"/>
              </w:rPr>
              <w:t>3.67</w:t>
            </w:r>
          </w:p>
        </w:tc>
      </w:tr>
      <w:tr w:rsidR="00C34658" w:rsidRPr="00880697" w:rsidTr="00D55642">
        <w:trPr>
          <w:trHeight w:val="300"/>
        </w:trPr>
        <w:tc>
          <w:tcPr>
            <w:tcW w:w="709" w:type="pct"/>
            <w:shd w:val="clear" w:color="auto" w:fill="auto"/>
            <w:vAlign w:val="center"/>
            <w:hideMark/>
          </w:tcPr>
          <w:p w:rsidR="00C34658" w:rsidRDefault="00C34658" w:rsidP="00D55642">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lastRenderedPageBreak/>
              <w:t>Total</w:t>
            </w:r>
          </w:p>
        </w:tc>
        <w:tc>
          <w:tcPr>
            <w:tcW w:w="641" w:type="pct"/>
            <w:shd w:val="clear" w:color="auto" w:fill="auto"/>
            <w:hideMark/>
          </w:tcPr>
          <w:p w:rsidR="00C34658" w:rsidRDefault="00C34658" w:rsidP="00D55642">
            <w:pPr>
              <w:spacing w:before="0" w:line="240" w:lineRule="auto"/>
              <w:jc w:val="center"/>
              <w:rPr>
                <w:rFonts w:asciiTheme="minorHAnsi" w:hAnsiTheme="minorHAnsi" w:cs="Calibri"/>
                <w:b/>
                <w:bCs/>
                <w:sz w:val="22"/>
                <w:szCs w:val="22"/>
              </w:rPr>
            </w:pPr>
            <w:r w:rsidRPr="00DB21D8">
              <w:rPr>
                <w:rFonts w:asciiTheme="minorHAnsi" w:hAnsiTheme="minorHAnsi"/>
                <w:b/>
                <w:bCs/>
                <w:sz w:val="22"/>
                <w:szCs w:val="22"/>
              </w:rPr>
              <w:t>361</w:t>
            </w:r>
          </w:p>
        </w:tc>
        <w:tc>
          <w:tcPr>
            <w:tcW w:w="396" w:type="pct"/>
            <w:shd w:val="clear" w:color="auto" w:fill="auto"/>
            <w:hideMark/>
          </w:tcPr>
          <w:p w:rsidR="00C34658" w:rsidRDefault="00C34658" w:rsidP="00D55642">
            <w:pPr>
              <w:spacing w:before="0" w:line="240" w:lineRule="auto"/>
              <w:jc w:val="center"/>
              <w:rPr>
                <w:rFonts w:asciiTheme="minorHAnsi" w:hAnsiTheme="minorHAnsi" w:cs="Calibri"/>
                <w:b/>
                <w:bCs/>
                <w:sz w:val="22"/>
                <w:szCs w:val="22"/>
              </w:rPr>
            </w:pPr>
            <w:r w:rsidRPr="00DB21D8">
              <w:rPr>
                <w:rFonts w:asciiTheme="minorHAnsi" w:hAnsiTheme="minorHAnsi"/>
                <w:b/>
                <w:bCs/>
                <w:sz w:val="22"/>
                <w:szCs w:val="22"/>
              </w:rPr>
              <w:t>2339</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b/>
                <w:bCs/>
                <w:sz w:val="22"/>
                <w:szCs w:val="22"/>
              </w:rPr>
            </w:pPr>
          </w:p>
        </w:tc>
        <w:tc>
          <w:tcPr>
            <w:tcW w:w="400" w:type="pct"/>
            <w:shd w:val="clear" w:color="auto" w:fill="auto"/>
            <w:hideMark/>
          </w:tcPr>
          <w:p w:rsidR="00C34658" w:rsidRDefault="00C34658" w:rsidP="00D55642">
            <w:pPr>
              <w:spacing w:before="0" w:line="240" w:lineRule="auto"/>
              <w:jc w:val="center"/>
              <w:rPr>
                <w:rFonts w:asciiTheme="minorHAnsi" w:hAnsiTheme="minorHAnsi" w:cs="Calibri"/>
                <w:b/>
                <w:bCs/>
                <w:sz w:val="22"/>
                <w:szCs w:val="22"/>
              </w:rPr>
            </w:pPr>
          </w:p>
        </w:tc>
        <w:tc>
          <w:tcPr>
            <w:tcW w:w="424" w:type="pct"/>
            <w:shd w:val="clear" w:color="auto" w:fill="auto"/>
            <w:hideMark/>
          </w:tcPr>
          <w:p w:rsidR="00C34658" w:rsidRDefault="00C34658" w:rsidP="00D55642">
            <w:pPr>
              <w:spacing w:before="0" w:line="240" w:lineRule="auto"/>
              <w:jc w:val="center"/>
              <w:rPr>
                <w:rFonts w:asciiTheme="minorHAnsi" w:hAnsiTheme="minorHAnsi" w:cs="Calibri"/>
                <w:b/>
                <w:bCs/>
                <w:sz w:val="22"/>
                <w:szCs w:val="22"/>
              </w:rPr>
            </w:pPr>
          </w:p>
        </w:tc>
        <w:tc>
          <w:tcPr>
            <w:tcW w:w="500" w:type="pct"/>
            <w:shd w:val="clear" w:color="auto" w:fill="auto"/>
            <w:hideMark/>
          </w:tcPr>
          <w:p w:rsidR="00C34658" w:rsidRDefault="00C34658" w:rsidP="00D55642">
            <w:pPr>
              <w:spacing w:before="0" w:line="240" w:lineRule="auto"/>
              <w:jc w:val="center"/>
              <w:rPr>
                <w:rFonts w:asciiTheme="minorHAnsi" w:hAnsiTheme="minorHAnsi" w:cs="Calibri"/>
                <w:b/>
                <w:bCs/>
                <w:sz w:val="22"/>
                <w:szCs w:val="22"/>
              </w:rPr>
            </w:pPr>
            <w:r w:rsidRPr="00DB21D8">
              <w:rPr>
                <w:rFonts w:asciiTheme="minorHAnsi" w:hAnsiTheme="minorHAnsi"/>
                <w:b/>
                <w:bCs/>
                <w:sz w:val="22"/>
                <w:szCs w:val="22"/>
              </w:rPr>
              <w:t>721.55</w:t>
            </w:r>
          </w:p>
        </w:tc>
        <w:tc>
          <w:tcPr>
            <w:tcW w:w="424" w:type="pct"/>
            <w:shd w:val="clear" w:color="auto" w:fill="auto"/>
            <w:hideMark/>
          </w:tcPr>
          <w:p w:rsidR="00C34658" w:rsidRDefault="00C34658" w:rsidP="00D55642">
            <w:pPr>
              <w:spacing w:before="0" w:line="240" w:lineRule="auto"/>
              <w:jc w:val="center"/>
              <w:rPr>
                <w:rFonts w:asciiTheme="minorHAnsi" w:hAnsiTheme="minorHAnsi" w:cs="Calibri"/>
                <w:b/>
                <w:bCs/>
                <w:sz w:val="22"/>
                <w:szCs w:val="22"/>
              </w:rPr>
            </w:pPr>
          </w:p>
        </w:tc>
        <w:tc>
          <w:tcPr>
            <w:tcW w:w="500" w:type="pct"/>
            <w:shd w:val="clear" w:color="auto" w:fill="auto"/>
            <w:hideMark/>
          </w:tcPr>
          <w:p w:rsidR="00C34658" w:rsidRDefault="00C34658" w:rsidP="00D55642">
            <w:pPr>
              <w:spacing w:before="0" w:line="240" w:lineRule="auto"/>
              <w:jc w:val="center"/>
              <w:rPr>
                <w:rFonts w:asciiTheme="minorHAnsi" w:hAnsiTheme="minorHAnsi" w:cs="Calibri"/>
                <w:b/>
                <w:bCs/>
                <w:sz w:val="22"/>
                <w:szCs w:val="22"/>
              </w:rPr>
            </w:pPr>
            <w:r w:rsidRPr="00DB21D8">
              <w:rPr>
                <w:rFonts w:asciiTheme="minorHAnsi" w:hAnsiTheme="minorHAnsi"/>
                <w:b/>
                <w:bCs/>
                <w:sz w:val="22"/>
                <w:szCs w:val="22"/>
              </w:rPr>
              <w:t>721.55</w:t>
            </w:r>
          </w:p>
        </w:tc>
        <w:tc>
          <w:tcPr>
            <w:tcW w:w="582" w:type="pct"/>
            <w:shd w:val="clear" w:color="auto" w:fill="auto"/>
            <w:hideMark/>
          </w:tcPr>
          <w:p w:rsidR="00C34658" w:rsidRDefault="00C34658" w:rsidP="00D55642">
            <w:pPr>
              <w:spacing w:before="0" w:line="240" w:lineRule="auto"/>
              <w:jc w:val="center"/>
              <w:rPr>
                <w:rFonts w:asciiTheme="minorHAnsi" w:hAnsiTheme="minorHAnsi" w:cs="Calibri"/>
                <w:b/>
                <w:bCs/>
                <w:sz w:val="22"/>
                <w:szCs w:val="22"/>
              </w:rPr>
            </w:pPr>
            <w:r w:rsidRPr="00DB21D8">
              <w:rPr>
                <w:rFonts w:asciiTheme="minorHAnsi" w:hAnsiTheme="minorHAnsi"/>
                <w:b/>
                <w:bCs/>
                <w:sz w:val="22"/>
                <w:szCs w:val="22"/>
              </w:rPr>
              <w:t>3.09</w:t>
            </w:r>
          </w:p>
        </w:tc>
      </w:tr>
    </w:tbl>
    <w:p w:rsidR="00C34658" w:rsidRPr="00C60AD1" w:rsidRDefault="00C34658" w:rsidP="00C34658">
      <w:pPr>
        <w:pStyle w:val="Heading4"/>
        <w:numPr>
          <w:ilvl w:val="0"/>
          <w:numId w:val="0"/>
        </w:numPr>
        <w:spacing w:before="0"/>
        <w:ind w:left="864"/>
      </w:pPr>
    </w:p>
    <w:p w:rsidR="00C34658" w:rsidRPr="00C60AD1" w:rsidRDefault="00C34658" w:rsidP="00C34658">
      <w:pPr>
        <w:pStyle w:val="Heading3"/>
        <w:numPr>
          <w:ilvl w:val="0"/>
          <w:numId w:val="0"/>
        </w:numPr>
        <w:ind w:left="90"/>
        <w:rPr>
          <w:b/>
        </w:rPr>
      </w:pPr>
      <w:r w:rsidRPr="00C60AD1">
        <w:rPr>
          <w:b/>
        </w:rPr>
        <w:t>The Commission’s Analysis:</w:t>
      </w:r>
    </w:p>
    <w:p w:rsidR="00D5771F" w:rsidRDefault="00C34658">
      <w:pPr>
        <w:pStyle w:val="Heading3"/>
        <w:tabs>
          <w:tab w:val="clear" w:pos="720"/>
        </w:tabs>
        <w:spacing w:after="240"/>
        <w:ind w:left="993" w:hanging="993"/>
      </w:pPr>
      <w:r>
        <w:t>T</w:t>
      </w:r>
      <w:r w:rsidRPr="00C60AD1">
        <w:t xml:space="preserve">he </w:t>
      </w:r>
      <w:r>
        <w:t xml:space="preserve">Commission’s </w:t>
      </w:r>
      <w:r w:rsidRPr="00C60AD1">
        <w:t xml:space="preserve">assumptions </w:t>
      </w:r>
      <w:r>
        <w:t>for</w:t>
      </w:r>
      <w:r w:rsidRPr="00C60AD1">
        <w:t xml:space="preserve"> approving the power purchase quantum and cost from the NTPC, NHPC and NPCIL Stations are given in the following Tables:</w:t>
      </w:r>
    </w:p>
    <w:p w:rsidR="00C34658" w:rsidRPr="00AE5277" w:rsidRDefault="00C34658" w:rsidP="00C34658">
      <w:pPr>
        <w:keepNext/>
        <w:spacing w:before="0"/>
        <w:jc w:val="center"/>
        <w:rPr>
          <w:rFonts w:cs="Calibri"/>
          <w:b/>
          <w:sz w:val="22"/>
          <w:szCs w:val="22"/>
          <w:lang w:val="en-US"/>
        </w:rPr>
      </w:pPr>
      <w:bookmarkStart w:id="601" w:name="_Ref325470342"/>
      <w:bookmarkStart w:id="602" w:name="_Toc325475667"/>
      <w:bookmarkStart w:id="603" w:name="_Toc338310682"/>
      <w:bookmarkStart w:id="604" w:name="_Toc338419512"/>
      <w:bookmarkStart w:id="605" w:name="_Toc357721103"/>
      <w:bookmarkStart w:id="606" w:name="_Toc395657947"/>
      <w:bookmarkStart w:id="607" w:name="_Toc396573998"/>
      <w:bookmarkStart w:id="608" w:name="_Toc399624099"/>
      <w:bookmarkStart w:id="609" w:name="_Toc453367677"/>
      <w:bookmarkStart w:id="610" w:name="_Toc457604048"/>
      <w:r w:rsidRPr="00AE5277">
        <w:rPr>
          <w:rFonts w:cs="Calibri"/>
          <w:b/>
          <w:sz w:val="22"/>
          <w:szCs w:val="22"/>
          <w:lang w:val="en-US"/>
        </w:rPr>
        <w:t xml:space="preserve">Table </w:t>
      </w:r>
      <w:r w:rsidR="009741CA" w:rsidRPr="00AE5277">
        <w:rPr>
          <w:rFonts w:cs="Calibri"/>
          <w:b/>
          <w:sz w:val="22"/>
          <w:szCs w:val="22"/>
          <w:lang w:val="en-US"/>
        </w:rPr>
        <w:fldChar w:fldCharType="begin"/>
      </w:r>
      <w:r w:rsidRPr="00B86C22">
        <w:rPr>
          <w:rFonts w:cs="Calibri"/>
          <w:b/>
          <w:sz w:val="22"/>
          <w:szCs w:val="22"/>
          <w:lang w:val="en-US"/>
        </w:rPr>
        <w:instrText xml:space="preserve"> STYLEREF 1 \s </w:instrText>
      </w:r>
      <w:r w:rsidR="009741CA" w:rsidRPr="00AE5277">
        <w:rPr>
          <w:rFonts w:cs="Calibri"/>
          <w:b/>
          <w:sz w:val="22"/>
          <w:szCs w:val="22"/>
          <w:lang w:val="en-US"/>
        </w:rPr>
        <w:fldChar w:fldCharType="separate"/>
      </w:r>
      <w:r w:rsidR="00BA08F0">
        <w:rPr>
          <w:rFonts w:cs="Calibri"/>
          <w:b/>
          <w:noProof/>
          <w:sz w:val="22"/>
          <w:szCs w:val="22"/>
          <w:lang w:val="en-US"/>
        </w:rPr>
        <w:t>5</w:t>
      </w:r>
      <w:r w:rsidR="009741CA" w:rsidRPr="00AE5277">
        <w:rPr>
          <w:rFonts w:cs="Calibri"/>
          <w:b/>
          <w:sz w:val="22"/>
          <w:szCs w:val="22"/>
          <w:lang w:val="en-US"/>
        </w:rPr>
        <w:fldChar w:fldCharType="end"/>
      </w:r>
      <w:r w:rsidRPr="00AE5277">
        <w:rPr>
          <w:rFonts w:cs="Calibri"/>
          <w:b/>
          <w:sz w:val="22"/>
          <w:szCs w:val="22"/>
          <w:lang w:val="en-US"/>
        </w:rPr>
        <w:noBreakHyphen/>
      </w:r>
      <w:r w:rsidR="009741CA" w:rsidRPr="00AE5277">
        <w:rPr>
          <w:rFonts w:cs="Calibri"/>
          <w:b/>
          <w:sz w:val="22"/>
          <w:szCs w:val="22"/>
          <w:lang w:val="en-US"/>
        </w:rPr>
        <w:fldChar w:fldCharType="begin"/>
      </w:r>
      <w:r w:rsidRPr="00B86C22">
        <w:rPr>
          <w:rFonts w:cs="Calibri"/>
          <w:b/>
          <w:sz w:val="22"/>
          <w:szCs w:val="22"/>
          <w:lang w:val="en-US"/>
        </w:rPr>
        <w:instrText xml:space="preserve"> SEQ Table \* ARABIC \s 1 </w:instrText>
      </w:r>
      <w:r w:rsidR="009741CA" w:rsidRPr="00AE5277">
        <w:rPr>
          <w:rFonts w:cs="Calibri"/>
          <w:b/>
          <w:sz w:val="22"/>
          <w:szCs w:val="22"/>
          <w:lang w:val="en-US"/>
        </w:rPr>
        <w:fldChar w:fldCharType="separate"/>
      </w:r>
      <w:r w:rsidR="00BA08F0">
        <w:rPr>
          <w:rFonts w:cs="Calibri"/>
          <w:b/>
          <w:noProof/>
          <w:sz w:val="22"/>
          <w:szCs w:val="22"/>
          <w:lang w:val="en-US"/>
        </w:rPr>
        <w:t>32</w:t>
      </w:r>
      <w:r w:rsidR="009741CA" w:rsidRPr="00AE5277">
        <w:rPr>
          <w:rFonts w:cs="Calibri"/>
          <w:b/>
          <w:sz w:val="22"/>
          <w:szCs w:val="22"/>
          <w:lang w:val="en-US"/>
        </w:rPr>
        <w:fldChar w:fldCharType="end"/>
      </w:r>
      <w:r w:rsidRPr="00AE5277">
        <w:rPr>
          <w:rFonts w:cs="Calibri"/>
          <w:b/>
          <w:sz w:val="22"/>
          <w:szCs w:val="22"/>
          <w:lang w:val="en-US"/>
        </w:rPr>
        <w:t>:</w:t>
      </w:r>
      <w:bookmarkEnd w:id="601"/>
      <w:r w:rsidRPr="00AE5277">
        <w:rPr>
          <w:rFonts w:cs="Calibri"/>
          <w:b/>
          <w:sz w:val="22"/>
          <w:szCs w:val="22"/>
          <w:lang w:val="en-US"/>
        </w:rPr>
        <w:t xml:space="preserve"> ASSUMPTIONS OF POWER PURCHASE FROM NTPC </w:t>
      </w:r>
      <w:bookmarkEnd w:id="602"/>
      <w:bookmarkEnd w:id="603"/>
      <w:bookmarkEnd w:id="604"/>
      <w:bookmarkEnd w:id="605"/>
      <w:r w:rsidRPr="00AE5277">
        <w:rPr>
          <w:rFonts w:cs="Calibri"/>
          <w:b/>
          <w:sz w:val="22"/>
          <w:szCs w:val="22"/>
          <w:lang w:val="en-US"/>
        </w:rPr>
        <w:t>AS CONSIDERED BY THE COMMISSION</w:t>
      </w:r>
      <w:bookmarkEnd w:id="606"/>
      <w:bookmarkEnd w:id="607"/>
      <w:bookmarkEnd w:id="608"/>
      <w:bookmarkEnd w:id="609"/>
      <w:bookmarkEnd w:id="610"/>
    </w:p>
    <w:tbl>
      <w:tblPr>
        <w:tblW w:w="98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8"/>
        <w:gridCol w:w="2846"/>
        <w:gridCol w:w="6048"/>
      </w:tblGrid>
      <w:tr w:rsidR="00C34658" w:rsidRPr="00880697" w:rsidTr="00D55642">
        <w:trPr>
          <w:tblHeader/>
          <w:jc w:val="center"/>
        </w:trPr>
        <w:tc>
          <w:tcPr>
            <w:tcW w:w="918"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S. No.</w:t>
            </w:r>
          </w:p>
        </w:tc>
        <w:tc>
          <w:tcPr>
            <w:tcW w:w="2846"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Particulars</w:t>
            </w:r>
          </w:p>
        </w:tc>
        <w:tc>
          <w:tcPr>
            <w:tcW w:w="6048"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Assumption</w:t>
            </w:r>
          </w:p>
        </w:tc>
      </w:tr>
      <w:tr w:rsidR="00C34658" w:rsidRPr="00880697" w:rsidTr="00D55642">
        <w:trPr>
          <w:jc w:val="center"/>
        </w:trPr>
        <w:tc>
          <w:tcPr>
            <w:tcW w:w="918" w:type="dxa"/>
          </w:tcPr>
          <w:p w:rsidR="00C34658" w:rsidRDefault="00C34658" w:rsidP="00D55642">
            <w:pPr>
              <w:spacing w:before="0" w:line="240" w:lineRule="auto"/>
              <w:jc w:val="left"/>
              <w:rPr>
                <w:sz w:val="22"/>
                <w:szCs w:val="22"/>
              </w:rPr>
            </w:pPr>
            <w:r w:rsidRPr="00DB21D8">
              <w:rPr>
                <w:sz w:val="22"/>
                <w:szCs w:val="22"/>
              </w:rPr>
              <w:t>1</w:t>
            </w:r>
          </w:p>
        </w:tc>
        <w:tc>
          <w:tcPr>
            <w:tcW w:w="2846" w:type="dxa"/>
          </w:tcPr>
          <w:p w:rsidR="00C34658" w:rsidRDefault="00C34658" w:rsidP="00D55642">
            <w:pPr>
              <w:spacing w:before="0" w:line="240" w:lineRule="auto"/>
              <w:jc w:val="left"/>
              <w:rPr>
                <w:sz w:val="22"/>
                <w:szCs w:val="22"/>
              </w:rPr>
            </w:pPr>
            <w:r w:rsidRPr="00DB21D8">
              <w:rPr>
                <w:sz w:val="22"/>
                <w:szCs w:val="22"/>
              </w:rPr>
              <w:t>Power Purchase Quantum</w:t>
            </w:r>
          </w:p>
        </w:tc>
        <w:tc>
          <w:tcPr>
            <w:tcW w:w="6048" w:type="dxa"/>
          </w:tcPr>
          <w:p w:rsidR="00C34658" w:rsidRDefault="00C34658" w:rsidP="00D55642">
            <w:pPr>
              <w:spacing w:before="0" w:line="240" w:lineRule="auto"/>
              <w:rPr>
                <w:rFonts w:cs="Calibri"/>
                <w:sz w:val="22"/>
                <w:szCs w:val="22"/>
                <w:lang w:eastAsia="en-IN"/>
              </w:rPr>
            </w:pPr>
            <w:r w:rsidRPr="00DB21D8">
              <w:rPr>
                <w:rFonts w:cs="Calibri"/>
                <w:sz w:val="22"/>
                <w:szCs w:val="22"/>
                <w:lang w:eastAsia="en-IN"/>
              </w:rPr>
              <w:t>1. Net Power Purchase Quantum has been derived as a product of respective power plants’ MW capacity, plant load factor (PLF) and UP State's Share in respective power plant.</w:t>
            </w:r>
          </w:p>
          <w:p w:rsidR="00C34658" w:rsidRDefault="00C34658" w:rsidP="00D55642">
            <w:pPr>
              <w:spacing w:before="0" w:line="240" w:lineRule="auto"/>
              <w:rPr>
                <w:sz w:val="22"/>
                <w:szCs w:val="22"/>
              </w:rPr>
            </w:pPr>
            <w:r w:rsidRPr="00DB21D8">
              <w:rPr>
                <w:rFonts w:cs="Calibri"/>
                <w:sz w:val="22"/>
                <w:szCs w:val="22"/>
                <w:lang w:eastAsia="en-IN"/>
              </w:rPr>
              <w:t>2. Further, the quantum has been projected as per Merit order Dispatch principles.</w:t>
            </w:r>
          </w:p>
        </w:tc>
      </w:tr>
      <w:tr w:rsidR="00C34658" w:rsidRPr="00880697" w:rsidTr="00D55642">
        <w:trPr>
          <w:trHeight w:val="419"/>
          <w:jc w:val="center"/>
        </w:trPr>
        <w:tc>
          <w:tcPr>
            <w:tcW w:w="918" w:type="dxa"/>
          </w:tcPr>
          <w:p w:rsidR="00C34658" w:rsidRDefault="00C34658" w:rsidP="00D55642">
            <w:pPr>
              <w:spacing w:before="0" w:line="240" w:lineRule="auto"/>
              <w:jc w:val="left"/>
              <w:rPr>
                <w:sz w:val="22"/>
                <w:szCs w:val="22"/>
              </w:rPr>
            </w:pPr>
            <w:r w:rsidRPr="00DB21D8">
              <w:rPr>
                <w:sz w:val="22"/>
                <w:szCs w:val="22"/>
              </w:rPr>
              <w:t>2</w:t>
            </w:r>
          </w:p>
        </w:tc>
        <w:tc>
          <w:tcPr>
            <w:tcW w:w="2846" w:type="dxa"/>
          </w:tcPr>
          <w:p w:rsidR="00C34658" w:rsidRDefault="00C34658" w:rsidP="00D55642">
            <w:pPr>
              <w:spacing w:before="0" w:line="240" w:lineRule="auto"/>
              <w:jc w:val="left"/>
              <w:rPr>
                <w:sz w:val="22"/>
                <w:szCs w:val="22"/>
              </w:rPr>
            </w:pPr>
            <w:r w:rsidRPr="00DB21D8">
              <w:rPr>
                <w:sz w:val="22"/>
                <w:szCs w:val="22"/>
              </w:rPr>
              <w:t>Fixed Charges</w:t>
            </w:r>
          </w:p>
        </w:tc>
        <w:tc>
          <w:tcPr>
            <w:tcW w:w="6048" w:type="dxa"/>
          </w:tcPr>
          <w:p w:rsidR="00C34658" w:rsidRDefault="00C34658" w:rsidP="00D55642">
            <w:pPr>
              <w:spacing w:before="0" w:line="240" w:lineRule="auto"/>
              <w:rPr>
                <w:rFonts w:cs="Calibri"/>
                <w:sz w:val="22"/>
                <w:szCs w:val="22"/>
                <w:lang w:eastAsia="en-IN"/>
              </w:rPr>
            </w:pPr>
            <w:r w:rsidRPr="00DB21D8">
              <w:rPr>
                <w:rFonts w:cs="Calibri"/>
                <w:sz w:val="22"/>
                <w:szCs w:val="22"/>
                <w:lang w:eastAsia="en-IN"/>
              </w:rPr>
              <w:t>Fixed charges are computed after considering UP state's allocated share in respective power plant as per Regional Energy Accounting Report and Annual Report of NRPC and ERPC and fixed cost approved as per CERC order for respective power plants.</w:t>
            </w:r>
          </w:p>
        </w:tc>
      </w:tr>
      <w:tr w:rsidR="00C34658" w:rsidRPr="00880697" w:rsidTr="00D55642">
        <w:trPr>
          <w:jc w:val="center"/>
        </w:trPr>
        <w:tc>
          <w:tcPr>
            <w:tcW w:w="918" w:type="dxa"/>
          </w:tcPr>
          <w:p w:rsidR="00C34658" w:rsidRDefault="00C34658" w:rsidP="00D55642">
            <w:pPr>
              <w:spacing w:before="0" w:line="240" w:lineRule="auto"/>
              <w:jc w:val="left"/>
              <w:rPr>
                <w:sz w:val="22"/>
                <w:szCs w:val="22"/>
                <w:highlight w:val="yellow"/>
              </w:rPr>
            </w:pPr>
            <w:r w:rsidRPr="00DB21D8">
              <w:rPr>
                <w:sz w:val="22"/>
                <w:szCs w:val="22"/>
              </w:rPr>
              <w:t>3</w:t>
            </w:r>
          </w:p>
        </w:tc>
        <w:tc>
          <w:tcPr>
            <w:tcW w:w="2846" w:type="dxa"/>
          </w:tcPr>
          <w:p w:rsidR="00C34658" w:rsidRDefault="00C34658" w:rsidP="00D55642">
            <w:pPr>
              <w:spacing w:before="0" w:line="240" w:lineRule="auto"/>
              <w:jc w:val="left"/>
              <w:rPr>
                <w:sz w:val="22"/>
                <w:szCs w:val="22"/>
              </w:rPr>
            </w:pPr>
            <w:r w:rsidRPr="00DB21D8">
              <w:rPr>
                <w:rFonts w:cs="Calibri"/>
                <w:sz w:val="22"/>
                <w:szCs w:val="22"/>
                <w:lang w:eastAsia="en-IN"/>
              </w:rPr>
              <w:t>Variable Charges</w:t>
            </w:r>
          </w:p>
        </w:tc>
        <w:tc>
          <w:tcPr>
            <w:tcW w:w="6048" w:type="dxa"/>
          </w:tcPr>
          <w:p w:rsidR="00C34658" w:rsidRDefault="00C34658" w:rsidP="00D55642">
            <w:pPr>
              <w:spacing w:before="0" w:line="240" w:lineRule="auto"/>
              <w:rPr>
                <w:rFonts w:cs="Calibri"/>
                <w:sz w:val="22"/>
                <w:szCs w:val="22"/>
                <w:lang w:eastAsia="en-IN"/>
              </w:rPr>
            </w:pPr>
            <w:r w:rsidRPr="00DB21D8">
              <w:rPr>
                <w:rFonts w:cs="Calibri"/>
                <w:sz w:val="22"/>
                <w:szCs w:val="22"/>
                <w:lang w:eastAsia="en-IN"/>
              </w:rPr>
              <w:t>Variable charges have been considered as submitted by the Licensees for the period  April to September, 2015</w:t>
            </w:r>
          </w:p>
        </w:tc>
      </w:tr>
    </w:tbl>
    <w:p w:rsidR="00C34658" w:rsidRPr="00E7467E" w:rsidRDefault="00C34658" w:rsidP="00C34658">
      <w:pPr>
        <w:pStyle w:val="Caption"/>
        <w:keepNext/>
        <w:spacing w:before="0"/>
        <w:rPr>
          <w:highlight w:val="yellow"/>
        </w:rPr>
      </w:pPr>
      <w:bookmarkStart w:id="611" w:name="_Toc395657948"/>
    </w:p>
    <w:p w:rsidR="00C34658" w:rsidRPr="00940323" w:rsidRDefault="00C34658" w:rsidP="00C34658">
      <w:pPr>
        <w:spacing w:before="0"/>
        <w:jc w:val="center"/>
        <w:rPr>
          <w:rFonts w:cs="Calibri"/>
          <w:b/>
          <w:sz w:val="22"/>
          <w:szCs w:val="22"/>
          <w:lang w:val="en-US"/>
        </w:rPr>
      </w:pPr>
      <w:bookmarkStart w:id="612" w:name="_Toc396573999"/>
      <w:bookmarkStart w:id="613" w:name="_Toc399624100"/>
      <w:bookmarkStart w:id="614" w:name="_Toc453367678"/>
      <w:bookmarkStart w:id="615" w:name="_Toc457604049"/>
      <w:r w:rsidRPr="00940323">
        <w:rPr>
          <w:rFonts w:cs="Calibri"/>
          <w:b/>
          <w:sz w:val="22"/>
          <w:szCs w:val="22"/>
          <w:lang w:val="en-US"/>
        </w:rPr>
        <w:t xml:space="preserve">Table </w:t>
      </w:r>
      <w:r w:rsidR="009741CA" w:rsidRPr="00940323">
        <w:rPr>
          <w:rFonts w:cs="Calibri"/>
          <w:b/>
          <w:sz w:val="22"/>
          <w:szCs w:val="22"/>
          <w:lang w:val="en-US"/>
        </w:rPr>
        <w:fldChar w:fldCharType="begin"/>
      </w:r>
      <w:r w:rsidRPr="00B86C22">
        <w:rPr>
          <w:rFonts w:cs="Calibri"/>
          <w:b/>
          <w:sz w:val="22"/>
          <w:szCs w:val="22"/>
          <w:lang w:val="en-US"/>
        </w:rPr>
        <w:instrText xml:space="preserve"> STYLEREF 1 \s </w:instrText>
      </w:r>
      <w:r w:rsidR="009741CA" w:rsidRPr="00940323">
        <w:rPr>
          <w:rFonts w:cs="Calibri"/>
          <w:b/>
          <w:sz w:val="22"/>
          <w:szCs w:val="22"/>
          <w:lang w:val="en-US"/>
        </w:rPr>
        <w:fldChar w:fldCharType="separate"/>
      </w:r>
      <w:r w:rsidR="00BA08F0">
        <w:rPr>
          <w:rFonts w:cs="Calibri"/>
          <w:b/>
          <w:noProof/>
          <w:sz w:val="22"/>
          <w:szCs w:val="22"/>
          <w:lang w:val="en-US"/>
        </w:rPr>
        <w:t>5</w:t>
      </w:r>
      <w:r w:rsidR="009741CA" w:rsidRPr="00940323">
        <w:rPr>
          <w:rFonts w:cs="Calibri"/>
          <w:b/>
          <w:sz w:val="22"/>
          <w:szCs w:val="22"/>
          <w:lang w:val="en-US"/>
        </w:rPr>
        <w:fldChar w:fldCharType="end"/>
      </w:r>
      <w:r w:rsidRPr="00940323">
        <w:rPr>
          <w:rFonts w:cs="Calibri"/>
          <w:b/>
          <w:sz w:val="22"/>
          <w:szCs w:val="22"/>
          <w:lang w:val="en-US"/>
        </w:rPr>
        <w:noBreakHyphen/>
      </w:r>
      <w:r w:rsidR="009741CA" w:rsidRPr="00940323">
        <w:rPr>
          <w:rFonts w:cs="Calibri"/>
          <w:b/>
          <w:sz w:val="22"/>
          <w:szCs w:val="22"/>
          <w:lang w:val="en-US"/>
        </w:rPr>
        <w:fldChar w:fldCharType="begin"/>
      </w:r>
      <w:r w:rsidRPr="00B86C22">
        <w:rPr>
          <w:rFonts w:cs="Calibri"/>
          <w:b/>
          <w:sz w:val="22"/>
          <w:szCs w:val="22"/>
          <w:lang w:val="en-US"/>
        </w:rPr>
        <w:instrText xml:space="preserve"> SEQ Table \* ARABIC \s 1 </w:instrText>
      </w:r>
      <w:r w:rsidR="009741CA" w:rsidRPr="00940323">
        <w:rPr>
          <w:rFonts w:cs="Calibri"/>
          <w:b/>
          <w:sz w:val="22"/>
          <w:szCs w:val="22"/>
          <w:lang w:val="en-US"/>
        </w:rPr>
        <w:fldChar w:fldCharType="separate"/>
      </w:r>
      <w:r w:rsidR="00BA08F0">
        <w:rPr>
          <w:rFonts w:cs="Calibri"/>
          <w:b/>
          <w:noProof/>
          <w:sz w:val="22"/>
          <w:szCs w:val="22"/>
          <w:lang w:val="en-US"/>
        </w:rPr>
        <w:t>33</w:t>
      </w:r>
      <w:r w:rsidR="009741CA" w:rsidRPr="00940323">
        <w:rPr>
          <w:rFonts w:cs="Calibri"/>
          <w:b/>
          <w:sz w:val="22"/>
          <w:szCs w:val="22"/>
          <w:lang w:val="en-US"/>
        </w:rPr>
        <w:fldChar w:fldCharType="end"/>
      </w:r>
      <w:r w:rsidRPr="00940323">
        <w:rPr>
          <w:rFonts w:cs="Calibri"/>
          <w:b/>
          <w:sz w:val="22"/>
          <w:szCs w:val="22"/>
          <w:lang w:val="en-US"/>
        </w:rPr>
        <w:t>: ASSUMPTIONS FOR POWER PURCHASE FROM NHPC STATIONS AS CONSIDERED BY THE COMMISSION</w:t>
      </w:r>
      <w:bookmarkEnd w:id="611"/>
      <w:bookmarkEnd w:id="612"/>
      <w:bookmarkEnd w:id="613"/>
      <w:bookmarkEnd w:id="614"/>
      <w:bookmarkEnd w:id="615"/>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55"/>
        <w:gridCol w:w="2600"/>
        <w:gridCol w:w="5430"/>
      </w:tblGrid>
      <w:tr w:rsidR="00C34658" w:rsidRPr="00855ADE" w:rsidTr="00D55642">
        <w:trPr>
          <w:tblHeader/>
          <w:jc w:val="center"/>
        </w:trPr>
        <w:tc>
          <w:tcPr>
            <w:tcW w:w="855"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S. No.</w:t>
            </w:r>
          </w:p>
        </w:tc>
        <w:tc>
          <w:tcPr>
            <w:tcW w:w="2600"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Particulars</w:t>
            </w:r>
          </w:p>
        </w:tc>
        <w:tc>
          <w:tcPr>
            <w:tcW w:w="5430"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Assumption</w:t>
            </w:r>
          </w:p>
        </w:tc>
      </w:tr>
      <w:tr w:rsidR="00C34658" w:rsidRPr="00855ADE" w:rsidTr="00D55642">
        <w:trPr>
          <w:jc w:val="center"/>
        </w:trPr>
        <w:tc>
          <w:tcPr>
            <w:tcW w:w="855" w:type="dxa"/>
          </w:tcPr>
          <w:p w:rsidR="00C34658" w:rsidRDefault="00C34658" w:rsidP="00D55642">
            <w:pPr>
              <w:spacing w:before="0" w:line="240" w:lineRule="auto"/>
              <w:jc w:val="left"/>
              <w:rPr>
                <w:sz w:val="22"/>
                <w:szCs w:val="22"/>
              </w:rPr>
            </w:pPr>
            <w:r w:rsidRPr="00DB21D8">
              <w:rPr>
                <w:sz w:val="22"/>
                <w:szCs w:val="22"/>
              </w:rPr>
              <w:t>1</w:t>
            </w:r>
          </w:p>
        </w:tc>
        <w:tc>
          <w:tcPr>
            <w:tcW w:w="2600" w:type="dxa"/>
          </w:tcPr>
          <w:p w:rsidR="00C34658" w:rsidRDefault="00C34658" w:rsidP="00D55642">
            <w:pPr>
              <w:spacing w:before="0" w:line="240" w:lineRule="auto"/>
              <w:jc w:val="left"/>
              <w:rPr>
                <w:sz w:val="22"/>
                <w:szCs w:val="22"/>
              </w:rPr>
            </w:pPr>
            <w:r w:rsidRPr="00DB21D8">
              <w:rPr>
                <w:rFonts w:cs="Calibri"/>
                <w:sz w:val="22"/>
                <w:szCs w:val="22"/>
                <w:lang w:eastAsia="en-IN"/>
              </w:rPr>
              <w:t>Power Purchase Quantum</w:t>
            </w:r>
          </w:p>
        </w:tc>
        <w:tc>
          <w:tcPr>
            <w:tcW w:w="5430" w:type="dxa"/>
          </w:tcPr>
          <w:p w:rsidR="00C34658" w:rsidRDefault="00C34658" w:rsidP="00D55642">
            <w:pPr>
              <w:spacing w:before="0" w:line="240" w:lineRule="auto"/>
              <w:rPr>
                <w:rFonts w:cs="Calibri"/>
                <w:sz w:val="22"/>
                <w:szCs w:val="22"/>
                <w:lang w:eastAsia="en-IN"/>
              </w:rPr>
            </w:pPr>
            <w:r w:rsidRPr="00DB21D8">
              <w:rPr>
                <w:rFonts w:cs="Calibri"/>
                <w:sz w:val="22"/>
                <w:szCs w:val="22"/>
                <w:lang w:eastAsia="en-IN"/>
              </w:rPr>
              <w:t>1. Net Power Purchase Quantum is derived as a product of respective power plants MW capacity, plant load factor (PLF) and UP State's share in respective power plant.</w:t>
            </w:r>
          </w:p>
          <w:p w:rsidR="00C34658" w:rsidRDefault="00C34658" w:rsidP="00D55642">
            <w:pPr>
              <w:spacing w:before="0" w:line="240" w:lineRule="auto"/>
              <w:rPr>
                <w:rFonts w:cs="Calibri"/>
                <w:sz w:val="22"/>
                <w:szCs w:val="22"/>
                <w:lang w:eastAsia="en-IN"/>
              </w:rPr>
            </w:pPr>
            <w:r w:rsidRPr="00DB21D8">
              <w:rPr>
                <w:rFonts w:cs="Calibri"/>
                <w:sz w:val="22"/>
                <w:szCs w:val="22"/>
                <w:lang w:eastAsia="en-IN"/>
              </w:rPr>
              <w:t>2. Power sourced from these NHPC plants has been considered as must-run in Merit Order Dispatch.</w:t>
            </w:r>
          </w:p>
        </w:tc>
      </w:tr>
      <w:tr w:rsidR="00C34658" w:rsidRPr="00855ADE" w:rsidTr="00D55642">
        <w:trPr>
          <w:jc w:val="center"/>
        </w:trPr>
        <w:tc>
          <w:tcPr>
            <w:tcW w:w="855" w:type="dxa"/>
          </w:tcPr>
          <w:p w:rsidR="00C34658" w:rsidRDefault="00C34658" w:rsidP="00D55642">
            <w:pPr>
              <w:spacing w:before="0" w:line="240" w:lineRule="auto"/>
              <w:jc w:val="left"/>
              <w:rPr>
                <w:sz w:val="22"/>
                <w:szCs w:val="22"/>
              </w:rPr>
            </w:pPr>
            <w:r w:rsidRPr="00DB21D8">
              <w:rPr>
                <w:sz w:val="22"/>
                <w:szCs w:val="22"/>
              </w:rPr>
              <w:t>2</w:t>
            </w:r>
          </w:p>
        </w:tc>
        <w:tc>
          <w:tcPr>
            <w:tcW w:w="2600" w:type="dxa"/>
          </w:tcPr>
          <w:p w:rsidR="00C34658" w:rsidRDefault="00C34658" w:rsidP="00D55642">
            <w:pPr>
              <w:spacing w:before="0" w:line="240" w:lineRule="auto"/>
              <w:jc w:val="left"/>
              <w:rPr>
                <w:rFonts w:cs="Calibri"/>
                <w:sz w:val="22"/>
                <w:szCs w:val="22"/>
                <w:lang w:eastAsia="en-IN"/>
              </w:rPr>
            </w:pPr>
            <w:r w:rsidRPr="00DB21D8">
              <w:rPr>
                <w:rFonts w:cs="Calibri"/>
                <w:sz w:val="22"/>
                <w:szCs w:val="22"/>
                <w:lang w:eastAsia="en-IN"/>
              </w:rPr>
              <w:t>Fixed Charges</w:t>
            </w:r>
          </w:p>
        </w:tc>
        <w:tc>
          <w:tcPr>
            <w:tcW w:w="5430" w:type="dxa"/>
          </w:tcPr>
          <w:p w:rsidR="00C34658" w:rsidRDefault="00C34658" w:rsidP="00D55642">
            <w:pPr>
              <w:spacing w:before="0" w:line="240" w:lineRule="auto"/>
              <w:rPr>
                <w:rFonts w:cs="Calibri"/>
                <w:sz w:val="22"/>
                <w:szCs w:val="22"/>
                <w:lang w:eastAsia="en-IN"/>
              </w:rPr>
            </w:pPr>
            <w:r w:rsidRPr="00DB21D8">
              <w:rPr>
                <w:rFonts w:cs="Calibri"/>
                <w:sz w:val="22"/>
                <w:szCs w:val="22"/>
                <w:lang w:eastAsia="en-IN"/>
              </w:rPr>
              <w:t xml:space="preserve">For the stations for which CERC Orders have been issued, Fixed (Capacity Charges) have been considered </w:t>
            </w:r>
            <w:r>
              <w:rPr>
                <w:rFonts w:cs="Calibri"/>
                <w:sz w:val="22"/>
                <w:szCs w:val="22"/>
                <w:lang w:eastAsia="en-IN"/>
              </w:rPr>
              <w:t xml:space="preserve">based on AFC </w:t>
            </w:r>
            <w:r w:rsidRPr="00DB21D8">
              <w:rPr>
                <w:rFonts w:cs="Calibri"/>
                <w:sz w:val="22"/>
                <w:szCs w:val="22"/>
                <w:lang w:eastAsia="en-IN"/>
              </w:rPr>
              <w:t>as per CERC Order. For remaining stations, Fixed charges are considered as submitted by Licensee which has been computed after considering UP state's allocated share in respective power plant as per Regional Energy Accounting Report and Annual Report of NRRC and fixed cost approved as per CERC Order for respective power plants.</w:t>
            </w:r>
          </w:p>
        </w:tc>
      </w:tr>
      <w:tr w:rsidR="00C34658" w:rsidRPr="00855ADE" w:rsidTr="00D55642">
        <w:trPr>
          <w:jc w:val="center"/>
        </w:trPr>
        <w:tc>
          <w:tcPr>
            <w:tcW w:w="855" w:type="dxa"/>
          </w:tcPr>
          <w:p w:rsidR="00C34658" w:rsidRDefault="00C34658" w:rsidP="00D55642">
            <w:pPr>
              <w:spacing w:before="0" w:line="240" w:lineRule="auto"/>
              <w:jc w:val="left"/>
              <w:rPr>
                <w:sz w:val="22"/>
                <w:szCs w:val="22"/>
              </w:rPr>
            </w:pPr>
            <w:r w:rsidRPr="00DB21D8">
              <w:rPr>
                <w:sz w:val="22"/>
                <w:szCs w:val="22"/>
              </w:rPr>
              <w:t>3</w:t>
            </w:r>
          </w:p>
        </w:tc>
        <w:tc>
          <w:tcPr>
            <w:tcW w:w="2600" w:type="dxa"/>
          </w:tcPr>
          <w:p w:rsidR="00C34658" w:rsidRDefault="00C34658" w:rsidP="00D55642">
            <w:pPr>
              <w:spacing w:before="0" w:line="240" w:lineRule="auto"/>
              <w:jc w:val="left"/>
              <w:rPr>
                <w:rFonts w:cs="Calibri"/>
                <w:sz w:val="22"/>
                <w:szCs w:val="22"/>
                <w:lang w:eastAsia="en-IN"/>
              </w:rPr>
            </w:pPr>
            <w:r w:rsidRPr="00DB21D8">
              <w:rPr>
                <w:rFonts w:cs="Calibri"/>
                <w:sz w:val="22"/>
                <w:szCs w:val="22"/>
                <w:lang w:eastAsia="en-IN"/>
              </w:rPr>
              <w:t>Variable Charges</w:t>
            </w:r>
          </w:p>
        </w:tc>
        <w:tc>
          <w:tcPr>
            <w:tcW w:w="5430" w:type="dxa"/>
          </w:tcPr>
          <w:p w:rsidR="00C34658" w:rsidRDefault="00C34658" w:rsidP="00D55642">
            <w:pPr>
              <w:spacing w:before="0" w:line="240" w:lineRule="auto"/>
              <w:rPr>
                <w:rFonts w:cs="Calibri"/>
                <w:sz w:val="22"/>
                <w:szCs w:val="22"/>
                <w:lang w:eastAsia="en-IN"/>
              </w:rPr>
            </w:pPr>
            <w:r w:rsidRPr="00DB21D8">
              <w:rPr>
                <w:rFonts w:cs="Calibri"/>
                <w:sz w:val="22"/>
                <w:szCs w:val="22"/>
                <w:lang w:eastAsia="en-IN"/>
              </w:rPr>
              <w:t xml:space="preserve">For the stations for which CERC Orders have been issued, Variable Charges have been considered </w:t>
            </w:r>
            <w:r>
              <w:rPr>
                <w:rFonts w:cs="Calibri"/>
                <w:sz w:val="22"/>
                <w:szCs w:val="22"/>
                <w:lang w:eastAsia="en-IN"/>
              </w:rPr>
              <w:t xml:space="preserve">based on AFC </w:t>
            </w:r>
            <w:r w:rsidRPr="00DB21D8">
              <w:rPr>
                <w:rFonts w:cs="Calibri"/>
                <w:sz w:val="22"/>
                <w:szCs w:val="22"/>
                <w:lang w:eastAsia="en-IN"/>
              </w:rPr>
              <w:t xml:space="preserve">as per CERC Order. For remaining stations, Variable cost has </w:t>
            </w:r>
            <w:r w:rsidRPr="00DB21D8">
              <w:rPr>
                <w:rFonts w:cs="Calibri"/>
                <w:sz w:val="22"/>
                <w:szCs w:val="22"/>
                <w:lang w:eastAsia="en-IN"/>
              </w:rPr>
              <w:lastRenderedPageBreak/>
              <w:t>been considered as submitted by the Licensee which is as per the actual bills raised for the period April to September, 2015.</w:t>
            </w:r>
          </w:p>
        </w:tc>
      </w:tr>
    </w:tbl>
    <w:p w:rsidR="00C34658" w:rsidRDefault="00C34658" w:rsidP="00C34658">
      <w:pPr>
        <w:pStyle w:val="Heading4"/>
        <w:numPr>
          <w:ilvl w:val="0"/>
          <w:numId w:val="0"/>
        </w:numPr>
        <w:spacing w:before="0" w:line="240" w:lineRule="auto"/>
        <w:ind w:left="864"/>
      </w:pPr>
    </w:p>
    <w:p w:rsidR="00C34658" w:rsidRDefault="00C34658" w:rsidP="00C34658">
      <w:pPr>
        <w:spacing w:before="0" w:line="240" w:lineRule="auto"/>
        <w:jc w:val="left"/>
        <w:rPr>
          <w:rFonts w:cs="Calibri"/>
          <w:b/>
          <w:sz w:val="22"/>
          <w:szCs w:val="22"/>
          <w:lang w:val="en-US"/>
        </w:rPr>
      </w:pPr>
      <w:bookmarkStart w:id="616" w:name="_Toc395657949"/>
    </w:p>
    <w:p w:rsidR="00D078C9" w:rsidRDefault="00D078C9" w:rsidP="00C34658">
      <w:pPr>
        <w:spacing w:before="0" w:line="240" w:lineRule="auto"/>
        <w:jc w:val="left"/>
        <w:rPr>
          <w:rFonts w:cs="Calibri"/>
          <w:b/>
          <w:sz w:val="22"/>
          <w:szCs w:val="22"/>
          <w:lang w:val="en-US"/>
        </w:rPr>
      </w:pPr>
    </w:p>
    <w:p w:rsidR="00D078C9" w:rsidRPr="00940323" w:rsidRDefault="00D078C9" w:rsidP="00C34658">
      <w:pPr>
        <w:spacing w:before="0" w:line="240" w:lineRule="auto"/>
        <w:jc w:val="left"/>
        <w:rPr>
          <w:rFonts w:cs="Calibri"/>
          <w:b/>
          <w:sz w:val="22"/>
          <w:szCs w:val="22"/>
          <w:lang w:val="en-US"/>
        </w:rPr>
      </w:pPr>
    </w:p>
    <w:p w:rsidR="00C34658" w:rsidRPr="00940323" w:rsidRDefault="00C34658" w:rsidP="00C34658">
      <w:pPr>
        <w:spacing w:before="0"/>
        <w:jc w:val="center"/>
        <w:rPr>
          <w:rFonts w:cs="Calibri"/>
          <w:b/>
          <w:sz w:val="22"/>
          <w:szCs w:val="22"/>
          <w:lang w:val="en-US"/>
        </w:rPr>
      </w:pPr>
      <w:bookmarkStart w:id="617" w:name="_Toc396574000"/>
      <w:bookmarkStart w:id="618" w:name="_Toc399624101"/>
      <w:bookmarkStart w:id="619" w:name="_Toc453367679"/>
      <w:bookmarkStart w:id="620" w:name="_Toc457604050"/>
      <w:r w:rsidRPr="00B65F83">
        <w:rPr>
          <w:rFonts w:cs="Calibri"/>
          <w:b/>
          <w:sz w:val="22"/>
          <w:szCs w:val="22"/>
          <w:lang w:val="en-US"/>
        </w:rPr>
        <w:t xml:space="preserve">Table </w:t>
      </w:r>
      <w:r w:rsidR="009741CA" w:rsidRPr="00940323">
        <w:rPr>
          <w:rFonts w:cs="Calibri"/>
          <w:b/>
          <w:sz w:val="22"/>
          <w:szCs w:val="22"/>
          <w:lang w:val="en-US"/>
        </w:rPr>
        <w:fldChar w:fldCharType="begin"/>
      </w:r>
      <w:r w:rsidRPr="00B86C22">
        <w:rPr>
          <w:rFonts w:cs="Calibri"/>
          <w:b/>
          <w:sz w:val="22"/>
          <w:szCs w:val="22"/>
          <w:lang w:val="en-US"/>
        </w:rPr>
        <w:instrText xml:space="preserve"> STYLEREF 1 \s </w:instrText>
      </w:r>
      <w:r w:rsidR="009741CA" w:rsidRPr="00940323">
        <w:rPr>
          <w:rFonts w:cs="Calibri"/>
          <w:b/>
          <w:sz w:val="22"/>
          <w:szCs w:val="22"/>
          <w:lang w:val="en-US"/>
        </w:rPr>
        <w:fldChar w:fldCharType="separate"/>
      </w:r>
      <w:r w:rsidR="00BA08F0">
        <w:rPr>
          <w:rFonts w:cs="Calibri"/>
          <w:b/>
          <w:noProof/>
          <w:sz w:val="22"/>
          <w:szCs w:val="22"/>
          <w:lang w:val="en-US"/>
        </w:rPr>
        <w:t>5</w:t>
      </w:r>
      <w:r w:rsidR="009741CA" w:rsidRPr="00940323">
        <w:rPr>
          <w:rFonts w:cs="Calibri"/>
          <w:b/>
          <w:sz w:val="22"/>
          <w:szCs w:val="22"/>
          <w:lang w:val="en-US"/>
        </w:rPr>
        <w:fldChar w:fldCharType="end"/>
      </w:r>
      <w:r w:rsidRPr="00940323">
        <w:rPr>
          <w:rFonts w:cs="Calibri"/>
          <w:b/>
          <w:sz w:val="22"/>
          <w:szCs w:val="22"/>
          <w:lang w:val="en-US"/>
        </w:rPr>
        <w:noBreakHyphen/>
      </w:r>
      <w:r w:rsidR="009741CA" w:rsidRPr="00940323">
        <w:rPr>
          <w:rFonts w:cs="Calibri"/>
          <w:b/>
          <w:sz w:val="22"/>
          <w:szCs w:val="22"/>
          <w:lang w:val="en-US"/>
        </w:rPr>
        <w:fldChar w:fldCharType="begin"/>
      </w:r>
      <w:r w:rsidRPr="00B86C22">
        <w:rPr>
          <w:rFonts w:cs="Calibri"/>
          <w:b/>
          <w:sz w:val="22"/>
          <w:szCs w:val="22"/>
          <w:lang w:val="en-US"/>
        </w:rPr>
        <w:instrText xml:space="preserve"> SEQ Table \* ARABIC \s 1 </w:instrText>
      </w:r>
      <w:r w:rsidR="009741CA" w:rsidRPr="00940323">
        <w:rPr>
          <w:rFonts w:cs="Calibri"/>
          <w:b/>
          <w:sz w:val="22"/>
          <w:szCs w:val="22"/>
          <w:lang w:val="en-US"/>
        </w:rPr>
        <w:fldChar w:fldCharType="separate"/>
      </w:r>
      <w:r w:rsidR="00BA08F0">
        <w:rPr>
          <w:rFonts w:cs="Calibri"/>
          <w:b/>
          <w:noProof/>
          <w:sz w:val="22"/>
          <w:szCs w:val="22"/>
          <w:lang w:val="en-US"/>
        </w:rPr>
        <w:t>34</w:t>
      </w:r>
      <w:r w:rsidR="009741CA" w:rsidRPr="00940323">
        <w:rPr>
          <w:rFonts w:cs="Calibri"/>
          <w:b/>
          <w:sz w:val="22"/>
          <w:szCs w:val="22"/>
          <w:lang w:val="en-US"/>
        </w:rPr>
        <w:fldChar w:fldCharType="end"/>
      </w:r>
      <w:r w:rsidRPr="00940323">
        <w:rPr>
          <w:rFonts w:cs="Calibri"/>
          <w:b/>
          <w:sz w:val="22"/>
          <w:szCs w:val="22"/>
          <w:lang w:val="en-US"/>
        </w:rPr>
        <w:t>: ASSUMPTIONS FOR POWER PURCHASE FROM NPCIL STATIONS AS CONSIDERED BY THE COMMISSION</w:t>
      </w:r>
      <w:bookmarkEnd w:id="616"/>
      <w:bookmarkEnd w:id="617"/>
      <w:bookmarkEnd w:id="618"/>
      <w:bookmarkEnd w:id="619"/>
      <w:bookmarkEnd w:id="620"/>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77"/>
        <w:gridCol w:w="2460"/>
        <w:gridCol w:w="5548"/>
      </w:tblGrid>
      <w:tr w:rsidR="00C34658" w:rsidRPr="00855ADE" w:rsidTr="00D55642">
        <w:trPr>
          <w:tblHeader/>
          <w:jc w:val="center"/>
        </w:trPr>
        <w:tc>
          <w:tcPr>
            <w:tcW w:w="918"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S. No.</w:t>
            </w:r>
          </w:p>
        </w:tc>
        <w:tc>
          <w:tcPr>
            <w:tcW w:w="2610"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Particulars</w:t>
            </w:r>
          </w:p>
        </w:tc>
        <w:tc>
          <w:tcPr>
            <w:tcW w:w="6048"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Assumption</w:t>
            </w:r>
          </w:p>
        </w:tc>
      </w:tr>
      <w:tr w:rsidR="00C34658" w:rsidRPr="00855ADE" w:rsidTr="00D55642">
        <w:trPr>
          <w:jc w:val="center"/>
        </w:trPr>
        <w:tc>
          <w:tcPr>
            <w:tcW w:w="918" w:type="dxa"/>
          </w:tcPr>
          <w:p w:rsidR="00C34658" w:rsidRDefault="00C34658" w:rsidP="00D55642">
            <w:pPr>
              <w:spacing w:before="0" w:line="240" w:lineRule="auto"/>
              <w:rPr>
                <w:sz w:val="22"/>
                <w:szCs w:val="22"/>
              </w:rPr>
            </w:pPr>
            <w:r w:rsidRPr="00DB21D8">
              <w:rPr>
                <w:sz w:val="22"/>
                <w:szCs w:val="22"/>
              </w:rPr>
              <w:t>1</w:t>
            </w:r>
          </w:p>
        </w:tc>
        <w:tc>
          <w:tcPr>
            <w:tcW w:w="2610" w:type="dxa"/>
          </w:tcPr>
          <w:p w:rsidR="00C34658" w:rsidRDefault="00C34658" w:rsidP="00D55642">
            <w:pPr>
              <w:spacing w:before="0" w:line="240" w:lineRule="auto"/>
              <w:rPr>
                <w:sz w:val="22"/>
                <w:szCs w:val="22"/>
              </w:rPr>
            </w:pPr>
            <w:r w:rsidRPr="00DB21D8">
              <w:rPr>
                <w:rFonts w:cs="Calibri"/>
                <w:sz w:val="22"/>
                <w:szCs w:val="22"/>
                <w:lang w:eastAsia="en-IN"/>
              </w:rPr>
              <w:t>Power Purchase Quantum</w:t>
            </w:r>
          </w:p>
        </w:tc>
        <w:tc>
          <w:tcPr>
            <w:tcW w:w="6048" w:type="dxa"/>
          </w:tcPr>
          <w:p w:rsidR="00C34658" w:rsidRDefault="00C34658" w:rsidP="00D55642">
            <w:pPr>
              <w:spacing w:before="0" w:line="240" w:lineRule="auto"/>
              <w:rPr>
                <w:rFonts w:cs="Calibri"/>
                <w:sz w:val="22"/>
                <w:szCs w:val="22"/>
                <w:lang w:eastAsia="en-IN"/>
              </w:rPr>
            </w:pPr>
            <w:r w:rsidRPr="00DB21D8">
              <w:rPr>
                <w:rFonts w:cs="Calibri"/>
                <w:sz w:val="22"/>
                <w:szCs w:val="22"/>
                <w:lang w:eastAsia="en-IN"/>
              </w:rPr>
              <w:t>1. Net Power Purchase Quantum is derived as a product of respective power plants MW capacity, capacity factor and UP state's share in respective power plant.</w:t>
            </w:r>
          </w:p>
          <w:p w:rsidR="00C34658" w:rsidRDefault="00C34658" w:rsidP="00D55642">
            <w:pPr>
              <w:spacing w:before="0" w:line="240" w:lineRule="auto"/>
              <w:rPr>
                <w:rFonts w:cs="Calibri"/>
                <w:sz w:val="22"/>
                <w:szCs w:val="22"/>
                <w:lang w:eastAsia="en-IN"/>
              </w:rPr>
            </w:pPr>
            <w:r w:rsidRPr="00DB21D8">
              <w:rPr>
                <w:rFonts w:cs="Calibri"/>
                <w:sz w:val="22"/>
                <w:szCs w:val="22"/>
                <w:lang w:eastAsia="en-IN"/>
              </w:rPr>
              <w:t>2. Power sourced from these NPCIL plants is considered Must-run in Merit Order Dispatch.</w:t>
            </w:r>
          </w:p>
          <w:p w:rsidR="00C34658" w:rsidRDefault="00C34658" w:rsidP="00D55642">
            <w:pPr>
              <w:spacing w:before="0" w:line="240" w:lineRule="auto"/>
              <w:rPr>
                <w:rFonts w:cs="Calibri"/>
                <w:sz w:val="22"/>
                <w:szCs w:val="22"/>
                <w:lang w:eastAsia="en-IN"/>
              </w:rPr>
            </w:pPr>
            <w:r w:rsidRPr="00DB21D8">
              <w:rPr>
                <w:rFonts w:cs="Calibri"/>
                <w:sz w:val="22"/>
                <w:szCs w:val="22"/>
                <w:lang w:eastAsia="en-IN"/>
              </w:rPr>
              <w:t>3. Capacity factor is considered to be the average of the capacity factor recorded at respective power stations for the last three year's (2012-13, 2013-14 and 2014-15).Capacity factors are sourced from official website of NPCIL.</w:t>
            </w:r>
          </w:p>
          <w:p w:rsidR="00C34658" w:rsidRDefault="00C34658" w:rsidP="00D55642">
            <w:pPr>
              <w:spacing w:before="0" w:line="240" w:lineRule="auto"/>
              <w:rPr>
                <w:rFonts w:cs="Calibri"/>
                <w:sz w:val="22"/>
                <w:szCs w:val="22"/>
                <w:lang w:eastAsia="en-IN"/>
              </w:rPr>
            </w:pPr>
            <w:r w:rsidRPr="00DB21D8">
              <w:rPr>
                <w:rFonts w:cs="Calibri"/>
                <w:sz w:val="22"/>
                <w:szCs w:val="22"/>
                <w:lang w:eastAsia="en-IN"/>
              </w:rPr>
              <w:t>4. Allocation of Power from various central generating stations for FY 2015-16 and 2016-17 both firm and unallocated quota has been considered as per the NRPC circular (NRPC/ OPR/ 103/ 02/ 2015-16/9771-9794) dated 26.10.2015.</w:t>
            </w:r>
          </w:p>
        </w:tc>
      </w:tr>
      <w:tr w:rsidR="00C34658" w:rsidRPr="00855ADE" w:rsidTr="00D55642">
        <w:trPr>
          <w:trHeight w:val="77"/>
          <w:jc w:val="center"/>
        </w:trPr>
        <w:tc>
          <w:tcPr>
            <w:tcW w:w="918" w:type="dxa"/>
          </w:tcPr>
          <w:p w:rsidR="00C34658" w:rsidRDefault="00C34658" w:rsidP="00D55642">
            <w:pPr>
              <w:spacing w:before="0" w:line="240" w:lineRule="auto"/>
              <w:rPr>
                <w:sz w:val="22"/>
                <w:szCs w:val="22"/>
              </w:rPr>
            </w:pPr>
            <w:r w:rsidRPr="00DB21D8">
              <w:rPr>
                <w:sz w:val="22"/>
                <w:szCs w:val="22"/>
              </w:rPr>
              <w:t>2</w:t>
            </w:r>
          </w:p>
        </w:tc>
        <w:tc>
          <w:tcPr>
            <w:tcW w:w="2610" w:type="dxa"/>
          </w:tcPr>
          <w:p w:rsidR="00C34658" w:rsidRDefault="00C34658" w:rsidP="00D55642">
            <w:pPr>
              <w:spacing w:before="0" w:line="240" w:lineRule="auto"/>
              <w:rPr>
                <w:rFonts w:cs="Calibri"/>
                <w:sz w:val="22"/>
                <w:szCs w:val="22"/>
                <w:lang w:eastAsia="en-IN"/>
              </w:rPr>
            </w:pPr>
            <w:r w:rsidRPr="00DB21D8">
              <w:rPr>
                <w:rFonts w:cs="Calibri"/>
                <w:sz w:val="22"/>
                <w:szCs w:val="22"/>
                <w:lang w:eastAsia="en-IN"/>
              </w:rPr>
              <w:t xml:space="preserve">Tariff </w:t>
            </w:r>
            <w:r w:rsidRPr="00DB21D8">
              <w:rPr>
                <w:rFonts w:cs="Calibri"/>
                <w:sz w:val="22"/>
                <w:szCs w:val="22"/>
                <w:lang w:eastAsia="en-IN"/>
              </w:rPr>
              <w:br/>
              <w:t>(Single part)</w:t>
            </w:r>
          </w:p>
        </w:tc>
        <w:tc>
          <w:tcPr>
            <w:tcW w:w="6048" w:type="dxa"/>
          </w:tcPr>
          <w:p w:rsidR="00C34658" w:rsidRDefault="00C34658" w:rsidP="00D55642">
            <w:pPr>
              <w:spacing w:before="0" w:line="240" w:lineRule="auto"/>
              <w:rPr>
                <w:rFonts w:cs="Calibri"/>
                <w:sz w:val="22"/>
                <w:szCs w:val="22"/>
                <w:lang w:eastAsia="en-IN"/>
              </w:rPr>
            </w:pPr>
            <w:r w:rsidRPr="00DB21D8">
              <w:rPr>
                <w:rFonts w:cs="Calibri"/>
                <w:sz w:val="22"/>
                <w:szCs w:val="22"/>
                <w:lang w:eastAsia="en-IN"/>
              </w:rPr>
              <w:t>Variable cost has been considered as submitted by the Licensee which is as per the actual bills raised for the period April to September, 2015.</w:t>
            </w:r>
          </w:p>
        </w:tc>
      </w:tr>
    </w:tbl>
    <w:p w:rsidR="00C34658" w:rsidRPr="00C60AD1" w:rsidRDefault="00C34658" w:rsidP="00C34658">
      <w:pPr>
        <w:pStyle w:val="Heading4"/>
        <w:numPr>
          <w:ilvl w:val="0"/>
          <w:numId w:val="0"/>
        </w:numPr>
        <w:spacing w:before="0"/>
        <w:ind w:left="864"/>
      </w:pPr>
    </w:p>
    <w:p w:rsidR="00D5771F" w:rsidRDefault="00C34658">
      <w:pPr>
        <w:pStyle w:val="Heading3"/>
        <w:tabs>
          <w:tab w:val="left" w:pos="993"/>
        </w:tabs>
        <w:spacing w:after="240"/>
        <w:ind w:left="993" w:hanging="993"/>
      </w:pPr>
      <w:r w:rsidRPr="00C60AD1">
        <w:t xml:space="preserve">Based on above approach, the summary of approved cost of power purchase from NTPC, NHPC and NPCIL generating stations is given in </w:t>
      </w:r>
      <w:r w:rsidR="0000599F">
        <w:t>Table 5-33</w:t>
      </w:r>
      <w:r w:rsidRPr="00C60AD1">
        <w:t>,</w:t>
      </w:r>
      <w:r w:rsidR="0000599F">
        <w:t>Table 5-34</w:t>
      </w:r>
      <w:r w:rsidRPr="00C60AD1">
        <w:t xml:space="preserve">, and </w:t>
      </w:r>
      <w:r w:rsidR="0000599F">
        <w:t>Table 5-35</w:t>
      </w:r>
      <w:r w:rsidRPr="00C60AD1">
        <w:t>, below:</w:t>
      </w:r>
    </w:p>
    <w:p w:rsidR="00C34658" w:rsidRPr="00C60AD1" w:rsidRDefault="00C34658" w:rsidP="00C34658">
      <w:pPr>
        <w:spacing w:before="0"/>
        <w:jc w:val="center"/>
        <w:rPr>
          <w:rFonts w:cs="Calibri"/>
          <w:b/>
          <w:sz w:val="22"/>
          <w:szCs w:val="22"/>
          <w:lang w:val="en-US"/>
        </w:rPr>
      </w:pPr>
      <w:bookmarkStart w:id="621" w:name="_Ref325470391"/>
      <w:bookmarkStart w:id="622" w:name="_Toc325475669"/>
      <w:bookmarkStart w:id="623" w:name="_Toc338310684"/>
      <w:bookmarkStart w:id="624" w:name="_Toc338419514"/>
      <w:bookmarkStart w:id="625" w:name="_Toc357721105"/>
      <w:bookmarkStart w:id="626" w:name="_Toc395657950"/>
      <w:bookmarkStart w:id="627" w:name="_Toc396574001"/>
      <w:bookmarkStart w:id="628" w:name="_Toc399624102"/>
      <w:bookmarkStart w:id="629" w:name="_Toc453367680"/>
      <w:bookmarkStart w:id="630" w:name="_Toc457604051"/>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35</w:t>
      </w:r>
      <w:r w:rsidR="009741CA" w:rsidRPr="00C60AD1">
        <w:rPr>
          <w:rFonts w:cs="Calibri"/>
          <w:b/>
          <w:sz w:val="22"/>
          <w:szCs w:val="22"/>
          <w:lang w:val="en-US"/>
        </w:rPr>
        <w:fldChar w:fldCharType="end"/>
      </w:r>
      <w:r w:rsidRPr="00C60AD1">
        <w:rPr>
          <w:rFonts w:cs="Calibri"/>
          <w:b/>
          <w:sz w:val="22"/>
          <w:szCs w:val="22"/>
          <w:lang w:val="en-US"/>
        </w:rPr>
        <w:t>:</w:t>
      </w:r>
      <w:bookmarkEnd w:id="621"/>
      <w:r w:rsidRPr="00C60AD1">
        <w:rPr>
          <w:rFonts w:cs="Calibri"/>
          <w:b/>
          <w:sz w:val="22"/>
          <w:szCs w:val="22"/>
          <w:lang w:val="en-US"/>
        </w:rPr>
        <w:t xml:space="preserve"> APPROVED COST OF POWER PURCHASE FROM NTPC STATIONS FOR FY </w:t>
      </w:r>
      <w:bookmarkEnd w:id="622"/>
      <w:bookmarkEnd w:id="623"/>
      <w:bookmarkEnd w:id="624"/>
      <w:bookmarkEnd w:id="625"/>
      <w:bookmarkEnd w:id="626"/>
      <w:bookmarkEnd w:id="627"/>
      <w:bookmarkEnd w:id="628"/>
      <w:r>
        <w:rPr>
          <w:rFonts w:cs="Calibri"/>
          <w:b/>
          <w:sz w:val="22"/>
          <w:szCs w:val="22"/>
          <w:lang w:val="en-US"/>
        </w:rPr>
        <w:t>2016-17</w:t>
      </w:r>
      <w:bookmarkEnd w:id="629"/>
      <w:bookmarkEnd w:id="630"/>
    </w:p>
    <w:tbl>
      <w:tblPr>
        <w:tblW w:w="9806"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55"/>
        <w:gridCol w:w="1075"/>
        <w:gridCol w:w="1170"/>
        <w:gridCol w:w="708"/>
        <w:gridCol w:w="1001"/>
        <w:gridCol w:w="708"/>
        <w:gridCol w:w="1001"/>
        <w:gridCol w:w="708"/>
        <w:gridCol w:w="1113"/>
        <w:gridCol w:w="967"/>
      </w:tblGrid>
      <w:tr w:rsidR="00C34658" w:rsidRPr="00C60AD1" w:rsidTr="008334E8">
        <w:trPr>
          <w:trHeight w:val="600"/>
          <w:tblHeader/>
        </w:trPr>
        <w:tc>
          <w:tcPr>
            <w:tcW w:w="1355" w:type="dxa"/>
            <w:vMerge w:val="restart"/>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Source of Power</w:t>
            </w:r>
          </w:p>
        </w:tc>
        <w:tc>
          <w:tcPr>
            <w:tcW w:w="1075" w:type="dxa"/>
            <w:vMerge w:val="restart"/>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MW Available</w:t>
            </w:r>
          </w:p>
        </w:tc>
        <w:tc>
          <w:tcPr>
            <w:tcW w:w="1170" w:type="dxa"/>
            <w:vMerge w:val="restart"/>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MU</w:t>
            </w:r>
          </w:p>
        </w:tc>
        <w:tc>
          <w:tcPr>
            <w:tcW w:w="1709" w:type="dxa"/>
            <w:gridSpan w:val="2"/>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Fixed Cost</w:t>
            </w:r>
          </w:p>
        </w:tc>
        <w:tc>
          <w:tcPr>
            <w:tcW w:w="1709" w:type="dxa"/>
            <w:gridSpan w:val="2"/>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Variable Cost</w:t>
            </w:r>
          </w:p>
        </w:tc>
        <w:tc>
          <w:tcPr>
            <w:tcW w:w="1821" w:type="dxa"/>
            <w:gridSpan w:val="2"/>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Total Cost</w:t>
            </w:r>
          </w:p>
        </w:tc>
        <w:tc>
          <w:tcPr>
            <w:tcW w:w="967" w:type="dxa"/>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Average Cost</w:t>
            </w:r>
          </w:p>
        </w:tc>
      </w:tr>
      <w:tr w:rsidR="00C34658" w:rsidRPr="00C60AD1" w:rsidTr="00A51B23">
        <w:trPr>
          <w:trHeight w:val="377"/>
          <w:tblHeader/>
        </w:trPr>
        <w:tc>
          <w:tcPr>
            <w:tcW w:w="1355" w:type="dxa"/>
            <w:vMerge/>
            <w:hideMark/>
          </w:tcPr>
          <w:p w:rsidR="00337C98" w:rsidRDefault="00337C98" w:rsidP="00337C98">
            <w:pPr>
              <w:spacing w:before="0" w:line="240" w:lineRule="auto"/>
              <w:jc w:val="center"/>
              <w:rPr>
                <w:b/>
                <w:bCs/>
                <w:sz w:val="22"/>
                <w:szCs w:val="22"/>
                <w:lang w:val="en-US"/>
              </w:rPr>
            </w:pPr>
          </w:p>
        </w:tc>
        <w:tc>
          <w:tcPr>
            <w:tcW w:w="1075" w:type="dxa"/>
            <w:vMerge/>
            <w:hideMark/>
          </w:tcPr>
          <w:p w:rsidR="00337C98" w:rsidRDefault="00337C98" w:rsidP="00337C98">
            <w:pPr>
              <w:spacing w:before="0" w:line="240" w:lineRule="auto"/>
              <w:jc w:val="center"/>
              <w:rPr>
                <w:b/>
                <w:bCs/>
                <w:sz w:val="22"/>
                <w:szCs w:val="22"/>
                <w:lang w:val="en-US"/>
              </w:rPr>
            </w:pPr>
          </w:p>
        </w:tc>
        <w:tc>
          <w:tcPr>
            <w:tcW w:w="1170" w:type="dxa"/>
            <w:vMerge/>
            <w:hideMark/>
          </w:tcPr>
          <w:p w:rsidR="00337C98" w:rsidRDefault="00337C98" w:rsidP="00337C98">
            <w:pPr>
              <w:spacing w:before="0" w:line="240" w:lineRule="auto"/>
              <w:jc w:val="center"/>
              <w:rPr>
                <w:b/>
                <w:bCs/>
                <w:sz w:val="22"/>
                <w:szCs w:val="22"/>
                <w:lang w:val="en-US"/>
              </w:rPr>
            </w:pPr>
          </w:p>
        </w:tc>
        <w:tc>
          <w:tcPr>
            <w:tcW w:w="708" w:type="dxa"/>
            <w:shd w:val="clear" w:color="000000" w:fill="DBE5F1"/>
            <w:hideMark/>
          </w:tcPr>
          <w:p w:rsidR="00337C98" w:rsidRDefault="00C34658" w:rsidP="00337C98">
            <w:pPr>
              <w:spacing w:before="0" w:line="240" w:lineRule="auto"/>
              <w:jc w:val="center"/>
              <w:rPr>
                <w:b/>
                <w:bCs/>
                <w:sz w:val="22"/>
                <w:szCs w:val="22"/>
                <w:lang w:val="en-US"/>
              </w:rPr>
            </w:pPr>
            <w:r w:rsidRPr="00C60AD1">
              <w:rPr>
                <w:b/>
                <w:bCs/>
                <w:sz w:val="22"/>
                <w:szCs w:val="22"/>
                <w:lang w:val="en-US"/>
              </w:rPr>
              <w:t>(Rs. / kWh)</w:t>
            </w:r>
          </w:p>
        </w:tc>
        <w:tc>
          <w:tcPr>
            <w:tcW w:w="1001" w:type="dxa"/>
            <w:shd w:val="clear" w:color="000000" w:fill="DBE5F1"/>
            <w:hideMark/>
          </w:tcPr>
          <w:p w:rsidR="00337C98" w:rsidRDefault="00C34658" w:rsidP="00337C98">
            <w:pPr>
              <w:spacing w:before="0" w:line="240" w:lineRule="auto"/>
              <w:jc w:val="center"/>
              <w:rPr>
                <w:b/>
                <w:bCs/>
                <w:sz w:val="22"/>
                <w:szCs w:val="22"/>
                <w:lang w:val="en-US"/>
              </w:rPr>
            </w:pPr>
            <w:r w:rsidRPr="00C60AD1">
              <w:rPr>
                <w:b/>
                <w:bCs/>
                <w:sz w:val="22"/>
                <w:szCs w:val="22"/>
                <w:lang w:val="en-US"/>
              </w:rPr>
              <w:t>(Rs. Cr.)</w:t>
            </w:r>
          </w:p>
        </w:tc>
        <w:tc>
          <w:tcPr>
            <w:tcW w:w="708" w:type="dxa"/>
            <w:shd w:val="clear" w:color="000000" w:fill="DBE5F1"/>
            <w:hideMark/>
          </w:tcPr>
          <w:p w:rsidR="00337C98" w:rsidRDefault="00C34658" w:rsidP="00337C98">
            <w:pPr>
              <w:spacing w:before="0" w:line="240" w:lineRule="auto"/>
              <w:jc w:val="center"/>
              <w:rPr>
                <w:b/>
                <w:bCs/>
                <w:sz w:val="22"/>
                <w:szCs w:val="22"/>
                <w:lang w:val="en-US"/>
              </w:rPr>
            </w:pPr>
            <w:r w:rsidRPr="00C60AD1">
              <w:rPr>
                <w:b/>
                <w:bCs/>
                <w:sz w:val="22"/>
                <w:szCs w:val="22"/>
                <w:lang w:val="en-US"/>
              </w:rPr>
              <w:t>(Rs. / kWh)</w:t>
            </w:r>
          </w:p>
        </w:tc>
        <w:tc>
          <w:tcPr>
            <w:tcW w:w="1001" w:type="dxa"/>
            <w:shd w:val="clear" w:color="000000" w:fill="DBE5F1"/>
            <w:hideMark/>
          </w:tcPr>
          <w:p w:rsidR="00337C98" w:rsidRDefault="00C34658" w:rsidP="00337C98">
            <w:pPr>
              <w:spacing w:before="0" w:line="240" w:lineRule="auto"/>
              <w:jc w:val="center"/>
              <w:rPr>
                <w:b/>
                <w:bCs/>
                <w:sz w:val="22"/>
                <w:szCs w:val="22"/>
                <w:lang w:val="en-US"/>
              </w:rPr>
            </w:pPr>
            <w:r w:rsidRPr="00C60AD1">
              <w:rPr>
                <w:b/>
                <w:bCs/>
                <w:sz w:val="22"/>
                <w:szCs w:val="22"/>
                <w:lang w:val="en-US"/>
              </w:rPr>
              <w:t>(Rs. Cr.)</w:t>
            </w:r>
          </w:p>
        </w:tc>
        <w:tc>
          <w:tcPr>
            <w:tcW w:w="708" w:type="dxa"/>
            <w:shd w:val="clear" w:color="000000" w:fill="DBE5F1"/>
            <w:hideMark/>
          </w:tcPr>
          <w:p w:rsidR="00337C98" w:rsidRDefault="00C34658" w:rsidP="00337C98">
            <w:pPr>
              <w:spacing w:before="0" w:line="240" w:lineRule="auto"/>
              <w:jc w:val="center"/>
              <w:rPr>
                <w:b/>
                <w:bCs/>
                <w:sz w:val="22"/>
                <w:szCs w:val="22"/>
                <w:lang w:val="en-US"/>
              </w:rPr>
            </w:pPr>
            <w:r w:rsidRPr="00C60AD1">
              <w:rPr>
                <w:b/>
                <w:bCs/>
                <w:sz w:val="22"/>
                <w:szCs w:val="22"/>
                <w:lang w:val="en-US"/>
              </w:rPr>
              <w:t>(Rs. / kWh)</w:t>
            </w:r>
          </w:p>
        </w:tc>
        <w:tc>
          <w:tcPr>
            <w:tcW w:w="1113" w:type="dxa"/>
            <w:shd w:val="clear" w:color="000000" w:fill="DBE5F1"/>
            <w:hideMark/>
          </w:tcPr>
          <w:p w:rsidR="00337C98" w:rsidRDefault="00C34658" w:rsidP="00337C98">
            <w:pPr>
              <w:spacing w:before="0" w:line="240" w:lineRule="auto"/>
              <w:jc w:val="center"/>
              <w:rPr>
                <w:b/>
                <w:bCs/>
                <w:sz w:val="22"/>
                <w:szCs w:val="22"/>
                <w:lang w:val="en-US"/>
              </w:rPr>
            </w:pPr>
            <w:r w:rsidRPr="00C60AD1">
              <w:rPr>
                <w:b/>
                <w:bCs/>
                <w:sz w:val="22"/>
                <w:szCs w:val="22"/>
                <w:lang w:val="en-US"/>
              </w:rPr>
              <w:t>(Rs. Cr.)</w:t>
            </w:r>
          </w:p>
        </w:tc>
        <w:tc>
          <w:tcPr>
            <w:tcW w:w="967" w:type="dxa"/>
            <w:shd w:val="clear" w:color="000000" w:fill="DBE5F1"/>
            <w:hideMark/>
          </w:tcPr>
          <w:p w:rsidR="00337C98" w:rsidRDefault="00C34658" w:rsidP="00337C98">
            <w:pPr>
              <w:spacing w:before="0" w:line="240" w:lineRule="auto"/>
              <w:jc w:val="center"/>
              <w:rPr>
                <w:b/>
                <w:bCs/>
                <w:sz w:val="22"/>
                <w:szCs w:val="22"/>
                <w:lang w:val="en-US"/>
              </w:rPr>
            </w:pPr>
            <w:r w:rsidRPr="00C60AD1">
              <w:rPr>
                <w:b/>
                <w:bCs/>
                <w:sz w:val="22"/>
                <w:szCs w:val="22"/>
                <w:lang w:val="en-US"/>
              </w:rPr>
              <w:t>(Rs. / kWh)</w:t>
            </w:r>
          </w:p>
        </w:tc>
      </w:tr>
      <w:tr w:rsidR="00C34658" w:rsidRPr="00C60AD1" w:rsidTr="00D55642">
        <w:trPr>
          <w:trHeight w:val="418"/>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Anta</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119.50</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626.10</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0.73</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45.95</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4.62</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289.39</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5.36</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335.34</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5.36</w:t>
            </w:r>
          </w:p>
        </w:tc>
      </w:tr>
      <w:tr w:rsidR="00C34658" w:rsidRPr="00C60AD1" w:rsidTr="00D55642">
        <w:trPr>
          <w:trHeight w:val="36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Auriya</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243.59</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1278.55</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0.55</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70.92</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5.03</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643.12</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5.58</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714.04</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5.58</w:t>
            </w:r>
          </w:p>
        </w:tc>
      </w:tr>
      <w:tr w:rsidR="00C34658" w:rsidRPr="00C60AD1" w:rsidTr="00D55642">
        <w:trPr>
          <w:trHeight w:val="42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Dadri Thermal</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84.00</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613.15</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0.86</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52.49</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4.13</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252.96</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4.98</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305.45</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4.98</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lastRenderedPageBreak/>
              <w:t>Dadri Gas</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271.83</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1426.97</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0.57</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81.06</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4.56</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650.58</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5.13</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731.63</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5.13</w:t>
            </w:r>
          </w:p>
        </w:tc>
      </w:tr>
      <w:tr w:rsidR="00C34658" w:rsidRPr="00C60AD1" w:rsidTr="00D55642">
        <w:trPr>
          <w:trHeight w:val="6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Dadri Extension</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150.43</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1055.29</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1.61</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170.36</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3.68</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388.27</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5.29</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558.63</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5.29</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Rihand-I</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373.20</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2697.16</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0.81</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219.65</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2.08</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560.15</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2.89</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779.80</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2.89</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Rihand-II</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347.50</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2790.71</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0.95</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263.86</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1.95</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542.99</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2.89</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806.85</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2.89</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Singrauli</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849.00</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6686.91</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0.54</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360.97</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1.33</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890.82</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1.87</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1251.79</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1.87</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Tanda</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440.00</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3255.30</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1.05</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342.56</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3.69</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1201.23</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4.74</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1543.79</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4.74</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Unchahar-I</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257.63</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2008.94</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0.86</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173.75</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2.93</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588.84</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3.80</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762.59</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3.80</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Unchahar-II</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153.01</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1165.85</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0.89</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104.27</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2.90</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338.28</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3.80</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442.56</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3.80</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Unchahar-III</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74.87</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576.97</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1.37</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79.07</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2.43</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139.95</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3.80</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219.02</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3.80</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Farakka</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33.28</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201.74</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0.85</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17.25</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2.86</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57.66</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3.71</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74.90</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3.71</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Kahalgaon St. I</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76.61</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551.63</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0.96</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52.74</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2.61</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144.04</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3.57</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196.78</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3.57</w:t>
            </w:r>
          </w:p>
        </w:tc>
      </w:tr>
      <w:tr w:rsidR="00C34658" w:rsidRPr="00C60AD1" w:rsidTr="00D55642">
        <w:trPr>
          <w:trHeight w:val="6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KahalgaonSt.IIPh.I</w:t>
            </w:r>
            <w:r>
              <w:rPr>
                <w:sz w:val="22"/>
                <w:szCs w:val="22"/>
                <w:lang w:val="en-US"/>
              </w:rPr>
              <w:t>I</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250.95</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1807.02</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1.22</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220.76</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2.35</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423.84</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3.57</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644.60</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3.57</w:t>
            </w:r>
          </w:p>
        </w:tc>
      </w:tr>
      <w:tr w:rsidR="00C34658" w:rsidRPr="00C60AD1" w:rsidTr="00D55642">
        <w:trPr>
          <w:trHeight w:val="33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Koldam (Hydro)</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94.50</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360.84</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1.56</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56.29</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2.41</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87.06</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3.97</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143.36</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3.97</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Rihand-III</w:t>
            </w:r>
          </w:p>
        </w:tc>
        <w:tc>
          <w:tcPr>
            <w:tcW w:w="1075"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377.42</w:t>
            </w:r>
          </w:p>
        </w:tc>
        <w:tc>
          <w:tcPr>
            <w:tcW w:w="1170"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1979.78</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1.32</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261.38</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1.57</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311.02</w:t>
            </w:r>
          </w:p>
        </w:tc>
        <w:tc>
          <w:tcPr>
            <w:tcW w:w="708"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2.89</w:t>
            </w:r>
          </w:p>
        </w:tc>
        <w:tc>
          <w:tcPr>
            <w:tcW w:w="1113"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572.40</w:t>
            </w:r>
          </w:p>
        </w:tc>
        <w:tc>
          <w:tcPr>
            <w:tcW w:w="967" w:type="dxa"/>
            <w:shd w:val="clear" w:color="auto" w:fill="auto"/>
            <w:vAlign w:val="center"/>
            <w:hideMark/>
          </w:tcPr>
          <w:p w:rsidR="00C34658" w:rsidRPr="00C60AD1" w:rsidRDefault="00C34658" w:rsidP="00D55642">
            <w:pPr>
              <w:spacing w:before="0" w:line="240" w:lineRule="auto"/>
              <w:jc w:val="right"/>
              <w:rPr>
                <w:sz w:val="22"/>
                <w:szCs w:val="22"/>
                <w:lang w:val="en-US"/>
              </w:rPr>
            </w:pPr>
            <w:r>
              <w:rPr>
                <w:color w:val="000000"/>
                <w:sz w:val="22"/>
                <w:szCs w:val="22"/>
              </w:rPr>
              <w:t>2.89</w:t>
            </w:r>
          </w:p>
        </w:tc>
      </w:tr>
      <w:tr w:rsidR="00C34658" w:rsidRPr="00C60AD1" w:rsidTr="00D55642">
        <w:trPr>
          <w:trHeight w:val="300"/>
        </w:trPr>
        <w:tc>
          <w:tcPr>
            <w:tcW w:w="1355" w:type="dxa"/>
            <w:shd w:val="clear" w:color="auto" w:fill="auto"/>
            <w:vAlign w:val="center"/>
            <w:hideMark/>
          </w:tcPr>
          <w:p w:rsidR="00C34658" w:rsidRPr="00C60AD1" w:rsidRDefault="00C34658" w:rsidP="00D55642">
            <w:pPr>
              <w:spacing w:before="0" w:line="240" w:lineRule="auto"/>
              <w:jc w:val="left"/>
              <w:rPr>
                <w:b/>
                <w:bCs/>
                <w:sz w:val="22"/>
                <w:szCs w:val="22"/>
                <w:lang w:val="en-US"/>
              </w:rPr>
            </w:pPr>
            <w:r w:rsidRPr="00C60AD1">
              <w:rPr>
                <w:b/>
                <w:bCs/>
                <w:sz w:val="22"/>
                <w:szCs w:val="22"/>
                <w:lang w:val="en-US"/>
              </w:rPr>
              <w:t>Total</w:t>
            </w:r>
          </w:p>
        </w:tc>
        <w:tc>
          <w:tcPr>
            <w:tcW w:w="1075" w:type="dxa"/>
            <w:shd w:val="clear" w:color="auto" w:fill="auto"/>
            <w:vAlign w:val="center"/>
            <w:hideMark/>
          </w:tcPr>
          <w:p w:rsidR="00C34658" w:rsidRPr="00855ADE" w:rsidRDefault="00C34658" w:rsidP="00D55642">
            <w:pPr>
              <w:spacing w:before="0" w:line="240" w:lineRule="auto"/>
              <w:jc w:val="right"/>
              <w:rPr>
                <w:b/>
                <w:bCs/>
                <w:sz w:val="22"/>
                <w:szCs w:val="22"/>
                <w:lang w:val="en-US"/>
              </w:rPr>
            </w:pPr>
            <w:r w:rsidRPr="00DB21D8">
              <w:rPr>
                <w:b/>
                <w:color w:val="000000"/>
                <w:sz w:val="22"/>
                <w:szCs w:val="22"/>
              </w:rPr>
              <w:t>4197.30</w:t>
            </w:r>
          </w:p>
        </w:tc>
        <w:tc>
          <w:tcPr>
            <w:tcW w:w="1170" w:type="dxa"/>
            <w:shd w:val="clear" w:color="auto" w:fill="auto"/>
            <w:vAlign w:val="center"/>
            <w:hideMark/>
          </w:tcPr>
          <w:p w:rsidR="00C34658" w:rsidRPr="00855ADE" w:rsidRDefault="00C34658" w:rsidP="00D55642">
            <w:pPr>
              <w:spacing w:before="0" w:line="240" w:lineRule="auto"/>
              <w:jc w:val="right"/>
              <w:rPr>
                <w:b/>
                <w:bCs/>
                <w:sz w:val="22"/>
                <w:szCs w:val="22"/>
                <w:lang w:val="en-US"/>
              </w:rPr>
            </w:pPr>
            <w:r w:rsidRPr="00DB21D8">
              <w:rPr>
                <w:b/>
                <w:color w:val="000000"/>
                <w:sz w:val="22"/>
                <w:szCs w:val="22"/>
              </w:rPr>
              <w:t>29082.92</w:t>
            </w:r>
          </w:p>
        </w:tc>
        <w:tc>
          <w:tcPr>
            <w:tcW w:w="708" w:type="dxa"/>
            <w:shd w:val="clear" w:color="auto" w:fill="auto"/>
            <w:vAlign w:val="center"/>
            <w:hideMark/>
          </w:tcPr>
          <w:p w:rsidR="00C34658" w:rsidRPr="00855ADE" w:rsidRDefault="00C34658" w:rsidP="00D55642">
            <w:pPr>
              <w:spacing w:before="0" w:line="240" w:lineRule="auto"/>
              <w:jc w:val="right"/>
              <w:rPr>
                <w:b/>
                <w:sz w:val="22"/>
                <w:szCs w:val="22"/>
                <w:lang w:val="en-US"/>
              </w:rPr>
            </w:pPr>
            <w:r w:rsidRPr="00DB21D8">
              <w:rPr>
                <w:b/>
                <w:color w:val="000000"/>
                <w:sz w:val="22"/>
                <w:szCs w:val="22"/>
              </w:rPr>
              <w:t>0.88</w:t>
            </w:r>
          </w:p>
        </w:tc>
        <w:tc>
          <w:tcPr>
            <w:tcW w:w="1001" w:type="dxa"/>
            <w:shd w:val="clear" w:color="auto" w:fill="auto"/>
            <w:vAlign w:val="center"/>
            <w:hideMark/>
          </w:tcPr>
          <w:p w:rsidR="00C34658" w:rsidRPr="00855ADE" w:rsidRDefault="00C34658" w:rsidP="00D55642">
            <w:pPr>
              <w:spacing w:before="0" w:line="240" w:lineRule="auto"/>
              <w:jc w:val="right"/>
              <w:rPr>
                <w:b/>
                <w:bCs/>
                <w:sz w:val="22"/>
                <w:szCs w:val="22"/>
                <w:lang w:val="en-US"/>
              </w:rPr>
            </w:pPr>
            <w:r w:rsidRPr="00DB21D8">
              <w:rPr>
                <w:b/>
                <w:color w:val="000000"/>
                <w:sz w:val="22"/>
                <w:szCs w:val="22"/>
              </w:rPr>
              <w:t>2573.32</w:t>
            </w:r>
          </w:p>
        </w:tc>
        <w:tc>
          <w:tcPr>
            <w:tcW w:w="708" w:type="dxa"/>
            <w:shd w:val="clear" w:color="auto" w:fill="auto"/>
            <w:vAlign w:val="center"/>
            <w:hideMark/>
          </w:tcPr>
          <w:p w:rsidR="00C34658" w:rsidRPr="00855ADE" w:rsidRDefault="00C34658" w:rsidP="00D55642">
            <w:pPr>
              <w:spacing w:before="0" w:line="240" w:lineRule="auto"/>
              <w:jc w:val="right"/>
              <w:rPr>
                <w:b/>
                <w:bCs/>
                <w:sz w:val="22"/>
                <w:szCs w:val="22"/>
                <w:lang w:val="en-US"/>
              </w:rPr>
            </w:pPr>
            <w:r w:rsidRPr="00DB21D8">
              <w:rPr>
                <w:b/>
                <w:color w:val="000000"/>
                <w:sz w:val="22"/>
                <w:szCs w:val="22"/>
              </w:rPr>
              <w:t>2.58</w:t>
            </w:r>
          </w:p>
        </w:tc>
        <w:tc>
          <w:tcPr>
            <w:tcW w:w="1001" w:type="dxa"/>
            <w:shd w:val="clear" w:color="auto" w:fill="auto"/>
            <w:vAlign w:val="center"/>
            <w:hideMark/>
          </w:tcPr>
          <w:p w:rsidR="00C34658" w:rsidRPr="00855ADE" w:rsidRDefault="00C34658" w:rsidP="00D55642">
            <w:pPr>
              <w:spacing w:before="0" w:line="240" w:lineRule="auto"/>
              <w:jc w:val="right"/>
              <w:rPr>
                <w:b/>
                <w:bCs/>
                <w:sz w:val="22"/>
                <w:szCs w:val="22"/>
                <w:lang w:val="en-US"/>
              </w:rPr>
            </w:pPr>
            <w:r w:rsidRPr="00DB21D8">
              <w:rPr>
                <w:b/>
                <w:color w:val="000000"/>
                <w:sz w:val="22"/>
                <w:szCs w:val="22"/>
              </w:rPr>
              <w:t>7510.21</w:t>
            </w:r>
          </w:p>
        </w:tc>
        <w:tc>
          <w:tcPr>
            <w:tcW w:w="708" w:type="dxa"/>
            <w:shd w:val="clear" w:color="auto" w:fill="auto"/>
            <w:vAlign w:val="center"/>
            <w:hideMark/>
          </w:tcPr>
          <w:p w:rsidR="00C34658" w:rsidRPr="00855ADE" w:rsidRDefault="00C34658" w:rsidP="00D55642">
            <w:pPr>
              <w:spacing w:before="0" w:line="240" w:lineRule="auto"/>
              <w:jc w:val="right"/>
              <w:rPr>
                <w:b/>
                <w:sz w:val="22"/>
                <w:szCs w:val="22"/>
                <w:lang w:val="en-US"/>
              </w:rPr>
            </w:pPr>
            <w:r w:rsidRPr="00DB21D8">
              <w:rPr>
                <w:b/>
                <w:color w:val="000000"/>
                <w:sz w:val="22"/>
                <w:szCs w:val="22"/>
              </w:rPr>
              <w:t>3.47</w:t>
            </w:r>
          </w:p>
        </w:tc>
        <w:tc>
          <w:tcPr>
            <w:tcW w:w="1113" w:type="dxa"/>
            <w:shd w:val="clear" w:color="auto" w:fill="auto"/>
            <w:vAlign w:val="center"/>
            <w:hideMark/>
          </w:tcPr>
          <w:p w:rsidR="00C34658" w:rsidRPr="00855ADE" w:rsidRDefault="00C34658" w:rsidP="00D55642">
            <w:pPr>
              <w:spacing w:before="0" w:line="240" w:lineRule="auto"/>
              <w:jc w:val="right"/>
              <w:rPr>
                <w:b/>
                <w:bCs/>
                <w:sz w:val="22"/>
                <w:szCs w:val="22"/>
                <w:lang w:val="en-US"/>
              </w:rPr>
            </w:pPr>
            <w:r w:rsidRPr="00DB21D8">
              <w:rPr>
                <w:b/>
                <w:color w:val="000000"/>
                <w:sz w:val="22"/>
                <w:szCs w:val="22"/>
              </w:rPr>
              <w:t>10083.53</w:t>
            </w:r>
          </w:p>
        </w:tc>
        <w:tc>
          <w:tcPr>
            <w:tcW w:w="967" w:type="dxa"/>
            <w:shd w:val="clear" w:color="auto" w:fill="auto"/>
            <w:vAlign w:val="center"/>
            <w:hideMark/>
          </w:tcPr>
          <w:p w:rsidR="00C34658" w:rsidRPr="00855ADE" w:rsidRDefault="00C34658" w:rsidP="00D55642">
            <w:pPr>
              <w:spacing w:before="0" w:line="240" w:lineRule="auto"/>
              <w:jc w:val="right"/>
              <w:rPr>
                <w:b/>
                <w:bCs/>
                <w:sz w:val="22"/>
                <w:szCs w:val="22"/>
                <w:lang w:val="en-US"/>
              </w:rPr>
            </w:pPr>
            <w:r w:rsidRPr="00DB21D8">
              <w:rPr>
                <w:b/>
                <w:color w:val="000000"/>
                <w:sz w:val="22"/>
                <w:szCs w:val="22"/>
              </w:rPr>
              <w:t>3.47</w:t>
            </w:r>
          </w:p>
        </w:tc>
      </w:tr>
    </w:tbl>
    <w:p w:rsidR="00C34658" w:rsidRPr="00C60AD1" w:rsidRDefault="00C34658" w:rsidP="00C34658">
      <w:pPr>
        <w:spacing w:before="0"/>
        <w:jc w:val="center"/>
        <w:rPr>
          <w:rFonts w:cs="Calibri"/>
          <w:b/>
          <w:sz w:val="22"/>
          <w:szCs w:val="22"/>
          <w:lang w:val="en-US"/>
        </w:rPr>
      </w:pPr>
      <w:bookmarkStart w:id="631" w:name="_Ref394919856"/>
      <w:bookmarkStart w:id="632" w:name="_Toc395657951"/>
      <w:bookmarkStart w:id="633" w:name="_Toc396574002"/>
      <w:bookmarkStart w:id="634" w:name="_Toc399624103"/>
      <w:bookmarkStart w:id="635" w:name="_Toc453367681"/>
      <w:bookmarkStart w:id="636" w:name="_Toc457604052"/>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36</w:t>
      </w:r>
      <w:r w:rsidR="009741CA" w:rsidRPr="00C60AD1">
        <w:rPr>
          <w:rFonts w:cs="Calibri"/>
          <w:b/>
          <w:sz w:val="22"/>
          <w:szCs w:val="22"/>
          <w:lang w:val="en-US"/>
        </w:rPr>
        <w:fldChar w:fldCharType="end"/>
      </w:r>
      <w:r w:rsidRPr="00C60AD1">
        <w:rPr>
          <w:rFonts w:cs="Calibri"/>
          <w:b/>
          <w:sz w:val="22"/>
          <w:szCs w:val="22"/>
          <w:lang w:val="en-US"/>
        </w:rPr>
        <w:t>:</w:t>
      </w:r>
      <w:bookmarkEnd w:id="631"/>
      <w:r w:rsidRPr="00C60AD1">
        <w:rPr>
          <w:rFonts w:cs="Calibri"/>
          <w:b/>
          <w:sz w:val="22"/>
          <w:szCs w:val="22"/>
          <w:lang w:val="en-US"/>
        </w:rPr>
        <w:t xml:space="preserve"> APPROVED COST OF POWER PURCHASE FROM NHPC STATIONS FOR FY </w:t>
      </w:r>
      <w:bookmarkEnd w:id="632"/>
      <w:bookmarkEnd w:id="633"/>
      <w:bookmarkEnd w:id="634"/>
      <w:r>
        <w:rPr>
          <w:rFonts w:cs="Calibri"/>
          <w:b/>
          <w:sz w:val="22"/>
          <w:szCs w:val="22"/>
          <w:lang w:val="en-US"/>
        </w:rPr>
        <w:t>2016-17</w:t>
      </w:r>
      <w:bookmarkEnd w:id="635"/>
      <w:bookmarkEnd w:id="636"/>
    </w:p>
    <w:tbl>
      <w:tblPr>
        <w:tblW w:w="5637" w:type="pct"/>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839"/>
        <w:gridCol w:w="853"/>
        <w:gridCol w:w="1052"/>
        <w:gridCol w:w="783"/>
        <w:gridCol w:w="900"/>
        <w:gridCol w:w="809"/>
        <w:gridCol w:w="990"/>
        <w:gridCol w:w="721"/>
        <w:gridCol w:w="1080"/>
        <w:gridCol w:w="990"/>
      </w:tblGrid>
      <w:tr w:rsidR="00C34658" w:rsidRPr="0043176D" w:rsidTr="00AA3DF1">
        <w:trPr>
          <w:trHeight w:val="600"/>
        </w:trPr>
        <w:tc>
          <w:tcPr>
            <w:tcW w:w="918" w:type="pct"/>
            <w:vMerge w:val="restar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Source of Power</w:t>
            </w:r>
          </w:p>
        </w:tc>
        <w:tc>
          <w:tcPr>
            <w:tcW w:w="426" w:type="pct"/>
            <w:vMerge w:val="restar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MW Available</w:t>
            </w:r>
          </w:p>
        </w:tc>
        <w:tc>
          <w:tcPr>
            <w:tcW w:w="525" w:type="pct"/>
            <w:vMerge w:val="restar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MU</w:t>
            </w:r>
          </w:p>
        </w:tc>
        <w:tc>
          <w:tcPr>
            <w:tcW w:w="840" w:type="pct"/>
            <w:gridSpan w:val="2"/>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Fixed Cost</w:t>
            </w:r>
          </w:p>
        </w:tc>
        <w:tc>
          <w:tcPr>
            <w:tcW w:w="898" w:type="pct"/>
            <w:gridSpan w:val="2"/>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Variable Cost</w:t>
            </w:r>
          </w:p>
        </w:tc>
        <w:tc>
          <w:tcPr>
            <w:tcW w:w="899" w:type="pct"/>
            <w:gridSpan w:val="2"/>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Total Cost</w:t>
            </w:r>
          </w:p>
        </w:tc>
        <w:tc>
          <w:tcPr>
            <w:tcW w:w="494"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Average Cost</w:t>
            </w:r>
          </w:p>
        </w:tc>
      </w:tr>
      <w:tr w:rsidR="00AA3DF1" w:rsidRPr="0043176D" w:rsidTr="00AA3DF1">
        <w:trPr>
          <w:trHeight w:val="600"/>
        </w:trPr>
        <w:tc>
          <w:tcPr>
            <w:tcW w:w="918" w:type="pct"/>
            <w:vMerge/>
            <w:hideMark/>
          </w:tcPr>
          <w:p w:rsidR="00337C98" w:rsidRDefault="00337C98" w:rsidP="00337C98">
            <w:pPr>
              <w:spacing w:before="0" w:line="240" w:lineRule="auto"/>
              <w:jc w:val="center"/>
              <w:rPr>
                <w:rFonts w:asciiTheme="minorHAnsi" w:hAnsiTheme="minorHAnsi"/>
                <w:b/>
                <w:bCs/>
                <w:sz w:val="22"/>
                <w:szCs w:val="22"/>
                <w:lang w:val="en-IN" w:eastAsia="en-IN"/>
              </w:rPr>
            </w:pPr>
          </w:p>
        </w:tc>
        <w:tc>
          <w:tcPr>
            <w:tcW w:w="426" w:type="pct"/>
            <w:vMerge/>
            <w:hideMark/>
          </w:tcPr>
          <w:p w:rsidR="00337C98" w:rsidRDefault="00337C98" w:rsidP="00337C98">
            <w:pPr>
              <w:spacing w:before="0" w:line="240" w:lineRule="auto"/>
              <w:jc w:val="center"/>
              <w:rPr>
                <w:rFonts w:asciiTheme="minorHAnsi" w:hAnsiTheme="minorHAnsi"/>
                <w:b/>
                <w:bCs/>
                <w:sz w:val="22"/>
                <w:szCs w:val="22"/>
                <w:lang w:val="en-IN" w:eastAsia="en-IN"/>
              </w:rPr>
            </w:pPr>
          </w:p>
        </w:tc>
        <w:tc>
          <w:tcPr>
            <w:tcW w:w="525" w:type="pct"/>
            <w:vMerge/>
            <w:hideMark/>
          </w:tcPr>
          <w:p w:rsidR="00337C98" w:rsidRDefault="00337C98" w:rsidP="00337C98">
            <w:pPr>
              <w:spacing w:before="0" w:line="240" w:lineRule="auto"/>
              <w:jc w:val="center"/>
              <w:rPr>
                <w:rFonts w:asciiTheme="minorHAnsi" w:hAnsiTheme="minorHAnsi"/>
                <w:b/>
                <w:bCs/>
                <w:sz w:val="22"/>
                <w:szCs w:val="22"/>
                <w:lang w:val="en-IN" w:eastAsia="en-IN"/>
              </w:rPr>
            </w:pPr>
          </w:p>
        </w:tc>
        <w:tc>
          <w:tcPr>
            <w:tcW w:w="391"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(Rs. / kWh)</w:t>
            </w:r>
          </w:p>
        </w:tc>
        <w:tc>
          <w:tcPr>
            <w:tcW w:w="449"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(Rs. Cr.)</w:t>
            </w:r>
          </w:p>
        </w:tc>
        <w:tc>
          <w:tcPr>
            <w:tcW w:w="404"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(Rs. / kWh)</w:t>
            </w:r>
          </w:p>
        </w:tc>
        <w:tc>
          <w:tcPr>
            <w:tcW w:w="494"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(Rs. Cr.)</w:t>
            </w:r>
          </w:p>
        </w:tc>
        <w:tc>
          <w:tcPr>
            <w:tcW w:w="360"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(Rs. / kWh)</w:t>
            </w:r>
          </w:p>
        </w:tc>
        <w:tc>
          <w:tcPr>
            <w:tcW w:w="539"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(Rs. Cr.)</w:t>
            </w:r>
          </w:p>
        </w:tc>
        <w:tc>
          <w:tcPr>
            <w:tcW w:w="494"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DB21D8">
              <w:rPr>
                <w:rFonts w:asciiTheme="minorHAnsi" w:hAnsiTheme="minorHAnsi"/>
                <w:b/>
                <w:bCs/>
                <w:sz w:val="22"/>
                <w:szCs w:val="22"/>
                <w:lang w:val="en-IN" w:eastAsia="en-IN"/>
              </w:rPr>
              <w:t>(Rs. / kWh)</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Chamera</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109.46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335.60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1.08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36.15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1.08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36.15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2.15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72.30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2.15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Chamera II</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86.28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391.66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1.49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58.46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1.49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58.46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2.99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116.91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2.99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Chamera III</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62.13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282.05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1.81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50.97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1.86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52.53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3.67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103.50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3.67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Dhauliganga</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74.90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281.18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1.10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31.04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1.27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35.60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2.37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66.64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2.37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Salal I&amp;II</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47.96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252.05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0.55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13.91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0.55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13.91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1.10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27.82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1.10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Tanakpur</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21.33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102.75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1.48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15.21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1.48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15.21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2.96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30.43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2.96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Uri</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96.29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496.78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1.05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51.95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0.89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44.42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1.94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96.38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1.94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Dulhasti</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111.38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515.50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2.82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145.50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2.30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118.44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5.12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263.94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5.12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Sewa II (June/July -2010)</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35.10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136.19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1.89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25.77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1.81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24.62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3.70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50.39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3.70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Uri-II</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25.35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110.65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4.98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55.11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0.45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4.98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5.43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60.08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5.43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Parbati II</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160.00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                 -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Parbati III</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104.00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382.64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1.41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53.98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3.74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143.07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5.15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197.05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5.15 </w:t>
            </w:r>
          </w:p>
        </w:tc>
      </w:tr>
      <w:tr w:rsidR="00AA3DF1" w:rsidRPr="0043176D" w:rsidTr="00AA3DF1">
        <w:trPr>
          <w:trHeight w:val="300"/>
        </w:trPr>
        <w:tc>
          <w:tcPr>
            <w:tcW w:w="918" w:type="pct"/>
            <w:shd w:val="clear" w:color="auto" w:fill="auto"/>
            <w:noWrap/>
            <w:vAlign w:val="center"/>
            <w:hideMark/>
          </w:tcPr>
          <w:p w:rsidR="00C34658" w:rsidRPr="0043176D" w:rsidRDefault="00C34658" w:rsidP="00D55642">
            <w:pPr>
              <w:spacing w:before="0" w:line="240" w:lineRule="auto"/>
              <w:jc w:val="lef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lastRenderedPageBreak/>
              <w:t>Sub-Total-NHPC</w:t>
            </w:r>
          </w:p>
        </w:tc>
        <w:tc>
          <w:tcPr>
            <w:tcW w:w="426"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934.17 </w:t>
            </w:r>
          </w:p>
        </w:tc>
        <w:tc>
          <w:tcPr>
            <w:tcW w:w="525"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3,287.05 </w:t>
            </w:r>
          </w:p>
        </w:tc>
        <w:tc>
          <w:tcPr>
            <w:tcW w:w="391"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1.64 </w:t>
            </w:r>
          </w:p>
        </w:tc>
        <w:tc>
          <w:tcPr>
            <w:tcW w:w="44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538.05 </w:t>
            </w:r>
          </w:p>
        </w:tc>
        <w:tc>
          <w:tcPr>
            <w:tcW w:w="40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1.67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547.39 </w:t>
            </w:r>
          </w:p>
        </w:tc>
        <w:tc>
          <w:tcPr>
            <w:tcW w:w="360"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3.30 </w:t>
            </w:r>
          </w:p>
        </w:tc>
        <w:tc>
          <w:tcPr>
            <w:tcW w:w="539"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1,085.44 </w:t>
            </w:r>
          </w:p>
        </w:tc>
        <w:tc>
          <w:tcPr>
            <w:tcW w:w="494" w:type="pct"/>
            <w:shd w:val="clear" w:color="auto" w:fill="auto"/>
            <w:noWrap/>
            <w:vAlign w:val="center"/>
            <w:hideMark/>
          </w:tcPr>
          <w:p w:rsidR="00C34658" w:rsidRPr="0043176D" w:rsidRDefault="00C34658" w:rsidP="00D55642">
            <w:pPr>
              <w:spacing w:before="0" w:line="240" w:lineRule="auto"/>
              <w:jc w:val="right"/>
              <w:rPr>
                <w:rFonts w:asciiTheme="minorHAnsi" w:hAnsiTheme="minorHAnsi"/>
                <w:color w:val="000000"/>
                <w:sz w:val="22"/>
                <w:szCs w:val="22"/>
                <w:lang w:val="en-IN" w:eastAsia="en-IN"/>
              </w:rPr>
            </w:pPr>
            <w:r w:rsidRPr="00DB21D8">
              <w:rPr>
                <w:rFonts w:asciiTheme="minorHAnsi" w:hAnsiTheme="minorHAnsi"/>
                <w:color w:val="000000"/>
                <w:sz w:val="22"/>
                <w:szCs w:val="22"/>
                <w:lang w:val="en-IN" w:eastAsia="en-IN"/>
              </w:rPr>
              <w:t xml:space="preserve">3.30 </w:t>
            </w:r>
          </w:p>
        </w:tc>
      </w:tr>
    </w:tbl>
    <w:p w:rsidR="00AA3DF1" w:rsidRPr="00C60AD1" w:rsidRDefault="00AA3DF1" w:rsidP="00C34658">
      <w:pPr>
        <w:spacing w:before="0"/>
      </w:pPr>
    </w:p>
    <w:p w:rsidR="00C34658" w:rsidRPr="00C60AD1" w:rsidRDefault="00C34658" w:rsidP="00C34658">
      <w:pPr>
        <w:spacing w:before="0"/>
        <w:jc w:val="center"/>
        <w:rPr>
          <w:rFonts w:cs="Calibri"/>
          <w:b/>
          <w:sz w:val="22"/>
          <w:szCs w:val="22"/>
          <w:lang w:val="en-US"/>
        </w:rPr>
      </w:pPr>
      <w:bookmarkStart w:id="637" w:name="_Ref394919864"/>
      <w:bookmarkStart w:id="638" w:name="_Toc395657952"/>
      <w:bookmarkStart w:id="639" w:name="_Toc396574003"/>
      <w:bookmarkStart w:id="640" w:name="_Toc399624104"/>
      <w:bookmarkStart w:id="641" w:name="_Toc453367682"/>
      <w:bookmarkStart w:id="642" w:name="_Toc457604053"/>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37</w:t>
      </w:r>
      <w:r w:rsidR="009741CA" w:rsidRPr="00C60AD1">
        <w:rPr>
          <w:rFonts w:cs="Calibri"/>
          <w:b/>
          <w:sz w:val="22"/>
          <w:szCs w:val="22"/>
          <w:lang w:val="en-US"/>
        </w:rPr>
        <w:fldChar w:fldCharType="end"/>
      </w:r>
      <w:r w:rsidRPr="00C60AD1">
        <w:rPr>
          <w:rFonts w:cs="Calibri"/>
          <w:b/>
          <w:sz w:val="22"/>
          <w:szCs w:val="22"/>
          <w:lang w:val="en-US"/>
        </w:rPr>
        <w:t>:</w:t>
      </w:r>
      <w:bookmarkEnd w:id="637"/>
      <w:r w:rsidRPr="00C60AD1">
        <w:rPr>
          <w:rFonts w:cs="Calibri"/>
          <w:b/>
          <w:sz w:val="22"/>
          <w:szCs w:val="22"/>
          <w:lang w:val="en-US"/>
        </w:rPr>
        <w:t xml:space="preserve"> APPROVED COST OF POWER PURCHASE FROM NPCIL STATIONS FOR FY </w:t>
      </w:r>
      <w:bookmarkEnd w:id="638"/>
      <w:bookmarkEnd w:id="639"/>
      <w:bookmarkEnd w:id="640"/>
      <w:r>
        <w:rPr>
          <w:rFonts w:cs="Calibri"/>
          <w:b/>
          <w:sz w:val="22"/>
          <w:szCs w:val="22"/>
          <w:lang w:val="en-US"/>
        </w:rPr>
        <w:t>2016-17</w:t>
      </w:r>
      <w:bookmarkEnd w:id="641"/>
      <w:bookmarkEnd w:id="642"/>
    </w:p>
    <w:tbl>
      <w:tblPr>
        <w:tblW w:w="9498"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419"/>
        <w:gridCol w:w="1134"/>
        <w:gridCol w:w="963"/>
        <w:gridCol w:w="580"/>
        <w:gridCol w:w="467"/>
        <w:gridCol w:w="796"/>
        <w:gridCol w:w="1126"/>
        <w:gridCol w:w="796"/>
        <w:gridCol w:w="1126"/>
        <w:gridCol w:w="1091"/>
      </w:tblGrid>
      <w:tr w:rsidR="00C34658" w:rsidRPr="00F43CC9" w:rsidTr="008334E8">
        <w:trPr>
          <w:trHeight w:val="600"/>
          <w:tblHeader/>
        </w:trPr>
        <w:tc>
          <w:tcPr>
            <w:tcW w:w="1419" w:type="dxa"/>
            <w:vMerge w:val="restar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FA7B1E">
              <w:rPr>
                <w:rFonts w:asciiTheme="minorHAnsi" w:hAnsiTheme="minorHAnsi"/>
                <w:b/>
                <w:bCs/>
                <w:sz w:val="22"/>
                <w:szCs w:val="22"/>
                <w:lang w:val="en-IN" w:eastAsia="en-IN"/>
              </w:rPr>
              <w:t>Source of Power</w:t>
            </w:r>
          </w:p>
        </w:tc>
        <w:tc>
          <w:tcPr>
            <w:tcW w:w="1134" w:type="dxa"/>
            <w:vMerge w:val="restar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FA7B1E">
              <w:rPr>
                <w:rFonts w:asciiTheme="minorHAnsi" w:hAnsiTheme="minorHAnsi"/>
                <w:b/>
                <w:bCs/>
                <w:sz w:val="22"/>
                <w:szCs w:val="22"/>
                <w:lang w:val="en-IN" w:eastAsia="en-IN"/>
              </w:rPr>
              <w:t>MW Available</w:t>
            </w:r>
          </w:p>
        </w:tc>
        <w:tc>
          <w:tcPr>
            <w:tcW w:w="963" w:type="dxa"/>
            <w:vMerge w:val="restar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FA7B1E">
              <w:rPr>
                <w:rFonts w:asciiTheme="minorHAnsi" w:hAnsiTheme="minorHAnsi"/>
                <w:b/>
                <w:bCs/>
                <w:sz w:val="22"/>
                <w:szCs w:val="22"/>
                <w:lang w:val="en-IN" w:eastAsia="en-IN"/>
              </w:rPr>
              <w:t>MU</w:t>
            </w:r>
          </w:p>
        </w:tc>
        <w:tc>
          <w:tcPr>
            <w:tcW w:w="1047" w:type="dxa"/>
            <w:gridSpan w:val="2"/>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FA7B1E">
              <w:rPr>
                <w:rFonts w:asciiTheme="minorHAnsi" w:hAnsiTheme="minorHAnsi"/>
                <w:b/>
                <w:bCs/>
                <w:sz w:val="22"/>
                <w:szCs w:val="22"/>
                <w:lang w:val="en-IN" w:eastAsia="en-IN"/>
              </w:rPr>
              <w:t>Fixed Cost</w:t>
            </w:r>
          </w:p>
        </w:tc>
        <w:tc>
          <w:tcPr>
            <w:tcW w:w="1922" w:type="dxa"/>
            <w:gridSpan w:val="2"/>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FA7B1E">
              <w:rPr>
                <w:rFonts w:asciiTheme="minorHAnsi" w:hAnsiTheme="minorHAnsi"/>
                <w:b/>
                <w:bCs/>
                <w:sz w:val="22"/>
                <w:szCs w:val="22"/>
                <w:lang w:val="en-IN" w:eastAsia="en-IN"/>
              </w:rPr>
              <w:t>Variable Cost</w:t>
            </w:r>
          </w:p>
        </w:tc>
        <w:tc>
          <w:tcPr>
            <w:tcW w:w="1922" w:type="dxa"/>
            <w:gridSpan w:val="2"/>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FA7B1E">
              <w:rPr>
                <w:rFonts w:asciiTheme="minorHAnsi" w:hAnsiTheme="minorHAnsi"/>
                <w:b/>
                <w:bCs/>
                <w:sz w:val="22"/>
                <w:szCs w:val="22"/>
                <w:lang w:val="en-IN" w:eastAsia="en-IN"/>
              </w:rPr>
              <w:t>Total Cost</w:t>
            </w:r>
          </w:p>
        </w:tc>
        <w:tc>
          <w:tcPr>
            <w:tcW w:w="1091" w:type="dxa"/>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FA7B1E">
              <w:rPr>
                <w:rFonts w:asciiTheme="minorHAnsi" w:hAnsiTheme="minorHAnsi"/>
                <w:b/>
                <w:bCs/>
                <w:sz w:val="22"/>
                <w:szCs w:val="22"/>
                <w:lang w:val="en-IN" w:eastAsia="en-IN"/>
              </w:rPr>
              <w:t>Average Cost</w:t>
            </w:r>
          </w:p>
        </w:tc>
      </w:tr>
      <w:tr w:rsidR="00C34658" w:rsidRPr="00F43CC9" w:rsidTr="008334E8">
        <w:trPr>
          <w:trHeight w:val="600"/>
          <w:tblHeader/>
        </w:trPr>
        <w:tc>
          <w:tcPr>
            <w:tcW w:w="1419" w:type="dxa"/>
            <w:vMerge/>
            <w:hideMark/>
          </w:tcPr>
          <w:p w:rsidR="00603835" w:rsidRDefault="00603835">
            <w:pPr>
              <w:spacing w:before="0" w:line="240" w:lineRule="auto"/>
              <w:jc w:val="center"/>
              <w:rPr>
                <w:rFonts w:asciiTheme="minorHAnsi" w:hAnsiTheme="minorHAnsi"/>
                <w:b/>
                <w:sz w:val="22"/>
                <w:szCs w:val="22"/>
                <w:lang w:val="en-US"/>
              </w:rPr>
            </w:pPr>
          </w:p>
        </w:tc>
        <w:tc>
          <w:tcPr>
            <w:tcW w:w="1134" w:type="dxa"/>
            <w:vMerge/>
            <w:hideMark/>
          </w:tcPr>
          <w:p w:rsidR="00603835" w:rsidRDefault="00603835">
            <w:pPr>
              <w:spacing w:before="0" w:line="240" w:lineRule="auto"/>
              <w:jc w:val="center"/>
              <w:rPr>
                <w:rFonts w:asciiTheme="minorHAnsi" w:hAnsiTheme="minorHAnsi"/>
                <w:b/>
                <w:sz w:val="22"/>
                <w:szCs w:val="22"/>
                <w:lang w:val="en-US"/>
              </w:rPr>
            </w:pPr>
          </w:p>
        </w:tc>
        <w:tc>
          <w:tcPr>
            <w:tcW w:w="963" w:type="dxa"/>
            <w:vMerge/>
            <w:hideMark/>
          </w:tcPr>
          <w:p w:rsidR="00603835" w:rsidRDefault="00603835">
            <w:pPr>
              <w:spacing w:before="0" w:line="240" w:lineRule="auto"/>
              <w:jc w:val="center"/>
              <w:rPr>
                <w:rFonts w:asciiTheme="minorHAnsi" w:hAnsiTheme="minorHAnsi"/>
                <w:b/>
                <w:sz w:val="22"/>
                <w:szCs w:val="22"/>
                <w:lang w:val="en-US"/>
              </w:rPr>
            </w:pPr>
          </w:p>
        </w:tc>
        <w:tc>
          <w:tcPr>
            <w:tcW w:w="580" w:type="dxa"/>
            <w:shd w:val="clear" w:color="000000" w:fill="DBE5F1"/>
            <w:hideMark/>
          </w:tcPr>
          <w:p w:rsidR="00603835" w:rsidRDefault="00603835">
            <w:pPr>
              <w:spacing w:before="0" w:line="240" w:lineRule="auto"/>
              <w:jc w:val="center"/>
              <w:rPr>
                <w:rFonts w:asciiTheme="minorHAnsi" w:hAnsiTheme="minorHAnsi"/>
                <w:b/>
                <w:sz w:val="22"/>
                <w:szCs w:val="22"/>
                <w:lang w:val="en-US"/>
              </w:rPr>
            </w:pPr>
          </w:p>
        </w:tc>
        <w:tc>
          <w:tcPr>
            <w:tcW w:w="467" w:type="dxa"/>
            <w:shd w:val="clear" w:color="000000" w:fill="DBE5F1"/>
            <w:hideMark/>
          </w:tcPr>
          <w:p w:rsidR="00603835" w:rsidRDefault="00603835">
            <w:pPr>
              <w:spacing w:before="0" w:line="240" w:lineRule="auto"/>
              <w:jc w:val="center"/>
              <w:rPr>
                <w:rFonts w:asciiTheme="minorHAnsi" w:hAnsiTheme="minorHAnsi"/>
                <w:b/>
                <w:sz w:val="22"/>
                <w:szCs w:val="22"/>
                <w:lang w:val="en-US"/>
              </w:rPr>
            </w:pPr>
          </w:p>
        </w:tc>
        <w:tc>
          <w:tcPr>
            <w:tcW w:w="796" w:type="dxa"/>
            <w:shd w:val="clear" w:color="000000" w:fill="DBE5F1"/>
            <w:hideMark/>
          </w:tcPr>
          <w:p w:rsidR="00603835" w:rsidRDefault="00C34658">
            <w:pPr>
              <w:spacing w:before="0" w:line="240" w:lineRule="auto"/>
              <w:jc w:val="center"/>
              <w:rPr>
                <w:rFonts w:asciiTheme="minorHAnsi" w:hAnsiTheme="minorHAnsi"/>
                <w:b/>
                <w:sz w:val="22"/>
                <w:szCs w:val="22"/>
                <w:lang w:val="en-US"/>
              </w:rPr>
            </w:pPr>
            <w:r w:rsidRPr="00DB21D8">
              <w:rPr>
                <w:rFonts w:asciiTheme="minorHAnsi" w:hAnsiTheme="minorHAnsi"/>
                <w:b/>
                <w:sz w:val="22"/>
                <w:szCs w:val="22"/>
                <w:lang w:val="en-US"/>
              </w:rPr>
              <w:t>(Rs. / kWh)</w:t>
            </w:r>
          </w:p>
        </w:tc>
        <w:tc>
          <w:tcPr>
            <w:tcW w:w="1126" w:type="dxa"/>
            <w:shd w:val="clear" w:color="000000" w:fill="DBE5F1"/>
            <w:hideMark/>
          </w:tcPr>
          <w:p w:rsidR="00603835" w:rsidRDefault="00C34658">
            <w:pPr>
              <w:spacing w:before="0" w:line="240" w:lineRule="auto"/>
              <w:jc w:val="center"/>
              <w:rPr>
                <w:rFonts w:asciiTheme="minorHAnsi" w:hAnsiTheme="minorHAnsi"/>
                <w:b/>
                <w:sz w:val="22"/>
                <w:szCs w:val="22"/>
                <w:lang w:val="en-US"/>
              </w:rPr>
            </w:pPr>
            <w:r w:rsidRPr="00DB21D8">
              <w:rPr>
                <w:rFonts w:asciiTheme="minorHAnsi" w:hAnsiTheme="minorHAnsi"/>
                <w:b/>
                <w:sz w:val="22"/>
                <w:szCs w:val="22"/>
                <w:lang w:val="en-US"/>
              </w:rPr>
              <w:t>(Rs. Cr.)</w:t>
            </w:r>
          </w:p>
        </w:tc>
        <w:tc>
          <w:tcPr>
            <w:tcW w:w="796" w:type="dxa"/>
            <w:shd w:val="clear" w:color="000000" w:fill="DBE5F1"/>
            <w:hideMark/>
          </w:tcPr>
          <w:p w:rsidR="00603835" w:rsidRDefault="00C34658">
            <w:pPr>
              <w:spacing w:before="0" w:line="240" w:lineRule="auto"/>
              <w:jc w:val="center"/>
              <w:rPr>
                <w:rFonts w:asciiTheme="minorHAnsi" w:hAnsiTheme="minorHAnsi"/>
                <w:b/>
                <w:sz w:val="22"/>
                <w:szCs w:val="22"/>
                <w:lang w:val="en-US"/>
              </w:rPr>
            </w:pPr>
            <w:r w:rsidRPr="00DB21D8">
              <w:rPr>
                <w:rFonts w:asciiTheme="minorHAnsi" w:hAnsiTheme="minorHAnsi"/>
                <w:b/>
                <w:sz w:val="22"/>
                <w:szCs w:val="22"/>
                <w:lang w:val="en-US"/>
              </w:rPr>
              <w:t>(Rs. / kWh)</w:t>
            </w:r>
          </w:p>
        </w:tc>
        <w:tc>
          <w:tcPr>
            <w:tcW w:w="1126" w:type="dxa"/>
            <w:shd w:val="clear" w:color="000000" w:fill="DBE5F1"/>
            <w:hideMark/>
          </w:tcPr>
          <w:p w:rsidR="00603835" w:rsidRDefault="00C34658">
            <w:pPr>
              <w:spacing w:before="0" w:line="240" w:lineRule="auto"/>
              <w:jc w:val="center"/>
              <w:rPr>
                <w:rFonts w:asciiTheme="minorHAnsi" w:hAnsiTheme="minorHAnsi"/>
                <w:b/>
                <w:sz w:val="22"/>
                <w:szCs w:val="22"/>
                <w:lang w:val="en-US"/>
              </w:rPr>
            </w:pPr>
            <w:r w:rsidRPr="00DB21D8">
              <w:rPr>
                <w:rFonts w:asciiTheme="minorHAnsi" w:hAnsiTheme="minorHAnsi"/>
                <w:b/>
                <w:sz w:val="22"/>
                <w:szCs w:val="22"/>
                <w:lang w:val="en-US"/>
              </w:rPr>
              <w:t>(Rs. Cr.)</w:t>
            </w:r>
          </w:p>
        </w:tc>
        <w:tc>
          <w:tcPr>
            <w:tcW w:w="1091" w:type="dxa"/>
            <w:shd w:val="clear" w:color="000000" w:fill="DBE5F1"/>
            <w:hideMark/>
          </w:tcPr>
          <w:p w:rsidR="00603835" w:rsidRDefault="00C34658">
            <w:pPr>
              <w:spacing w:before="0" w:line="240" w:lineRule="auto"/>
              <w:jc w:val="center"/>
              <w:rPr>
                <w:rFonts w:asciiTheme="minorHAnsi" w:hAnsiTheme="minorHAnsi"/>
                <w:b/>
                <w:sz w:val="22"/>
                <w:szCs w:val="22"/>
                <w:lang w:val="en-US"/>
              </w:rPr>
            </w:pPr>
            <w:r w:rsidRPr="00DB21D8">
              <w:rPr>
                <w:rFonts w:asciiTheme="minorHAnsi" w:hAnsiTheme="minorHAnsi"/>
                <w:b/>
                <w:sz w:val="22"/>
                <w:szCs w:val="22"/>
                <w:lang w:val="en-US"/>
              </w:rPr>
              <w:t>(Rs. / kWh)</w:t>
            </w:r>
          </w:p>
        </w:tc>
      </w:tr>
      <w:tr w:rsidR="00C34658" w:rsidRPr="00F43CC9" w:rsidTr="00D55642">
        <w:trPr>
          <w:trHeight w:val="300"/>
          <w:tblHeader/>
        </w:trPr>
        <w:tc>
          <w:tcPr>
            <w:tcW w:w="1419" w:type="dxa"/>
            <w:shd w:val="clear" w:color="auto" w:fill="auto"/>
            <w:noWrap/>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sz w:val="22"/>
                <w:szCs w:val="22"/>
                <w:lang w:val="en-US"/>
              </w:rPr>
              <w:t>NAPP</w:t>
            </w:r>
          </w:p>
        </w:tc>
        <w:tc>
          <w:tcPr>
            <w:tcW w:w="1134"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166.54</w:t>
            </w:r>
          </w:p>
        </w:tc>
        <w:tc>
          <w:tcPr>
            <w:tcW w:w="963"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935.18</w:t>
            </w:r>
          </w:p>
        </w:tc>
        <w:tc>
          <w:tcPr>
            <w:tcW w:w="580"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sz w:val="22"/>
                <w:szCs w:val="22"/>
                <w:lang w:val="en-US"/>
              </w:rPr>
              <w:t>-</w:t>
            </w:r>
          </w:p>
        </w:tc>
        <w:tc>
          <w:tcPr>
            <w:tcW w:w="467"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sz w:val="22"/>
                <w:szCs w:val="22"/>
                <w:lang w:val="en-US"/>
              </w:rPr>
              <w:t>-</w:t>
            </w:r>
          </w:p>
        </w:tc>
        <w:tc>
          <w:tcPr>
            <w:tcW w:w="79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2.59</w:t>
            </w:r>
          </w:p>
        </w:tc>
        <w:tc>
          <w:tcPr>
            <w:tcW w:w="112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242.17</w:t>
            </w:r>
          </w:p>
        </w:tc>
        <w:tc>
          <w:tcPr>
            <w:tcW w:w="79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2.59</w:t>
            </w:r>
          </w:p>
        </w:tc>
        <w:tc>
          <w:tcPr>
            <w:tcW w:w="112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242.17</w:t>
            </w:r>
          </w:p>
        </w:tc>
        <w:tc>
          <w:tcPr>
            <w:tcW w:w="1091"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2.59</w:t>
            </w:r>
          </w:p>
        </w:tc>
      </w:tr>
      <w:tr w:rsidR="00C34658" w:rsidRPr="00F43CC9" w:rsidTr="00D55642">
        <w:trPr>
          <w:trHeight w:val="297"/>
          <w:tblHeader/>
        </w:trPr>
        <w:tc>
          <w:tcPr>
            <w:tcW w:w="1419" w:type="dxa"/>
            <w:shd w:val="clear" w:color="auto" w:fill="auto"/>
            <w:noWrap/>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sz w:val="22"/>
                <w:szCs w:val="22"/>
                <w:lang w:val="en-US"/>
              </w:rPr>
              <w:t>RAPP #3&amp;4</w:t>
            </w:r>
          </w:p>
        </w:tc>
        <w:tc>
          <w:tcPr>
            <w:tcW w:w="1134"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79.67</w:t>
            </w:r>
          </w:p>
        </w:tc>
        <w:tc>
          <w:tcPr>
            <w:tcW w:w="963"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604.04</w:t>
            </w:r>
          </w:p>
        </w:tc>
        <w:tc>
          <w:tcPr>
            <w:tcW w:w="580"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sz w:val="22"/>
                <w:szCs w:val="22"/>
                <w:lang w:val="en-US"/>
              </w:rPr>
              <w:t>-</w:t>
            </w:r>
          </w:p>
        </w:tc>
        <w:tc>
          <w:tcPr>
            <w:tcW w:w="467"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sz w:val="22"/>
                <w:szCs w:val="22"/>
                <w:lang w:val="en-US"/>
              </w:rPr>
              <w:t>-</w:t>
            </w:r>
          </w:p>
        </w:tc>
        <w:tc>
          <w:tcPr>
            <w:tcW w:w="79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3.08</w:t>
            </w:r>
          </w:p>
        </w:tc>
        <w:tc>
          <w:tcPr>
            <w:tcW w:w="112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185.95</w:t>
            </w:r>
          </w:p>
        </w:tc>
        <w:tc>
          <w:tcPr>
            <w:tcW w:w="79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3.08</w:t>
            </w:r>
          </w:p>
        </w:tc>
        <w:tc>
          <w:tcPr>
            <w:tcW w:w="112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185.95</w:t>
            </w:r>
          </w:p>
        </w:tc>
        <w:tc>
          <w:tcPr>
            <w:tcW w:w="1091"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3.08</w:t>
            </w:r>
          </w:p>
        </w:tc>
      </w:tr>
      <w:tr w:rsidR="00C34658" w:rsidRPr="00F43CC9" w:rsidTr="00D55642">
        <w:trPr>
          <w:trHeight w:val="249"/>
          <w:tblHeader/>
        </w:trPr>
        <w:tc>
          <w:tcPr>
            <w:tcW w:w="1419" w:type="dxa"/>
            <w:shd w:val="clear" w:color="auto" w:fill="auto"/>
            <w:noWrap/>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sz w:val="22"/>
                <w:szCs w:val="22"/>
                <w:lang w:val="en-US"/>
              </w:rPr>
              <w:t>RAPP#5&amp;6</w:t>
            </w:r>
          </w:p>
        </w:tc>
        <w:tc>
          <w:tcPr>
            <w:tcW w:w="1134"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115.46</w:t>
            </w:r>
          </w:p>
        </w:tc>
        <w:tc>
          <w:tcPr>
            <w:tcW w:w="963"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799.29</w:t>
            </w:r>
          </w:p>
        </w:tc>
        <w:tc>
          <w:tcPr>
            <w:tcW w:w="580"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sz w:val="22"/>
                <w:szCs w:val="22"/>
                <w:lang w:val="en-US"/>
              </w:rPr>
              <w:t>-</w:t>
            </w:r>
          </w:p>
        </w:tc>
        <w:tc>
          <w:tcPr>
            <w:tcW w:w="467"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sz w:val="22"/>
                <w:szCs w:val="22"/>
                <w:lang w:val="en-US"/>
              </w:rPr>
              <w:t>-</w:t>
            </w:r>
          </w:p>
        </w:tc>
        <w:tc>
          <w:tcPr>
            <w:tcW w:w="79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3.67</w:t>
            </w:r>
          </w:p>
        </w:tc>
        <w:tc>
          <w:tcPr>
            <w:tcW w:w="112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293.43</w:t>
            </w:r>
          </w:p>
        </w:tc>
        <w:tc>
          <w:tcPr>
            <w:tcW w:w="79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3.67</w:t>
            </w:r>
          </w:p>
        </w:tc>
        <w:tc>
          <w:tcPr>
            <w:tcW w:w="112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293.43</w:t>
            </w:r>
          </w:p>
        </w:tc>
        <w:tc>
          <w:tcPr>
            <w:tcW w:w="1091"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3.67</w:t>
            </w:r>
          </w:p>
        </w:tc>
      </w:tr>
      <w:tr w:rsidR="00C34658" w:rsidRPr="00F43CC9" w:rsidTr="00D55642">
        <w:trPr>
          <w:trHeight w:val="273"/>
          <w:tblHeader/>
        </w:trPr>
        <w:tc>
          <w:tcPr>
            <w:tcW w:w="1419" w:type="dxa"/>
            <w:shd w:val="clear" w:color="auto" w:fill="auto"/>
            <w:noWrap/>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sz w:val="22"/>
                <w:szCs w:val="22"/>
                <w:lang w:val="en-US"/>
              </w:rPr>
              <w:t>Total</w:t>
            </w:r>
          </w:p>
        </w:tc>
        <w:tc>
          <w:tcPr>
            <w:tcW w:w="1134"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361.67</w:t>
            </w:r>
          </w:p>
        </w:tc>
        <w:tc>
          <w:tcPr>
            <w:tcW w:w="963"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2338.50</w:t>
            </w:r>
          </w:p>
        </w:tc>
        <w:tc>
          <w:tcPr>
            <w:tcW w:w="580"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 -</w:t>
            </w:r>
          </w:p>
        </w:tc>
        <w:tc>
          <w:tcPr>
            <w:tcW w:w="467"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 -</w:t>
            </w:r>
          </w:p>
        </w:tc>
        <w:tc>
          <w:tcPr>
            <w:tcW w:w="79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3.09</w:t>
            </w:r>
          </w:p>
        </w:tc>
        <w:tc>
          <w:tcPr>
            <w:tcW w:w="112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721.55</w:t>
            </w:r>
          </w:p>
        </w:tc>
        <w:tc>
          <w:tcPr>
            <w:tcW w:w="79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3.09</w:t>
            </w:r>
          </w:p>
        </w:tc>
        <w:tc>
          <w:tcPr>
            <w:tcW w:w="1126"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721.55</w:t>
            </w:r>
          </w:p>
        </w:tc>
        <w:tc>
          <w:tcPr>
            <w:tcW w:w="1091" w:type="dxa"/>
            <w:shd w:val="clear" w:color="auto" w:fill="auto"/>
            <w:hideMark/>
          </w:tcPr>
          <w:p w:rsidR="00C34658" w:rsidRDefault="00C34658" w:rsidP="00D55642">
            <w:pPr>
              <w:spacing w:before="0" w:line="240" w:lineRule="auto"/>
              <w:rPr>
                <w:rFonts w:asciiTheme="minorHAnsi" w:hAnsiTheme="minorHAnsi"/>
                <w:sz w:val="22"/>
                <w:szCs w:val="22"/>
                <w:lang w:val="en-US"/>
              </w:rPr>
            </w:pPr>
            <w:r w:rsidRPr="00DB21D8">
              <w:rPr>
                <w:rFonts w:asciiTheme="minorHAnsi" w:hAnsiTheme="minorHAnsi"/>
                <w:color w:val="000000"/>
                <w:sz w:val="22"/>
                <w:szCs w:val="22"/>
              </w:rPr>
              <w:t>3.09</w:t>
            </w:r>
          </w:p>
        </w:tc>
      </w:tr>
    </w:tbl>
    <w:p w:rsidR="00C34658" w:rsidRPr="00C60AD1" w:rsidRDefault="00C34658" w:rsidP="00C34658">
      <w:pPr>
        <w:spacing w:before="0"/>
      </w:pPr>
    </w:p>
    <w:p w:rsidR="00C34658" w:rsidRPr="00C60AD1" w:rsidRDefault="00C34658" w:rsidP="00C34658">
      <w:pPr>
        <w:pStyle w:val="Heading2"/>
        <w:numPr>
          <w:ilvl w:val="1"/>
          <w:numId w:val="16"/>
        </w:numPr>
      </w:pPr>
      <w:bookmarkStart w:id="643" w:name="_Toc396573829"/>
      <w:bookmarkStart w:id="644" w:name="_Toc399623727"/>
      <w:bookmarkStart w:id="645" w:name="_Toc453367606"/>
      <w:bookmarkStart w:id="646" w:name="_Toc457603943"/>
      <w:r w:rsidRPr="00C60AD1">
        <w:t>POWER PROCUREMENT FROM IPPS / JVs</w:t>
      </w:r>
      <w:bookmarkEnd w:id="643"/>
      <w:bookmarkEnd w:id="644"/>
      <w:bookmarkEnd w:id="645"/>
      <w:bookmarkEnd w:id="646"/>
    </w:p>
    <w:p w:rsidR="00C34658" w:rsidRPr="00C60AD1" w:rsidRDefault="00C34658" w:rsidP="00C34658">
      <w:pPr>
        <w:pStyle w:val="Heading3"/>
        <w:numPr>
          <w:ilvl w:val="0"/>
          <w:numId w:val="0"/>
        </w:numPr>
        <w:ind w:left="90"/>
        <w:rPr>
          <w:b/>
        </w:rPr>
      </w:pPr>
      <w:r w:rsidRPr="00C60AD1">
        <w:rPr>
          <w:b/>
        </w:rPr>
        <w:t>The Licensees’ Submission:</w:t>
      </w:r>
    </w:p>
    <w:p w:rsidR="00D5771F" w:rsidRDefault="00C34658">
      <w:pPr>
        <w:pStyle w:val="Heading3"/>
        <w:tabs>
          <w:tab w:val="clear" w:pos="720"/>
        </w:tabs>
        <w:spacing w:after="240"/>
        <w:ind w:left="993" w:hanging="993"/>
      </w:pPr>
      <w:r w:rsidRPr="00051EF7">
        <w:rPr>
          <w:rFonts w:cs="Calibri"/>
          <w:bCs w:val="0"/>
        </w:rPr>
        <w:t>The cost of power purchase from IPPs within the State has been determined in accordance with UPERC (Terms and Conditions of Generation Tariff) Regulations, 2014 and recently issued Orders by the Commission such as in the case of Lanco, Anpara and Lalitpur thermal power plants. Similarly, the cost of power purchase from IPPs outside the State has been derived from tariffs and power purchase agreement approved by the Commission. The cost of energy from other sources has been derived from the power purchase / banking / trading agreements and tariffs approved by the Central / Appropriate Commissions. Further, wherever the Tariff Orders for FY 2016-17 have not been issued, the base year tariffs i.e., for FY 2014-15 have been escalated by 4% in case of fixed charges (only on O&amp;M Expenses), 6.00% in case of variable charges and 4% for gas based stations.</w:t>
      </w:r>
    </w:p>
    <w:p w:rsidR="00D5771F" w:rsidRDefault="00C34658">
      <w:pPr>
        <w:pStyle w:val="Heading3"/>
        <w:tabs>
          <w:tab w:val="clear" w:pos="720"/>
        </w:tabs>
        <w:spacing w:after="240"/>
        <w:ind w:left="993" w:hanging="993"/>
      </w:pPr>
      <w:r w:rsidRPr="00C60AD1">
        <w:t xml:space="preserve">The assumptions considered by the Licensees while estimating the power purchase from the IPPs and Joint Ventures (JVs) for FY </w:t>
      </w:r>
      <w:r>
        <w:t>2016-17</w:t>
      </w:r>
      <w:r w:rsidRPr="00C60AD1">
        <w:t xml:space="preserve"> is provided in the Table below:</w:t>
      </w:r>
    </w:p>
    <w:p w:rsidR="00C34658" w:rsidRPr="00C60AD1" w:rsidRDefault="00C34658" w:rsidP="00C34658">
      <w:pPr>
        <w:spacing w:before="0"/>
        <w:jc w:val="center"/>
        <w:rPr>
          <w:rFonts w:cs="Calibri"/>
          <w:b/>
          <w:sz w:val="22"/>
          <w:szCs w:val="22"/>
          <w:lang w:val="en-US"/>
        </w:rPr>
      </w:pPr>
      <w:bookmarkStart w:id="647" w:name="_Toc357719721"/>
      <w:bookmarkStart w:id="648" w:name="_Toc395657953"/>
      <w:bookmarkStart w:id="649" w:name="_Toc396574004"/>
      <w:bookmarkStart w:id="650" w:name="_Toc399624105"/>
      <w:bookmarkStart w:id="651" w:name="_Toc453367683"/>
      <w:bookmarkStart w:id="652" w:name="_Toc457604054"/>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38</w:t>
      </w:r>
      <w:r w:rsidR="009741CA" w:rsidRPr="00C60AD1">
        <w:rPr>
          <w:rFonts w:cs="Calibri"/>
          <w:b/>
          <w:sz w:val="22"/>
          <w:szCs w:val="22"/>
          <w:lang w:val="en-US"/>
        </w:rPr>
        <w:fldChar w:fldCharType="end"/>
      </w:r>
      <w:r w:rsidRPr="00C60AD1">
        <w:rPr>
          <w:rFonts w:cs="Calibri"/>
          <w:b/>
          <w:sz w:val="22"/>
          <w:szCs w:val="22"/>
          <w:lang w:val="en-US"/>
        </w:rPr>
        <w:t xml:space="preserve">: ASSUMPTIONS FOR POWER PURCHASE FROM IPPS / JVs </w:t>
      </w:r>
      <w:bookmarkEnd w:id="647"/>
      <w:r w:rsidRPr="00C60AD1">
        <w:rPr>
          <w:rFonts w:cs="Calibri"/>
          <w:b/>
          <w:sz w:val="22"/>
          <w:szCs w:val="22"/>
          <w:lang w:val="en-US"/>
        </w:rPr>
        <w:t>AS CONSIDERED BY THE DISTRIBUTION LICENSEES</w:t>
      </w:r>
      <w:bookmarkEnd w:id="648"/>
      <w:bookmarkEnd w:id="649"/>
      <w:bookmarkEnd w:id="650"/>
      <w:bookmarkEnd w:id="651"/>
      <w:bookmarkEnd w:id="652"/>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099"/>
        <w:gridCol w:w="1909"/>
        <w:gridCol w:w="5877"/>
      </w:tblGrid>
      <w:tr w:rsidR="00C34658" w:rsidRPr="00641F09" w:rsidTr="00D55642">
        <w:trPr>
          <w:tblHeader/>
          <w:jc w:val="center"/>
        </w:trPr>
        <w:tc>
          <w:tcPr>
            <w:tcW w:w="1099"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S. No.</w:t>
            </w:r>
          </w:p>
        </w:tc>
        <w:tc>
          <w:tcPr>
            <w:tcW w:w="1909"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Particulars</w:t>
            </w:r>
          </w:p>
        </w:tc>
        <w:tc>
          <w:tcPr>
            <w:tcW w:w="5877" w:type="dxa"/>
            <w:shd w:val="clear" w:color="auto" w:fill="DBE5F1"/>
            <w:vAlign w:val="center"/>
          </w:tcPr>
          <w:p w:rsidR="00C34658" w:rsidRDefault="00C34658" w:rsidP="00D55642">
            <w:pPr>
              <w:spacing w:before="0" w:line="240" w:lineRule="auto"/>
              <w:jc w:val="center"/>
              <w:rPr>
                <w:b/>
                <w:sz w:val="22"/>
                <w:szCs w:val="22"/>
              </w:rPr>
            </w:pPr>
            <w:r w:rsidRPr="00DB21D8">
              <w:rPr>
                <w:b/>
                <w:sz w:val="22"/>
                <w:szCs w:val="22"/>
              </w:rPr>
              <w:t>Assumption</w:t>
            </w:r>
          </w:p>
        </w:tc>
      </w:tr>
      <w:tr w:rsidR="00C34658" w:rsidRPr="00641F09" w:rsidTr="00D55642">
        <w:trPr>
          <w:jc w:val="center"/>
        </w:trPr>
        <w:tc>
          <w:tcPr>
            <w:tcW w:w="1099" w:type="dxa"/>
          </w:tcPr>
          <w:p w:rsidR="00C34658" w:rsidRPr="00FA7B1E" w:rsidRDefault="00C34658" w:rsidP="00D55642">
            <w:pPr>
              <w:spacing w:before="0" w:line="240" w:lineRule="auto"/>
              <w:jc w:val="center"/>
              <w:rPr>
                <w:rFonts w:asciiTheme="minorHAnsi" w:hAnsiTheme="minorHAnsi"/>
                <w:sz w:val="22"/>
                <w:szCs w:val="22"/>
                <w:lang w:val="en-US"/>
              </w:rPr>
            </w:pPr>
            <w:r w:rsidRPr="00FA7B1E">
              <w:rPr>
                <w:rFonts w:asciiTheme="minorHAnsi" w:hAnsiTheme="minorHAnsi"/>
                <w:sz w:val="22"/>
                <w:szCs w:val="22"/>
                <w:lang w:val="en-US"/>
              </w:rPr>
              <w:t>1</w:t>
            </w:r>
          </w:p>
        </w:tc>
        <w:tc>
          <w:tcPr>
            <w:tcW w:w="1909" w:type="dxa"/>
          </w:tcPr>
          <w:p w:rsidR="00C34658" w:rsidRPr="00FA7B1E" w:rsidRDefault="00C34658" w:rsidP="00D55642">
            <w:pPr>
              <w:spacing w:before="0" w:line="240" w:lineRule="auto"/>
              <w:rPr>
                <w:rFonts w:asciiTheme="minorHAnsi" w:hAnsiTheme="minorHAnsi"/>
                <w:sz w:val="22"/>
                <w:szCs w:val="22"/>
                <w:lang w:val="en-US"/>
              </w:rPr>
            </w:pPr>
            <w:r w:rsidRPr="00FA7B1E">
              <w:rPr>
                <w:rFonts w:asciiTheme="minorHAnsi" w:hAnsiTheme="minorHAnsi"/>
                <w:sz w:val="22"/>
                <w:szCs w:val="22"/>
                <w:lang w:val="en-US"/>
              </w:rPr>
              <w:t>Power Purchase Quantum</w:t>
            </w:r>
          </w:p>
        </w:tc>
        <w:tc>
          <w:tcPr>
            <w:tcW w:w="5877" w:type="dxa"/>
            <w:vAlign w:val="center"/>
          </w:tcPr>
          <w:p w:rsidR="00C34658" w:rsidRDefault="00C34658" w:rsidP="00D55642">
            <w:pPr>
              <w:spacing w:before="0"/>
              <w:rPr>
                <w:rFonts w:cs="Calibri"/>
                <w:sz w:val="22"/>
                <w:szCs w:val="22"/>
                <w:lang w:eastAsia="en-IN"/>
              </w:rPr>
            </w:pPr>
            <w:r w:rsidRPr="00DB21D8">
              <w:rPr>
                <w:rFonts w:cs="Calibri"/>
                <w:sz w:val="22"/>
                <w:szCs w:val="22"/>
              </w:rPr>
              <w:t xml:space="preserve">Net Power Purchase Quantum is derived as a product of respective power plants’ MW capacity, capacity factor and UP State's share in respective power plant. </w:t>
            </w:r>
          </w:p>
        </w:tc>
      </w:tr>
      <w:tr w:rsidR="00C34658" w:rsidRPr="00641F09" w:rsidTr="00D55642">
        <w:trPr>
          <w:trHeight w:val="83"/>
          <w:jc w:val="center"/>
        </w:trPr>
        <w:tc>
          <w:tcPr>
            <w:tcW w:w="1099" w:type="dxa"/>
          </w:tcPr>
          <w:p w:rsidR="00C34658" w:rsidRPr="00FA7B1E" w:rsidRDefault="00C34658" w:rsidP="00D55642">
            <w:pPr>
              <w:spacing w:before="0" w:line="240" w:lineRule="auto"/>
              <w:jc w:val="center"/>
              <w:rPr>
                <w:rFonts w:asciiTheme="minorHAnsi" w:hAnsiTheme="minorHAnsi"/>
                <w:sz w:val="22"/>
                <w:szCs w:val="22"/>
                <w:lang w:val="en-US"/>
              </w:rPr>
            </w:pPr>
            <w:r w:rsidRPr="00FA7B1E">
              <w:rPr>
                <w:rFonts w:asciiTheme="minorHAnsi" w:hAnsiTheme="minorHAnsi"/>
                <w:sz w:val="22"/>
                <w:szCs w:val="22"/>
                <w:lang w:val="en-US"/>
              </w:rPr>
              <w:t>2</w:t>
            </w:r>
          </w:p>
        </w:tc>
        <w:tc>
          <w:tcPr>
            <w:tcW w:w="1909" w:type="dxa"/>
          </w:tcPr>
          <w:p w:rsidR="00C34658" w:rsidRPr="00FA7B1E" w:rsidRDefault="00C34658" w:rsidP="00D55642">
            <w:pPr>
              <w:spacing w:before="0" w:line="240" w:lineRule="auto"/>
              <w:rPr>
                <w:rFonts w:asciiTheme="minorHAnsi" w:hAnsiTheme="minorHAnsi"/>
                <w:sz w:val="22"/>
                <w:szCs w:val="22"/>
                <w:lang w:val="en-US"/>
              </w:rPr>
            </w:pPr>
            <w:r w:rsidRPr="00FA7B1E">
              <w:rPr>
                <w:rFonts w:asciiTheme="minorHAnsi" w:hAnsiTheme="minorHAnsi"/>
                <w:sz w:val="22"/>
                <w:szCs w:val="22"/>
                <w:lang w:val="en-US"/>
              </w:rPr>
              <w:t xml:space="preserve">Tariff (Single part &amp; Two part) </w:t>
            </w:r>
          </w:p>
        </w:tc>
        <w:tc>
          <w:tcPr>
            <w:tcW w:w="5877" w:type="dxa"/>
            <w:vAlign w:val="center"/>
          </w:tcPr>
          <w:p w:rsidR="00C34658" w:rsidRDefault="00C34658" w:rsidP="00D55642">
            <w:pPr>
              <w:spacing w:before="0"/>
              <w:rPr>
                <w:rFonts w:cs="Calibri"/>
                <w:bCs/>
                <w:sz w:val="22"/>
                <w:szCs w:val="22"/>
              </w:rPr>
            </w:pPr>
            <w:r w:rsidRPr="00DB21D8">
              <w:rPr>
                <w:rFonts w:cs="Calibri"/>
                <w:sz w:val="22"/>
                <w:szCs w:val="22"/>
                <w:lang w:val="en-IN" w:eastAsia="en-IN"/>
              </w:rPr>
              <w:t>Variable cost is considered as per the recent energy bills raised for the period April to September, 2014</w:t>
            </w:r>
          </w:p>
        </w:tc>
      </w:tr>
    </w:tbl>
    <w:p w:rsidR="00C34658" w:rsidRPr="00C60AD1" w:rsidRDefault="00C34658" w:rsidP="00C34658">
      <w:pPr>
        <w:spacing w:before="0"/>
        <w:outlineLvl w:val="3"/>
        <w:rPr>
          <w:bCs/>
          <w:szCs w:val="28"/>
        </w:rPr>
      </w:pPr>
    </w:p>
    <w:p w:rsidR="00D5771F" w:rsidRDefault="00C34658">
      <w:pPr>
        <w:pStyle w:val="Heading3"/>
        <w:tabs>
          <w:tab w:val="clear" w:pos="720"/>
        </w:tabs>
        <w:spacing w:after="240"/>
        <w:ind w:left="993" w:hanging="993"/>
      </w:pPr>
      <w:r>
        <w:t xml:space="preserve">The Petitioner has submitted that for </w:t>
      </w:r>
      <w:r w:rsidRPr="00641F09">
        <w:t>Lalitpur</w:t>
      </w:r>
      <w:r>
        <w:t>thermal Power Plant</w:t>
      </w:r>
      <w:r w:rsidRPr="00641F09">
        <w:t xml:space="preserve">, the capacity and energy charges have been considered as per the UPERC Order dated </w:t>
      </w:r>
      <w:r>
        <w:t xml:space="preserve">November 27, </w:t>
      </w:r>
      <w:r w:rsidRPr="00641F09">
        <w:t xml:space="preserve">2015 in Petition No. 975/2014 and 2017/2015 in respect of approval of capital cost and fixation of provisional tariff. </w:t>
      </w:r>
    </w:p>
    <w:p w:rsidR="00C34658" w:rsidRDefault="00C34658" w:rsidP="00C34658">
      <w:pPr>
        <w:pStyle w:val="Heading3"/>
        <w:numPr>
          <w:ilvl w:val="0"/>
          <w:numId w:val="0"/>
        </w:numPr>
        <w:tabs>
          <w:tab w:val="clear" w:pos="720"/>
        </w:tabs>
        <w:spacing w:after="240"/>
        <w:ind w:left="993"/>
      </w:pPr>
      <w:r w:rsidRPr="00641F09">
        <w:t xml:space="preserve">Further, in consideration of the UPERC Order dated </w:t>
      </w:r>
      <w:r>
        <w:t>November 23, 2015</w:t>
      </w:r>
      <w:r w:rsidRPr="00641F09">
        <w:t xml:space="preserve"> in Petition No. 871 and 891 of 2013 of Lanco</w:t>
      </w:r>
      <w:r>
        <w:t>,</w:t>
      </w:r>
      <w:r w:rsidR="00AA3DF1">
        <w:t xml:space="preserve"> </w:t>
      </w:r>
      <w:r w:rsidRPr="00641F09">
        <w:t>A</w:t>
      </w:r>
      <w:r>
        <w:t>npara, an amount of Rs. 499.58 C</w:t>
      </w:r>
      <w:r w:rsidRPr="00641F09">
        <w:t>rore has to be paid by UPPCL in 12 equal monthly instalments starting January 2016. The Commission has also allowed compensatory tariff for sustainability of the project @ Rs. 0.226/kWh. Accordingly, the Petitioner has made such provisions in the projected power purchase from Lanco</w:t>
      </w:r>
      <w:r>
        <w:t>,</w:t>
      </w:r>
      <w:r w:rsidR="00AA3DF1">
        <w:t xml:space="preserve"> </w:t>
      </w:r>
      <w:r w:rsidRPr="00641F09">
        <w:t>Anpara in FY 2015-16 and 2016-17.</w:t>
      </w:r>
    </w:p>
    <w:p w:rsidR="00D5771F" w:rsidRDefault="00C34658">
      <w:pPr>
        <w:pStyle w:val="Heading3"/>
        <w:tabs>
          <w:tab w:val="clear" w:pos="720"/>
        </w:tabs>
        <w:spacing w:after="240"/>
        <w:ind w:left="993" w:hanging="993"/>
      </w:pPr>
      <w:r w:rsidRPr="00C60AD1">
        <w:t xml:space="preserve">The summary of power purchase quantum and cost estimated by Distribution Licensees for FY </w:t>
      </w:r>
      <w:r>
        <w:t>2016-17</w:t>
      </w:r>
      <w:r w:rsidRPr="00C60AD1">
        <w:t xml:space="preserve"> from IPP / JVs are provided in the Table below:</w:t>
      </w:r>
    </w:p>
    <w:p w:rsidR="00C34658" w:rsidRPr="00C60AD1" w:rsidRDefault="00C34658" w:rsidP="00C34658">
      <w:pPr>
        <w:spacing w:before="0"/>
        <w:jc w:val="center"/>
        <w:rPr>
          <w:rFonts w:cs="Calibri"/>
          <w:b/>
          <w:sz w:val="22"/>
          <w:szCs w:val="22"/>
          <w:lang w:val="en-US"/>
        </w:rPr>
      </w:pPr>
      <w:bookmarkStart w:id="653" w:name="_Toc395657954"/>
      <w:bookmarkStart w:id="654" w:name="_Toc396574005"/>
      <w:bookmarkStart w:id="655" w:name="_Toc399624106"/>
      <w:bookmarkStart w:id="656" w:name="_Toc453367684"/>
      <w:bookmarkStart w:id="657" w:name="_Toc457604055"/>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39</w:t>
      </w:r>
      <w:r w:rsidR="009741CA" w:rsidRPr="00C60AD1">
        <w:rPr>
          <w:rFonts w:cs="Calibri"/>
          <w:b/>
          <w:sz w:val="22"/>
          <w:szCs w:val="22"/>
          <w:lang w:val="en-US"/>
        </w:rPr>
        <w:fldChar w:fldCharType="end"/>
      </w:r>
      <w:r w:rsidRPr="00C60AD1">
        <w:rPr>
          <w:rFonts w:cs="Calibri"/>
          <w:b/>
          <w:sz w:val="22"/>
          <w:szCs w:val="22"/>
          <w:lang w:val="en-US"/>
        </w:rPr>
        <w:t>: DETAILS OF POWER PURCHASE COST FROM IPPS / JVs STATIONS FOR FY</w:t>
      </w:r>
      <w:r>
        <w:rPr>
          <w:rFonts w:cs="Calibri"/>
          <w:b/>
          <w:sz w:val="22"/>
          <w:szCs w:val="22"/>
          <w:lang w:val="en-US"/>
        </w:rPr>
        <w:t>2016-17</w:t>
      </w:r>
      <w:r w:rsidRPr="00C60AD1">
        <w:rPr>
          <w:rFonts w:cs="Calibri"/>
          <w:b/>
          <w:sz w:val="22"/>
          <w:szCs w:val="22"/>
          <w:lang w:val="en-US"/>
        </w:rPr>
        <w:t xml:space="preserve"> AS SUBMITTED BY DISTRIBUTION LICENSEES</w:t>
      </w:r>
      <w:bookmarkEnd w:id="653"/>
      <w:bookmarkEnd w:id="654"/>
      <w:bookmarkEnd w:id="655"/>
      <w:bookmarkEnd w:id="656"/>
      <w:bookmarkEnd w:id="657"/>
    </w:p>
    <w:tbl>
      <w:tblPr>
        <w:tblW w:w="102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885"/>
        <w:gridCol w:w="810"/>
        <w:gridCol w:w="868"/>
        <w:gridCol w:w="842"/>
        <w:gridCol w:w="1080"/>
        <w:gridCol w:w="810"/>
        <w:gridCol w:w="1080"/>
        <w:gridCol w:w="810"/>
        <w:gridCol w:w="1080"/>
        <w:gridCol w:w="990"/>
      </w:tblGrid>
      <w:tr w:rsidR="00C34658" w:rsidRPr="006B5389" w:rsidTr="008334E8">
        <w:trPr>
          <w:trHeight w:val="600"/>
          <w:tblHeader/>
          <w:jc w:val="center"/>
        </w:trPr>
        <w:tc>
          <w:tcPr>
            <w:tcW w:w="1885" w:type="dxa"/>
            <w:vMerge w:val="restart"/>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Source of Power</w:t>
            </w:r>
          </w:p>
        </w:tc>
        <w:tc>
          <w:tcPr>
            <w:tcW w:w="810" w:type="dxa"/>
            <w:vMerge w:val="restart"/>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MW Available</w:t>
            </w:r>
          </w:p>
        </w:tc>
        <w:tc>
          <w:tcPr>
            <w:tcW w:w="868" w:type="dxa"/>
            <w:vMerge w:val="restart"/>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MU</w:t>
            </w:r>
          </w:p>
        </w:tc>
        <w:tc>
          <w:tcPr>
            <w:tcW w:w="1922" w:type="dxa"/>
            <w:gridSpan w:val="2"/>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Fixed Cost</w:t>
            </w:r>
          </w:p>
        </w:tc>
        <w:tc>
          <w:tcPr>
            <w:tcW w:w="1890" w:type="dxa"/>
            <w:gridSpan w:val="2"/>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Variable Cost</w:t>
            </w:r>
          </w:p>
        </w:tc>
        <w:tc>
          <w:tcPr>
            <w:tcW w:w="1890" w:type="dxa"/>
            <w:gridSpan w:val="2"/>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Total Cost</w:t>
            </w:r>
          </w:p>
        </w:tc>
        <w:tc>
          <w:tcPr>
            <w:tcW w:w="99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Average Cost</w:t>
            </w:r>
          </w:p>
        </w:tc>
      </w:tr>
      <w:tr w:rsidR="00C34658" w:rsidRPr="006B5389" w:rsidTr="008334E8">
        <w:trPr>
          <w:trHeight w:val="600"/>
          <w:tblHeader/>
          <w:jc w:val="center"/>
        </w:trPr>
        <w:tc>
          <w:tcPr>
            <w:tcW w:w="1885" w:type="dxa"/>
            <w:vMerge/>
            <w:hideMark/>
          </w:tcPr>
          <w:p w:rsidR="00337C98" w:rsidRDefault="00337C98" w:rsidP="00337C98">
            <w:pPr>
              <w:spacing w:before="0" w:line="240" w:lineRule="auto"/>
              <w:jc w:val="center"/>
              <w:rPr>
                <w:rFonts w:asciiTheme="minorHAnsi" w:hAnsiTheme="minorHAnsi" w:cs="Calibri"/>
                <w:b/>
                <w:bCs/>
                <w:sz w:val="22"/>
                <w:szCs w:val="22"/>
                <w:lang w:val="en-IN" w:eastAsia="en-IN"/>
              </w:rPr>
            </w:pPr>
          </w:p>
        </w:tc>
        <w:tc>
          <w:tcPr>
            <w:tcW w:w="810" w:type="dxa"/>
            <w:vMerge/>
            <w:hideMark/>
          </w:tcPr>
          <w:p w:rsidR="00603835" w:rsidRDefault="00603835">
            <w:pPr>
              <w:spacing w:before="0" w:line="240" w:lineRule="auto"/>
              <w:jc w:val="center"/>
              <w:rPr>
                <w:rFonts w:asciiTheme="minorHAnsi" w:hAnsiTheme="minorHAnsi" w:cs="Calibri"/>
                <w:b/>
                <w:bCs/>
                <w:sz w:val="22"/>
                <w:szCs w:val="22"/>
                <w:lang w:val="en-IN" w:eastAsia="en-IN"/>
              </w:rPr>
            </w:pPr>
          </w:p>
        </w:tc>
        <w:tc>
          <w:tcPr>
            <w:tcW w:w="868" w:type="dxa"/>
            <w:vMerge/>
            <w:hideMark/>
          </w:tcPr>
          <w:p w:rsidR="00603835" w:rsidRDefault="00603835">
            <w:pPr>
              <w:spacing w:before="0" w:line="240" w:lineRule="auto"/>
              <w:jc w:val="center"/>
              <w:rPr>
                <w:rFonts w:asciiTheme="minorHAnsi" w:hAnsiTheme="minorHAnsi" w:cs="Calibri"/>
                <w:b/>
                <w:bCs/>
                <w:sz w:val="22"/>
                <w:szCs w:val="22"/>
                <w:lang w:val="en-IN" w:eastAsia="en-IN"/>
              </w:rPr>
            </w:pPr>
          </w:p>
        </w:tc>
        <w:tc>
          <w:tcPr>
            <w:tcW w:w="842"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108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81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108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81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c>
          <w:tcPr>
            <w:tcW w:w="108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Cr.)</w:t>
            </w:r>
          </w:p>
        </w:tc>
        <w:tc>
          <w:tcPr>
            <w:tcW w:w="990" w:type="dxa"/>
            <w:shd w:val="clear" w:color="000000" w:fill="DBE5F1"/>
            <w:hideMark/>
          </w:tcPr>
          <w:p w:rsidR="00603835" w:rsidRDefault="00C34658">
            <w:pPr>
              <w:spacing w:before="0" w:line="240" w:lineRule="auto"/>
              <w:jc w:val="center"/>
              <w:rPr>
                <w:rFonts w:asciiTheme="minorHAnsi" w:hAnsiTheme="minorHAnsi" w:cs="Calibri"/>
                <w:b/>
                <w:bCs/>
                <w:sz w:val="22"/>
                <w:szCs w:val="22"/>
                <w:lang w:val="en-IN" w:eastAsia="en-IN"/>
              </w:rPr>
            </w:pPr>
            <w:r w:rsidRPr="00DB21D8">
              <w:rPr>
                <w:rFonts w:asciiTheme="minorHAnsi" w:hAnsiTheme="minorHAnsi" w:cs="Calibri"/>
                <w:b/>
                <w:bCs/>
                <w:sz w:val="22"/>
                <w:szCs w:val="22"/>
                <w:lang w:val="en-IN" w:eastAsia="en-IN"/>
              </w:rPr>
              <w:t>(Rs. / kWh)</w:t>
            </w:r>
          </w:p>
        </w:tc>
      </w:tr>
      <w:tr w:rsidR="00C34658" w:rsidRPr="006B5389" w:rsidTr="00D55642">
        <w:trPr>
          <w:trHeight w:val="6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NATHPA JHAKRI HPS</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287</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1383</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1.60</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221.43</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1.51</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208.85</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3.11</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430.28</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3.11</w:t>
            </w:r>
          </w:p>
        </w:tc>
      </w:tr>
      <w:tr w:rsidR="00C34658" w:rsidRPr="006B5389" w:rsidTr="00D55642">
        <w:trPr>
          <w:trHeight w:val="3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TALA POWER</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45</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181</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2.22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40.15</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2.22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40.15</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2.22</w:t>
            </w:r>
          </w:p>
        </w:tc>
      </w:tr>
      <w:tr w:rsidR="00C34658" w:rsidRPr="006B5389" w:rsidTr="00D55642">
        <w:trPr>
          <w:trHeight w:val="3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Koteshwar</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173</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569</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2.02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114.76</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1.87</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106.53</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3.89</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221.29</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3.89</w:t>
            </w:r>
          </w:p>
        </w:tc>
      </w:tr>
      <w:tr w:rsidR="00C34658" w:rsidRPr="006B5389" w:rsidTr="00D55642">
        <w:trPr>
          <w:trHeight w:val="3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Srinagar</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290</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519</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4.16</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215.75</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4.16</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215.75</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4.16</w:t>
            </w:r>
          </w:p>
        </w:tc>
      </w:tr>
      <w:tr w:rsidR="00C34658" w:rsidRPr="006B5389" w:rsidTr="00D55642">
        <w:trPr>
          <w:trHeight w:val="3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Sasan</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495</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2081</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0.27</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55.81</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1.20</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248.87</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1.46</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304.68</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1.46</w:t>
            </w:r>
          </w:p>
        </w:tc>
      </w:tr>
      <w:tr w:rsidR="00C34658" w:rsidRPr="006B5389" w:rsidTr="00D55642">
        <w:trPr>
          <w:trHeight w:val="3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Case-1</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2175</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10186</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2.19</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2,227.21</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1.52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1,552.96</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3.71</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3,780.18</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3.71</w:t>
            </w:r>
          </w:p>
        </w:tc>
      </w:tr>
      <w:tr w:rsidR="00C34658" w:rsidRPr="006B5389" w:rsidTr="00D55642">
        <w:trPr>
          <w:trHeight w:val="6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Karcham-Wangtoo</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200</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158</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3.12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49.20</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3.12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49.20</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3.12</w:t>
            </w:r>
          </w:p>
        </w:tc>
      </w:tr>
      <w:tr w:rsidR="00C34658" w:rsidRPr="006B5389" w:rsidTr="00D55642">
        <w:trPr>
          <w:trHeight w:val="345"/>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VISHNUPRAYAG</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352</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1623</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0.92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149.01</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1.30</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211.74</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2.22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360.75</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2.22</w:t>
            </w:r>
          </w:p>
        </w:tc>
      </w:tr>
      <w:tr w:rsidR="00C34658" w:rsidRPr="006B5389" w:rsidTr="00D55642">
        <w:trPr>
          <w:trHeight w:val="3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TEHRI STAGE-I</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418</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1809</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1.88</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339.75</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3.56</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644.32</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5.44</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984.07</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5.44</w:t>
            </w:r>
          </w:p>
        </w:tc>
      </w:tr>
      <w:tr w:rsidR="00C34658" w:rsidRPr="006B5389" w:rsidTr="00D55642">
        <w:trPr>
          <w:trHeight w:val="6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Rosa Power Project</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600</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3946</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1.75</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689.24</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3.72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1,469.15</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5.47</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2,158.39</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5.47</w:t>
            </w:r>
          </w:p>
        </w:tc>
      </w:tr>
      <w:tr w:rsidR="00C34658" w:rsidRPr="006B5389" w:rsidTr="00D55642">
        <w:trPr>
          <w:trHeight w:val="6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Rosa Power Project</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600</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3946</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1.75</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689.24</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3.75</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1,481.46</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5.50</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2,170.70</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5.50</w:t>
            </w:r>
          </w:p>
        </w:tc>
      </w:tr>
      <w:tr w:rsidR="00C34658" w:rsidRPr="006B5389" w:rsidTr="00D55642">
        <w:trPr>
          <w:trHeight w:val="3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Bara</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1782</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7395</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1.18</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873.91</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3.14</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2,322.74</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4.32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3,196.66</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4.32</w:t>
            </w:r>
          </w:p>
        </w:tc>
      </w:tr>
      <w:tr w:rsidR="00C34658" w:rsidRPr="006B5389" w:rsidTr="00D55642">
        <w:trPr>
          <w:trHeight w:val="3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Anpara 'C'</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1100</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7015</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1.77</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1,240.75</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2.58</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1,809.31</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4.35</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3,050.06</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4.35</w:t>
            </w:r>
          </w:p>
        </w:tc>
      </w:tr>
      <w:tr w:rsidR="00C34658" w:rsidRPr="006B5389" w:rsidTr="00D55642">
        <w:trPr>
          <w:trHeight w:val="313"/>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lastRenderedPageBreak/>
              <w:t>IGSTPP, Jhajhjhar</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51</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354</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1.61</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56.95</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4.36</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154.48</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5.97</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211.43</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5.97</w:t>
            </w:r>
          </w:p>
        </w:tc>
      </w:tr>
      <w:tr w:rsidR="00C34658" w:rsidRPr="006B5389" w:rsidTr="00D55642">
        <w:trPr>
          <w:trHeight w:val="275"/>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Bajaj Hindusthan</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450</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2807</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2.25</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631.53</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4.57</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1,281.43</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6.82</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1,912.96</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6.82</w:t>
            </w:r>
          </w:p>
        </w:tc>
      </w:tr>
      <w:tr w:rsidR="00C34658" w:rsidRPr="006B5389" w:rsidTr="00D55642">
        <w:trPr>
          <w:trHeight w:val="3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sz w:val="22"/>
                <w:szCs w:val="22"/>
                <w:lang w:val="en-IN" w:eastAsia="en-IN"/>
              </w:rPr>
            </w:pPr>
            <w:r w:rsidRPr="00DB21D8">
              <w:rPr>
                <w:rFonts w:asciiTheme="minorHAnsi" w:hAnsiTheme="minorHAnsi"/>
                <w:sz w:val="22"/>
                <w:szCs w:val="22"/>
              </w:rPr>
              <w:t>Lalitpur</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1782</w:t>
            </w:r>
          </w:p>
        </w:tc>
        <w:tc>
          <w:tcPr>
            <w:tcW w:w="868"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10108</w:t>
            </w:r>
          </w:p>
        </w:tc>
        <w:tc>
          <w:tcPr>
            <w:tcW w:w="842"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1.88</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1,900.24</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2.95</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2,981.77</w:t>
            </w:r>
          </w:p>
        </w:tc>
        <w:tc>
          <w:tcPr>
            <w:tcW w:w="81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4.83</w:t>
            </w:r>
          </w:p>
        </w:tc>
        <w:tc>
          <w:tcPr>
            <w:tcW w:w="108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4,882.01</w:t>
            </w:r>
          </w:p>
        </w:tc>
        <w:tc>
          <w:tcPr>
            <w:tcW w:w="990" w:type="dxa"/>
            <w:shd w:val="clear" w:color="auto" w:fill="auto"/>
            <w:hideMark/>
          </w:tcPr>
          <w:p w:rsidR="00C34658" w:rsidRDefault="00C34658" w:rsidP="00D55642">
            <w:pPr>
              <w:spacing w:before="0" w:line="240" w:lineRule="auto"/>
              <w:jc w:val="right"/>
              <w:rPr>
                <w:rFonts w:asciiTheme="minorHAnsi" w:hAnsiTheme="minorHAnsi" w:cs="Calibri"/>
                <w:sz w:val="22"/>
                <w:szCs w:val="22"/>
                <w:lang w:val="en-IN" w:eastAsia="en-IN"/>
              </w:rPr>
            </w:pPr>
            <w:r w:rsidRPr="00DB21D8">
              <w:rPr>
                <w:rFonts w:asciiTheme="minorHAnsi" w:hAnsiTheme="minorHAnsi"/>
                <w:sz w:val="22"/>
                <w:szCs w:val="22"/>
              </w:rPr>
              <w:t>4.83</w:t>
            </w:r>
          </w:p>
        </w:tc>
      </w:tr>
      <w:tr w:rsidR="00C34658" w:rsidRPr="006B5389" w:rsidTr="00D55642">
        <w:trPr>
          <w:trHeight w:val="300"/>
          <w:jc w:val="center"/>
        </w:trPr>
        <w:tc>
          <w:tcPr>
            <w:tcW w:w="1885" w:type="dxa"/>
            <w:shd w:val="clear" w:color="auto" w:fill="auto"/>
            <w:hideMark/>
          </w:tcPr>
          <w:p w:rsidR="00C34658" w:rsidRDefault="00C34658" w:rsidP="00D55642">
            <w:pPr>
              <w:spacing w:before="0" w:line="240" w:lineRule="auto"/>
              <w:jc w:val="left"/>
              <w:rPr>
                <w:rFonts w:asciiTheme="minorHAnsi" w:hAnsiTheme="minorHAnsi" w:cs="Calibri"/>
                <w:b/>
                <w:bCs/>
                <w:sz w:val="22"/>
                <w:szCs w:val="22"/>
                <w:lang w:val="en-IN" w:eastAsia="en-IN"/>
              </w:rPr>
            </w:pPr>
            <w:r w:rsidRPr="00DB21D8">
              <w:rPr>
                <w:rFonts w:asciiTheme="minorHAnsi" w:hAnsiTheme="minorHAnsi"/>
                <w:b/>
                <w:bCs/>
                <w:sz w:val="22"/>
                <w:szCs w:val="22"/>
              </w:rPr>
              <w:t>Total</w:t>
            </w:r>
          </w:p>
        </w:tc>
        <w:tc>
          <w:tcPr>
            <w:tcW w:w="81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10799</w:t>
            </w:r>
          </w:p>
        </w:tc>
        <w:tc>
          <w:tcPr>
            <w:tcW w:w="868"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54080</w:t>
            </w:r>
          </w:p>
        </w:tc>
        <w:tc>
          <w:tcPr>
            <w:tcW w:w="842"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p>
        </w:tc>
        <w:tc>
          <w:tcPr>
            <w:tcW w:w="108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9190</w:t>
            </w:r>
          </w:p>
        </w:tc>
        <w:tc>
          <w:tcPr>
            <w:tcW w:w="81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p>
        </w:tc>
        <w:tc>
          <w:tcPr>
            <w:tcW w:w="108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14779</w:t>
            </w:r>
          </w:p>
        </w:tc>
        <w:tc>
          <w:tcPr>
            <w:tcW w:w="81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p>
        </w:tc>
        <w:tc>
          <w:tcPr>
            <w:tcW w:w="108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23969</w:t>
            </w:r>
          </w:p>
        </w:tc>
        <w:tc>
          <w:tcPr>
            <w:tcW w:w="990" w:type="dxa"/>
            <w:shd w:val="clear" w:color="auto" w:fill="auto"/>
            <w:hideMark/>
          </w:tcPr>
          <w:p w:rsidR="00C34658" w:rsidRDefault="00C34658" w:rsidP="00D55642">
            <w:pPr>
              <w:spacing w:before="0" w:line="240" w:lineRule="auto"/>
              <w:jc w:val="right"/>
              <w:rPr>
                <w:rFonts w:asciiTheme="minorHAnsi" w:hAnsiTheme="minorHAnsi" w:cs="Calibri"/>
                <w:b/>
                <w:bCs/>
                <w:sz w:val="22"/>
                <w:szCs w:val="22"/>
                <w:lang w:val="en-IN" w:eastAsia="en-IN"/>
              </w:rPr>
            </w:pPr>
            <w:r w:rsidRPr="00DB21D8">
              <w:rPr>
                <w:rFonts w:asciiTheme="minorHAnsi" w:hAnsiTheme="minorHAnsi"/>
                <w:b/>
                <w:bCs/>
                <w:sz w:val="22"/>
                <w:szCs w:val="22"/>
              </w:rPr>
              <w:t>4.43</w:t>
            </w:r>
          </w:p>
        </w:tc>
      </w:tr>
    </w:tbl>
    <w:p w:rsidR="00C34658" w:rsidRPr="00C60AD1" w:rsidRDefault="00C34658" w:rsidP="00C34658">
      <w:pPr>
        <w:pStyle w:val="Heading3"/>
        <w:numPr>
          <w:ilvl w:val="0"/>
          <w:numId w:val="0"/>
        </w:numPr>
        <w:spacing w:before="0"/>
        <w:ind w:left="90"/>
      </w:pPr>
    </w:p>
    <w:p w:rsidR="00C34658" w:rsidRPr="00C60AD1" w:rsidRDefault="00C34658" w:rsidP="00C34658">
      <w:pPr>
        <w:pStyle w:val="Heading3"/>
        <w:numPr>
          <w:ilvl w:val="0"/>
          <w:numId w:val="0"/>
        </w:numPr>
        <w:ind w:left="90"/>
        <w:rPr>
          <w:b/>
        </w:rPr>
      </w:pPr>
      <w:r w:rsidRPr="00C60AD1">
        <w:rPr>
          <w:b/>
        </w:rPr>
        <w:t>The Commission’s Analysis:</w:t>
      </w:r>
    </w:p>
    <w:p w:rsidR="00D5771F" w:rsidRDefault="00C34658">
      <w:pPr>
        <w:pStyle w:val="Heading3"/>
        <w:tabs>
          <w:tab w:val="clear" w:pos="720"/>
        </w:tabs>
        <w:spacing w:after="240"/>
        <w:ind w:left="993" w:hanging="993"/>
      </w:pPr>
      <w:r>
        <w:t>T</w:t>
      </w:r>
      <w:r w:rsidRPr="00C60AD1">
        <w:t xml:space="preserve">he </w:t>
      </w:r>
      <w:r>
        <w:t xml:space="preserve">Commission’s </w:t>
      </w:r>
      <w:r w:rsidRPr="00C60AD1">
        <w:t xml:space="preserve">assumptions </w:t>
      </w:r>
      <w:r>
        <w:t>for</w:t>
      </w:r>
      <w:r w:rsidRPr="00C60AD1">
        <w:t xml:space="preserve"> approving the power purchase quantum and cost from the </w:t>
      </w:r>
      <w:r>
        <w:t>IPPs / JVs</w:t>
      </w:r>
      <w:r w:rsidRPr="00C60AD1">
        <w:t xml:space="preserve"> are given in the following Tables:</w:t>
      </w:r>
    </w:p>
    <w:p w:rsidR="00C34658" w:rsidRPr="00C60AD1" w:rsidRDefault="00C34658" w:rsidP="00C34658">
      <w:pPr>
        <w:keepNext/>
        <w:spacing w:before="0"/>
        <w:jc w:val="center"/>
        <w:rPr>
          <w:rFonts w:cs="Calibri"/>
          <w:b/>
          <w:sz w:val="22"/>
          <w:szCs w:val="22"/>
          <w:lang w:val="en-US"/>
        </w:rPr>
      </w:pPr>
      <w:bookmarkStart w:id="658" w:name="_Toc325475679"/>
      <w:bookmarkStart w:id="659" w:name="_Toc338310694"/>
      <w:bookmarkStart w:id="660" w:name="_Toc338419524"/>
      <w:bookmarkStart w:id="661" w:name="_Toc357721115"/>
      <w:bookmarkStart w:id="662" w:name="_Toc395657955"/>
      <w:bookmarkStart w:id="663" w:name="_Toc396574006"/>
      <w:bookmarkStart w:id="664" w:name="_Toc399624107"/>
      <w:bookmarkStart w:id="665" w:name="_Toc453367685"/>
      <w:bookmarkStart w:id="666" w:name="_Toc457604056"/>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40</w:t>
      </w:r>
      <w:r w:rsidR="009741CA" w:rsidRPr="00C60AD1">
        <w:rPr>
          <w:rFonts w:cs="Calibri"/>
          <w:b/>
          <w:sz w:val="22"/>
          <w:szCs w:val="22"/>
          <w:lang w:val="en-US"/>
        </w:rPr>
        <w:fldChar w:fldCharType="end"/>
      </w:r>
      <w:r w:rsidRPr="00C60AD1">
        <w:rPr>
          <w:rFonts w:cs="Calibri"/>
          <w:b/>
          <w:sz w:val="22"/>
          <w:szCs w:val="22"/>
          <w:lang w:val="en-US"/>
        </w:rPr>
        <w:t xml:space="preserve">: ASSUMPTIONS FOR POWER PURCHASE FROM IPPS / JVs </w:t>
      </w:r>
      <w:bookmarkEnd w:id="658"/>
      <w:bookmarkEnd w:id="659"/>
      <w:bookmarkEnd w:id="660"/>
      <w:bookmarkEnd w:id="661"/>
      <w:r w:rsidRPr="00C60AD1">
        <w:rPr>
          <w:rFonts w:cs="Calibri"/>
          <w:b/>
          <w:sz w:val="22"/>
          <w:szCs w:val="22"/>
          <w:lang w:val="en-US"/>
        </w:rPr>
        <w:t>AS CONSIDERED BY THE COMMISSION</w:t>
      </w:r>
      <w:bookmarkEnd w:id="662"/>
      <w:bookmarkEnd w:id="663"/>
      <w:bookmarkEnd w:id="664"/>
      <w:bookmarkEnd w:id="665"/>
      <w:bookmarkEnd w:id="666"/>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52"/>
        <w:gridCol w:w="2902"/>
        <w:gridCol w:w="5231"/>
      </w:tblGrid>
      <w:tr w:rsidR="00C34658" w:rsidRPr="006B5389" w:rsidTr="00AA3DF1">
        <w:trPr>
          <w:trHeight w:val="80"/>
          <w:tblHeader/>
        </w:trPr>
        <w:tc>
          <w:tcPr>
            <w:tcW w:w="423" w:type="pct"/>
            <w:shd w:val="clear" w:color="000000" w:fill="DBE5F1"/>
            <w:noWrap/>
            <w:hideMark/>
          </w:tcPr>
          <w:p w:rsidR="00C34658" w:rsidRDefault="00C34658" w:rsidP="00D55642">
            <w:pPr>
              <w:spacing w:before="0" w:line="240" w:lineRule="auto"/>
              <w:jc w:val="center"/>
              <w:rPr>
                <w:b/>
                <w:sz w:val="22"/>
                <w:szCs w:val="22"/>
                <w:lang w:eastAsia="en-IN"/>
              </w:rPr>
            </w:pPr>
            <w:r w:rsidRPr="00DB21D8">
              <w:rPr>
                <w:b/>
                <w:sz w:val="22"/>
                <w:szCs w:val="22"/>
                <w:lang w:eastAsia="en-IN"/>
              </w:rPr>
              <w:t>S. No.</w:t>
            </w:r>
          </w:p>
        </w:tc>
        <w:tc>
          <w:tcPr>
            <w:tcW w:w="1633" w:type="pct"/>
            <w:shd w:val="clear" w:color="000000" w:fill="DBE5F1"/>
            <w:noWrap/>
            <w:hideMark/>
          </w:tcPr>
          <w:p w:rsidR="00C34658" w:rsidRDefault="00C34658" w:rsidP="00D55642">
            <w:pPr>
              <w:spacing w:before="0" w:line="240" w:lineRule="auto"/>
              <w:jc w:val="center"/>
              <w:rPr>
                <w:b/>
                <w:sz w:val="22"/>
                <w:szCs w:val="22"/>
                <w:lang w:eastAsia="en-IN"/>
              </w:rPr>
            </w:pPr>
            <w:r w:rsidRPr="00DB21D8">
              <w:rPr>
                <w:b/>
                <w:sz w:val="22"/>
                <w:szCs w:val="22"/>
                <w:lang w:eastAsia="en-IN"/>
              </w:rPr>
              <w:t>Particulars</w:t>
            </w:r>
          </w:p>
        </w:tc>
        <w:tc>
          <w:tcPr>
            <w:tcW w:w="2944" w:type="pct"/>
            <w:shd w:val="clear" w:color="000000" w:fill="DBE5F1"/>
            <w:noWrap/>
            <w:hideMark/>
          </w:tcPr>
          <w:p w:rsidR="00C34658" w:rsidRDefault="00C34658" w:rsidP="00D55642">
            <w:pPr>
              <w:spacing w:before="0" w:line="240" w:lineRule="auto"/>
              <w:jc w:val="center"/>
              <w:rPr>
                <w:b/>
                <w:sz w:val="22"/>
                <w:szCs w:val="22"/>
                <w:lang w:eastAsia="en-IN"/>
              </w:rPr>
            </w:pPr>
            <w:r w:rsidRPr="00DB21D8">
              <w:rPr>
                <w:b/>
                <w:sz w:val="22"/>
                <w:szCs w:val="22"/>
                <w:lang w:eastAsia="en-IN"/>
              </w:rPr>
              <w:t>Assumption</w:t>
            </w:r>
          </w:p>
        </w:tc>
      </w:tr>
      <w:tr w:rsidR="00C34658" w:rsidRPr="006B5389" w:rsidTr="00D55642">
        <w:trPr>
          <w:trHeight w:val="600"/>
        </w:trPr>
        <w:tc>
          <w:tcPr>
            <w:tcW w:w="423" w:type="pct"/>
            <w:vMerge w:val="restart"/>
            <w:shd w:val="clear" w:color="auto" w:fill="auto"/>
            <w:noWrap/>
            <w:hideMark/>
          </w:tcPr>
          <w:p w:rsidR="00C34658" w:rsidRDefault="00C34658" w:rsidP="00D55642">
            <w:pPr>
              <w:spacing w:before="0" w:line="240" w:lineRule="auto"/>
              <w:jc w:val="left"/>
              <w:rPr>
                <w:sz w:val="22"/>
                <w:szCs w:val="22"/>
                <w:lang w:eastAsia="en-IN"/>
              </w:rPr>
            </w:pPr>
            <w:r w:rsidRPr="00DB21D8">
              <w:rPr>
                <w:sz w:val="22"/>
                <w:szCs w:val="22"/>
                <w:lang w:eastAsia="en-IN"/>
              </w:rPr>
              <w:t>1</w:t>
            </w:r>
          </w:p>
        </w:tc>
        <w:tc>
          <w:tcPr>
            <w:tcW w:w="1633" w:type="pct"/>
            <w:vMerge w:val="restart"/>
            <w:shd w:val="clear" w:color="auto" w:fill="auto"/>
            <w:hideMark/>
          </w:tcPr>
          <w:p w:rsidR="00C34658" w:rsidRDefault="00C34658" w:rsidP="00D55642">
            <w:pPr>
              <w:spacing w:before="0" w:line="240" w:lineRule="auto"/>
              <w:jc w:val="left"/>
              <w:rPr>
                <w:sz w:val="22"/>
                <w:szCs w:val="22"/>
                <w:lang w:eastAsia="en-IN"/>
              </w:rPr>
            </w:pPr>
            <w:r w:rsidRPr="00DB21D8">
              <w:rPr>
                <w:sz w:val="22"/>
                <w:szCs w:val="22"/>
                <w:lang w:eastAsia="en-IN"/>
              </w:rPr>
              <w:t>Power Purchase Quantum</w:t>
            </w:r>
          </w:p>
        </w:tc>
        <w:tc>
          <w:tcPr>
            <w:tcW w:w="2944" w:type="pct"/>
            <w:vMerge w:val="restart"/>
            <w:shd w:val="clear" w:color="auto" w:fill="auto"/>
            <w:hideMark/>
          </w:tcPr>
          <w:p w:rsidR="00C34658" w:rsidRDefault="00C34658" w:rsidP="00D55642">
            <w:pPr>
              <w:spacing w:before="0" w:line="240" w:lineRule="auto"/>
              <w:rPr>
                <w:sz w:val="22"/>
                <w:szCs w:val="22"/>
                <w:lang w:eastAsia="en-IN"/>
              </w:rPr>
            </w:pPr>
            <w:r w:rsidRPr="00DB21D8">
              <w:rPr>
                <w:sz w:val="22"/>
                <w:szCs w:val="22"/>
                <w:lang w:eastAsia="en-IN"/>
              </w:rPr>
              <w:t>Net Power Purchase Quantum is derived as a product of respective power plants MW capacity, capacity factor and UP state's share in respective power plant. Further the quantum is approved as per Merit order despatch principles.</w:t>
            </w:r>
          </w:p>
        </w:tc>
      </w:tr>
      <w:tr w:rsidR="00C34658" w:rsidRPr="006B5389" w:rsidTr="00D55642">
        <w:trPr>
          <w:trHeight w:val="600"/>
        </w:trPr>
        <w:tc>
          <w:tcPr>
            <w:tcW w:w="423" w:type="pct"/>
            <w:vMerge/>
            <w:hideMark/>
          </w:tcPr>
          <w:p w:rsidR="00C34658" w:rsidRDefault="00C34658" w:rsidP="00D55642">
            <w:pPr>
              <w:spacing w:before="0" w:line="240" w:lineRule="auto"/>
              <w:jc w:val="left"/>
              <w:rPr>
                <w:sz w:val="22"/>
                <w:szCs w:val="22"/>
                <w:lang w:eastAsia="en-IN"/>
              </w:rPr>
            </w:pPr>
          </w:p>
        </w:tc>
        <w:tc>
          <w:tcPr>
            <w:tcW w:w="1633" w:type="pct"/>
            <w:vMerge/>
            <w:hideMark/>
          </w:tcPr>
          <w:p w:rsidR="00C34658" w:rsidRDefault="00C34658" w:rsidP="00D55642">
            <w:pPr>
              <w:spacing w:before="0" w:line="240" w:lineRule="auto"/>
              <w:jc w:val="left"/>
              <w:rPr>
                <w:sz w:val="22"/>
                <w:szCs w:val="22"/>
                <w:lang w:eastAsia="en-IN"/>
              </w:rPr>
            </w:pPr>
          </w:p>
        </w:tc>
        <w:tc>
          <w:tcPr>
            <w:tcW w:w="2944" w:type="pct"/>
            <w:vMerge/>
            <w:hideMark/>
          </w:tcPr>
          <w:p w:rsidR="00C34658" w:rsidRDefault="00C34658" w:rsidP="00D55642">
            <w:pPr>
              <w:spacing w:before="0" w:line="240" w:lineRule="auto"/>
              <w:rPr>
                <w:sz w:val="22"/>
                <w:szCs w:val="22"/>
                <w:lang w:eastAsia="en-IN"/>
              </w:rPr>
            </w:pPr>
          </w:p>
        </w:tc>
      </w:tr>
      <w:tr w:rsidR="00C34658" w:rsidRPr="006B5389" w:rsidTr="00D55642">
        <w:trPr>
          <w:trHeight w:val="269"/>
        </w:trPr>
        <w:tc>
          <w:tcPr>
            <w:tcW w:w="423" w:type="pct"/>
            <w:vMerge/>
            <w:hideMark/>
          </w:tcPr>
          <w:p w:rsidR="00C34658" w:rsidRDefault="00C34658" w:rsidP="00D55642">
            <w:pPr>
              <w:spacing w:before="0" w:line="240" w:lineRule="auto"/>
              <w:jc w:val="left"/>
              <w:rPr>
                <w:sz w:val="22"/>
                <w:szCs w:val="22"/>
                <w:lang w:eastAsia="en-IN"/>
              </w:rPr>
            </w:pPr>
          </w:p>
        </w:tc>
        <w:tc>
          <w:tcPr>
            <w:tcW w:w="1633" w:type="pct"/>
            <w:vMerge/>
            <w:hideMark/>
          </w:tcPr>
          <w:p w:rsidR="00C34658" w:rsidRDefault="00C34658" w:rsidP="00D55642">
            <w:pPr>
              <w:spacing w:before="0" w:line="240" w:lineRule="auto"/>
              <w:jc w:val="left"/>
              <w:rPr>
                <w:sz w:val="22"/>
                <w:szCs w:val="22"/>
                <w:lang w:eastAsia="en-IN"/>
              </w:rPr>
            </w:pPr>
          </w:p>
        </w:tc>
        <w:tc>
          <w:tcPr>
            <w:tcW w:w="2944" w:type="pct"/>
            <w:vMerge/>
            <w:hideMark/>
          </w:tcPr>
          <w:p w:rsidR="00C34658" w:rsidRDefault="00C34658" w:rsidP="00D55642">
            <w:pPr>
              <w:spacing w:before="0" w:line="240" w:lineRule="auto"/>
              <w:rPr>
                <w:sz w:val="22"/>
                <w:szCs w:val="22"/>
                <w:lang w:eastAsia="en-IN"/>
              </w:rPr>
            </w:pPr>
          </w:p>
        </w:tc>
      </w:tr>
      <w:tr w:rsidR="00C34658" w:rsidRPr="006B5389" w:rsidTr="00D55642">
        <w:trPr>
          <w:trHeight w:val="293"/>
        </w:trPr>
        <w:tc>
          <w:tcPr>
            <w:tcW w:w="423" w:type="pct"/>
            <w:hideMark/>
          </w:tcPr>
          <w:p w:rsidR="00C34658" w:rsidRDefault="00C34658" w:rsidP="00D55642">
            <w:pPr>
              <w:spacing w:before="0" w:line="240" w:lineRule="auto"/>
              <w:jc w:val="left"/>
              <w:rPr>
                <w:sz w:val="22"/>
                <w:szCs w:val="22"/>
                <w:lang w:eastAsia="en-IN"/>
              </w:rPr>
            </w:pPr>
            <w:r w:rsidRPr="00DB21D8">
              <w:rPr>
                <w:sz w:val="22"/>
                <w:szCs w:val="22"/>
                <w:lang w:eastAsia="en-IN"/>
              </w:rPr>
              <w:t>2</w:t>
            </w:r>
          </w:p>
        </w:tc>
        <w:tc>
          <w:tcPr>
            <w:tcW w:w="1633" w:type="pct"/>
            <w:hideMark/>
          </w:tcPr>
          <w:p w:rsidR="00C34658" w:rsidRDefault="00C34658" w:rsidP="00D55642">
            <w:pPr>
              <w:spacing w:before="0" w:line="240" w:lineRule="auto"/>
              <w:jc w:val="left"/>
              <w:rPr>
                <w:sz w:val="22"/>
                <w:szCs w:val="22"/>
                <w:lang w:eastAsia="en-IN"/>
              </w:rPr>
            </w:pPr>
            <w:r w:rsidRPr="00DB21D8">
              <w:rPr>
                <w:sz w:val="22"/>
                <w:szCs w:val="22"/>
                <w:lang w:eastAsia="en-IN"/>
              </w:rPr>
              <w:t>Tariff (Single part &amp; Two part) for IPPs / JVs</w:t>
            </w:r>
          </w:p>
        </w:tc>
        <w:tc>
          <w:tcPr>
            <w:tcW w:w="2944" w:type="pct"/>
            <w:hideMark/>
          </w:tcPr>
          <w:p w:rsidR="00C34658" w:rsidRDefault="00C34658" w:rsidP="00D55642">
            <w:pPr>
              <w:spacing w:before="0" w:line="240" w:lineRule="auto"/>
              <w:rPr>
                <w:sz w:val="22"/>
                <w:szCs w:val="22"/>
                <w:lang w:eastAsia="en-IN"/>
              </w:rPr>
            </w:pPr>
            <w:r w:rsidRPr="00DB21D8">
              <w:rPr>
                <w:rFonts w:cs="Calibri"/>
                <w:sz w:val="22"/>
                <w:szCs w:val="22"/>
              </w:rPr>
              <w:t>For stations for which UPERC Order has been issued, tariff has been considered based on UPERC Order. For remaining stations, Tariff is considered</w:t>
            </w:r>
            <w:r>
              <w:rPr>
                <w:rFonts w:cs="Calibri"/>
                <w:sz w:val="22"/>
                <w:szCs w:val="22"/>
              </w:rPr>
              <w:t xml:space="preserve"> as projected by the Licensees.</w:t>
            </w:r>
          </w:p>
        </w:tc>
      </w:tr>
    </w:tbl>
    <w:p w:rsidR="00C34658" w:rsidRDefault="00C34658" w:rsidP="00C34658">
      <w:pPr>
        <w:spacing w:before="0" w:line="240" w:lineRule="auto"/>
        <w:jc w:val="center"/>
        <w:rPr>
          <w:rFonts w:cstheme="minorHAnsi"/>
          <w:b/>
        </w:rPr>
      </w:pPr>
      <w:bookmarkStart w:id="667" w:name="_Toc325475680"/>
      <w:bookmarkStart w:id="668" w:name="_Toc338310695"/>
      <w:bookmarkStart w:id="669" w:name="_Toc338419525"/>
      <w:bookmarkStart w:id="670" w:name="_Toc357721116"/>
      <w:bookmarkStart w:id="671" w:name="_Toc395657957"/>
    </w:p>
    <w:p w:rsidR="00C34658" w:rsidRPr="00C60AD1" w:rsidRDefault="00C34658" w:rsidP="00C34658">
      <w:pPr>
        <w:spacing w:before="0"/>
        <w:jc w:val="center"/>
        <w:rPr>
          <w:rFonts w:cs="Calibri"/>
          <w:b/>
          <w:sz w:val="22"/>
          <w:szCs w:val="22"/>
          <w:lang w:val="en-US"/>
        </w:rPr>
      </w:pPr>
      <w:bookmarkStart w:id="672" w:name="_Toc396574008"/>
      <w:bookmarkStart w:id="673" w:name="_Toc399624109"/>
      <w:bookmarkStart w:id="674" w:name="_Toc453367686"/>
      <w:bookmarkStart w:id="675" w:name="_Toc457604057"/>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41</w:t>
      </w:r>
      <w:r w:rsidR="009741CA" w:rsidRPr="00C60AD1">
        <w:rPr>
          <w:rFonts w:cs="Calibri"/>
          <w:b/>
          <w:sz w:val="22"/>
          <w:szCs w:val="22"/>
          <w:lang w:val="en-US"/>
        </w:rPr>
        <w:fldChar w:fldCharType="end"/>
      </w:r>
      <w:r w:rsidRPr="00C60AD1">
        <w:rPr>
          <w:rFonts w:cs="Calibri"/>
          <w:b/>
          <w:sz w:val="22"/>
          <w:szCs w:val="22"/>
          <w:lang w:val="en-US"/>
        </w:rPr>
        <w:t xml:space="preserve">: APPROVED COST OF POWER PURCHASE FROM IPPS / JVs FOR FY </w:t>
      </w:r>
      <w:bookmarkEnd w:id="667"/>
      <w:bookmarkEnd w:id="668"/>
      <w:bookmarkEnd w:id="669"/>
      <w:bookmarkEnd w:id="670"/>
      <w:bookmarkEnd w:id="671"/>
      <w:bookmarkEnd w:id="672"/>
      <w:bookmarkEnd w:id="673"/>
      <w:r>
        <w:rPr>
          <w:rFonts w:cs="Calibri"/>
          <w:b/>
          <w:sz w:val="22"/>
          <w:szCs w:val="22"/>
          <w:lang w:val="en-US"/>
        </w:rPr>
        <w:t>2016-17</w:t>
      </w:r>
      <w:bookmarkEnd w:id="674"/>
      <w:bookmarkEnd w:id="675"/>
    </w:p>
    <w:p w:rsidR="00C34658" w:rsidRDefault="00C34658" w:rsidP="00C34658">
      <w:pPr>
        <w:spacing w:before="0" w:line="240" w:lineRule="auto"/>
        <w:jc w:val="center"/>
        <w:rPr>
          <w:sz w:val="23"/>
          <w:szCs w:val="23"/>
        </w:rPr>
      </w:pPr>
    </w:p>
    <w:tbl>
      <w:tblPr>
        <w:tblW w:w="5914" w:type="pct"/>
        <w:jc w:val="center"/>
        <w:tblInd w:w="-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730"/>
        <w:gridCol w:w="1080"/>
        <w:gridCol w:w="1059"/>
        <w:gridCol w:w="805"/>
        <w:gridCol w:w="1070"/>
        <w:gridCol w:w="752"/>
        <w:gridCol w:w="1089"/>
        <w:gridCol w:w="776"/>
        <w:gridCol w:w="1139"/>
        <w:gridCol w:w="1009"/>
      </w:tblGrid>
      <w:tr w:rsidR="00C34658" w:rsidRPr="00066A49" w:rsidTr="00AA3DF1">
        <w:trPr>
          <w:trHeight w:val="386"/>
          <w:tblHeader/>
          <w:jc w:val="center"/>
        </w:trPr>
        <w:tc>
          <w:tcPr>
            <w:tcW w:w="823" w:type="pct"/>
            <w:vMerge w:val="restar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Source of Power</w:t>
            </w:r>
          </w:p>
        </w:tc>
        <w:tc>
          <w:tcPr>
            <w:tcW w:w="514" w:type="pct"/>
            <w:vMerge w:val="restar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MW Available</w:t>
            </w:r>
          </w:p>
        </w:tc>
        <w:tc>
          <w:tcPr>
            <w:tcW w:w="504" w:type="pct"/>
            <w:vMerge w:val="restar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MU</w:t>
            </w:r>
          </w:p>
        </w:tc>
        <w:tc>
          <w:tcPr>
            <w:tcW w:w="892" w:type="pct"/>
            <w:gridSpan w:val="2"/>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Fixed Cost</w:t>
            </w:r>
          </w:p>
        </w:tc>
        <w:tc>
          <w:tcPr>
            <w:tcW w:w="876" w:type="pct"/>
            <w:gridSpan w:val="2"/>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Variable Cost</w:t>
            </w:r>
          </w:p>
        </w:tc>
        <w:tc>
          <w:tcPr>
            <w:tcW w:w="911" w:type="pct"/>
            <w:gridSpan w:val="2"/>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Total Cost</w:t>
            </w:r>
          </w:p>
        </w:tc>
        <w:tc>
          <w:tcPr>
            <w:tcW w:w="480" w:type="pc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Average Cost</w:t>
            </w:r>
          </w:p>
        </w:tc>
      </w:tr>
      <w:tr w:rsidR="00AA3DF1" w:rsidRPr="00066A49" w:rsidTr="00AA3DF1">
        <w:trPr>
          <w:trHeight w:val="737"/>
          <w:jc w:val="center"/>
        </w:trPr>
        <w:tc>
          <w:tcPr>
            <w:tcW w:w="823" w:type="pct"/>
            <w:vMerge/>
            <w:hideMark/>
          </w:tcPr>
          <w:p w:rsidR="00337C98" w:rsidRDefault="00337C98" w:rsidP="00337C98">
            <w:pPr>
              <w:spacing w:before="0" w:line="240" w:lineRule="auto"/>
              <w:jc w:val="center"/>
              <w:rPr>
                <w:rFonts w:asciiTheme="minorHAnsi" w:hAnsiTheme="minorHAnsi"/>
                <w:b/>
                <w:bCs/>
                <w:sz w:val="22"/>
                <w:szCs w:val="22"/>
                <w:lang w:val="en-US"/>
              </w:rPr>
            </w:pPr>
          </w:p>
        </w:tc>
        <w:tc>
          <w:tcPr>
            <w:tcW w:w="514" w:type="pct"/>
            <w:vMerge/>
            <w:hideMark/>
          </w:tcPr>
          <w:p w:rsidR="00337C98" w:rsidRDefault="00337C98" w:rsidP="00337C98">
            <w:pPr>
              <w:spacing w:before="0" w:line="240" w:lineRule="auto"/>
              <w:jc w:val="center"/>
              <w:rPr>
                <w:rFonts w:asciiTheme="minorHAnsi" w:hAnsiTheme="minorHAnsi"/>
                <w:b/>
                <w:bCs/>
                <w:sz w:val="22"/>
                <w:szCs w:val="22"/>
                <w:lang w:val="en-US"/>
              </w:rPr>
            </w:pPr>
          </w:p>
        </w:tc>
        <w:tc>
          <w:tcPr>
            <w:tcW w:w="504" w:type="pct"/>
            <w:vMerge/>
            <w:hideMark/>
          </w:tcPr>
          <w:p w:rsidR="00337C98" w:rsidRDefault="00337C98" w:rsidP="00337C98">
            <w:pPr>
              <w:spacing w:before="0" w:line="240" w:lineRule="auto"/>
              <w:jc w:val="center"/>
              <w:rPr>
                <w:rFonts w:asciiTheme="minorHAnsi" w:hAnsiTheme="minorHAnsi"/>
                <w:b/>
                <w:bCs/>
                <w:sz w:val="22"/>
                <w:szCs w:val="22"/>
                <w:lang w:val="en-US"/>
              </w:rPr>
            </w:pPr>
          </w:p>
        </w:tc>
        <w:tc>
          <w:tcPr>
            <w:tcW w:w="383" w:type="pc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(Rs. / kWh)</w:t>
            </w:r>
          </w:p>
        </w:tc>
        <w:tc>
          <w:tcPr>
            <w:tcW w:w="509" w:type="pc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(Rs. Cr.)</w:t>
            </w:r>
          </w:p>
        </w:tc>
        <w:tc>
          <w:tcPr>
            <w:tcW w:w="358" w:type="pc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(Rs. / kWh)</w:t>
            </w:r>
          </w:p>
        </w:tc>
        <w:tc>
          <w:tcPr>
            <w:tcW w:w="518" w:type="pc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(Rs. Cr.)</w:t>
            </w:r>
          </w:p>
        </w:tc>
        <w:tc>
          <w:tcPr>
            <w:tcW w:w="369" w:type="pc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(Rs. / kWh)</w:t>
            </w:r>
          </w:p>
        </w:tc>
        <w:tc>
          <w:tcPr>
            <w:tcW w:w="542" w:type="pc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(Rs. Cr.)</w:t>
            </w:r>
          </w:p>
        </w:tc>
        <w:tc>
          <w:tcPr>
            <w:tcW w:w="480" w:type="pct"/>
            <w:shd w:val="clear" w:color="000000" w:fill="DBE5F1"/>
            <w:hideMark/>
          </w:tcPr>
          <w:p w:rsidR="00603835" w:rsidRDefault="00C34658">
            <w:pPr>
              <w:spacing w:before="0" w:line="240" w:lineRule="auto"/>
              <w:jc w:val="center"/>
              <w:rPr>
                <w:rFonts w:asciiTheme="minorHAnsi" w:hAnsiTheme="minorHAnsi"/>
                <w:b/>
                <w:bCs/>
                <w:sz w:val="22"/>
                <w:szCs w:val="22"/>
                <w:lang w:val="en-US"/>
              </w:rPr>
            </w:pPr>
            <w:r w:rsidRPr="00DB21D8">
              <w:rPr>
                <w:rFonts w:asciiTheme="minorHAnsi" w:hAnsiTheme="minorHAnsi"/>
                <w:b/>
                <w:bCs/>
                <w:sz w:val="22"/>
                <w:szCs w:val="22"/>
                <w:lang w:val="en-US"/>
              </w:rPr>
              <w:t>(Rs. / kWh)</w:t>
            </w:r>
          </w:p>
        </w:tc>
      </w:tr>
      <w:tr w:rsidR="00AA3DF1" w:rsidRPr="00066A49" w:rsidTr="00AA3DF1">
        <w:trPr>
          <w:trHeight w:val="537"/>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NATHPA JHAKRI HPS</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287.85</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1383.25</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1.60</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221.43</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1.51</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208.85</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3.11</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430.28</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3.11</w:t>
            </w:r>
          </w:p>
        </w:tc>
      </w:tr>
      <w:tr w:rsidR="00AA3DF1" w:rsidRPr="00066A49" w:rsidTr="00AA3DF1">
        <w:trPr>
          <w:trHeight w:val="350"/>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TALA POWER</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44.98</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181.26</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0.00</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0.00</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2.22</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40.15</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2.22</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40.15</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2.22</w:t>
            </w:r>
          </w:p>
        </w:tc>
      </w:tr>
      <w:tr w:rsidR="00AA3DF1" w:rsidRPr="00066A49" w:rsidTr="00AA3DF1">
        <w:trPr>
          <w:trHeight w:val="206"/>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Koteshwar</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172.84</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568.94</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2.02</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114.76</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1.87</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106.53</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3.89</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221.29</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3.89</w:t>
            </w:r>
          </w:p>
        </w:tc>
      </w:tr>
      <w:tr w:rsidR="00AA3DF1" w:rsidRPr="00066A49" w:rsidTr="00AA3DF1">
        <w:trPr>
          <w:trHeight w:val="296"/>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Srinagar</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290.00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518.63</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2.44</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126.55</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2.44</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126.55</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4.88</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253.09</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4.88</w:t>
            </w:r>
          </w:p>
        </w:tc>
      </w:tr>
      <w:tr w:rsidR="00AA3DF1" w:rsidRPr="00066A49" w:rsidTr="00AA3DF1">
        <w:trPr>
          <w:trHeight w:val="296"/>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Sasan</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495.00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2081.38</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0.27</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55.81</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1.20</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248.87</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1.46</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304.68</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1.46</w:t>
            </w:r>
          </w:p>
        </w:tc>
      </w:tr>
      <w:tr w:rsidR="00AA3DF1" w:rsidRPr="00066A49" w:rsidTr="00AA3DF1">
        <w:trPr>
          <w:trHeight w:val="233"/>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Teesta St-III</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0.00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10186.13</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2.19</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2227.21</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1.52</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1552.96</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3.71</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3780.18</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3.71</w:t>
            </w:r>
          </w:p>
        </w:tc>
      </w:tr>
      <w:tr w:rsidR="00AA3DF1" w:rsidRPr="00066A49" w:rsidTr="00AA3DF1">
        <w:trPr>
          <w:trHeight w:val="537"/>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Karcham-Wangtoo</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200.00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157.68</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0.00</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0.00</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3.12</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49.20</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3.12</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49.20</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3.12</w:t>
            </w:r>
          </w:p>
        </w:tc>
      </w:tr>
      <w:tr w:rsidR="00AA3DF1" w:rsidRPr="00066A49" w:rsidTr="00AA3DF1">
        <w:trPr>
          <w:trHeight w:val="341"/>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lastRenderedPageBreak/>
              <w:t>VISHNUPRAYAG</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352.00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1622.83</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0.92</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149.01</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1.30</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211.74</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2.22</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360.75</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2.22</w:t>
            </w:r>
          </w:p>
        </w:tc>
      </w:tr>
      <w:tr w:rsidR="00AA3DF1" w:rsidRPr="00066A49" w:rsidTr="00AA3DF1">
        <w:trPr>
          <w:trHeight w:val="350"/>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TEHRI STAGE-I</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418.50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1808.87</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1.88</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339.75</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3.56</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644.32</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5.44</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984.07</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5.44</w:t>
            </w:r>
          </w:p>
        </w:tc>
      </w:tr>
      <w:tr w:rsidR="00AA3DF1" w:rsidRPr="00066A49" w:rsidTr="00AA3DF1">
        <w:trPr>
          <w:trHeight w:val="537"/>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 xml:space="preserve">Rosa Power Project </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600.00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3945.94</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1.75</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689.24</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3.72</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1469.15</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5.47</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2158.39</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5.47</w:t>
            </w:r>
          </w:p>
        </w:tc>
      </w:tr>
      <w:tr w:rsidR="00AA3DF1" w:rsidRPr="00066A49" w:rsidTr="00AA3DF1">
        <w:trPr>
          <w:trHeight w:val="537"/>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Rosa Power Project</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600.00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3945.94</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1.75</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689.24</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3.75</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1481.46</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5.50</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2170.70</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5.50</w:t>
            </w:r>
          </w:p>
        </w:tc>
      </w:tr>
      <w:tr w:rsidR="00AA3DF1" w:rsidRPr="00066A49" w:rsidTr="00AA3DF1">
        <w:trPr>
          <w:trHeight w:val="260"/>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Bara</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1188.00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7395.39</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1.18</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873.91</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3.14</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2322.74</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4.32</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3196.66</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4.32</w:t>
            </w:r>
          </w:p>
        </w:tc>
      </w:tr>
      <w:tr w:rsidR="00AA3DF1" w:rsidRPr="00066A49" w:rsidTr="00AA3DF1">
        <w:trPr>
          <w:trHeight w:val="269"/>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 xml:space="preserve">Anpara 'C' </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1100.00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7015.01</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1.77</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1240.75</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2.58</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1809.31</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4.35</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3050.06</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4.35</w:t>
            </w:r>
          </w:p>
        </w:tc>
      </w:tr>
      <w:tr w:rsidR="00AA3DF1" w:rsidRPr="00066A49" w:rsidTr="00AA3DF1">
        <w:trPr>
          <w:trHeight w:val="341"/>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IGSTPP, Jhajhjhar</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51.15</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354.25</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1.61</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56.95</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4.36</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154.48</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5.97</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211.43</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5.97</w:t>
            </w:r>
          </w:p>
        </w:tc>
      </w:tr>
      <w:tr w:rsidR="00AA3DF1" w:rsidRPr="00066A49" w:rsidTr="00AA3DF1">
        <w:trPr>
          <w:trHeight w:val="215"/>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Bajaj Hindusthan</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450.00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2806.70</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2.25</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631.53</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4.57</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1281.43</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6.82</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1912.96</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6.82</w:t>
            </w:r>
          </w:p>
        </w:tc>
      </w:tr>
      <w:tr w:rsidR="00AA3DF1" w:rsidRPr="00066A49" w:rsidTr="00AA3DF1">
        <w:trPr>
          <w:trHeight w:val="251"/>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sz w:val="22"/>
                <w:szCs w:val="22"/>
                <w:lang w:val="en-US"/>
              </w:rPr>
            </w:pPr>
            <w:r w:rsidRPr="00DB21D8">
              <w:rPr>
                <w:rFonts w:asciiTheme="minorHAnsi" w:hAnsiTheme="minorHAnsi"/>
                <w:sz w:val="22"/>
                <w:szCs w:val="22"/>
                <w:lang w:val="en-US"/>
              </w:rPr>
              <w:t>Lalitpur</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1782.00</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10107.68</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1.88</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1900.24</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2.95</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2981.77</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4.83</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4882.01</w:t>
            </w:r>
          </w:p>
        </w:tc>
        <w:tc>
          <w:tcPr>
            <w:tcW w:w="480" w:type="pct"/>
            <w:shd w:val="clear" w:color="auto" w:fill="auto"/>
            <w:hideMark/>
          </w:tcPr>
          <w:p w:rsidR="00C34658" w:rsidRDefault="00C34658" w:rsidP="00D55642">
            <w:pPr>
              <w:spacing w:before="0" w:line="240" w:lineRule="auto"/>
              <w:jc w:val="right"/>
              <w:rPr>
                <w:rFonts w:asciiTheme="minorHAnsi" w:hAnsiTheme="minorHAnsi"/>
                <w:color w:val="000000"/>
                <w:sz w:val="22"/>
                <w:szCs w:val="22"/>
                <w:lang w:val="en-US"/>
              </w:rPr>
            </w:pPr>
            <w:r w:rsidRPr="00DB21D8">
              <w:rPr>
                <w:rFonts w:asciiTheme="minorHAnsi" w:hAnsiTheme="minorHAnsi"/>
                <w:color w:val="000000"/>
                <w:sz w:val="22"/>
                <w:szCs w:val="22"/>
                <w:lang w:val="en-US"/>
              </w:rPr>
              <w:t>4.83</w:t>
            </w:r>
          </w:p>
        </w:tc>
      </w:tr>
      <w:tr w:rsidR="00AA3DF1" w:rsidRPr="00066A49" w:rsidTr="00AA3DF1">
        <w:trPr>
          <w:trHeight w:val="242"/>
          <w:jc w:val="center"/>
        </w:trPr>
        <w:tc>
          <w:tcPr>
            <w:tcW w:w="823" w:type="pct"/>
            <w:shd w:val="clear" w:color="auto" w:fill="auto"/>
            <w:hideMark/>
          </w:tcPr>
          <w:p w:rsidR="00C34658" w:rsidRPr="00066A49" w:rsidRDefault="00C34658" w:rsidP="00D55642">
            <w:pPr>
              <w:spacing w:before="0" w:line="240" w:lineRule="auto"/>
              <w:jc w:val="left"/>
              <w:rPr>
                <w:rFonts w:asciiTheme="minorHAnsi" w:hAnsiTheme="minorHAnsi"/>
                <w:b/>
                <w:bCs/>
                <w:sz w:val="22"/>
                <w:szCs w:val="22"/>
                <w:lang w:val="en-US"/>
              </w:rPr>
            </w:pPr>
            <w:r w:rsidRPr="00DB21D8">
              <w:rPr>
                <w:rFonts w:asciiTheme="minorHAnsi" w:hAnsiTheme="minorHAnsi"/>
                <w:b/>
                <w:bCs/>
                <w:sz w:val="22"/>
                <w:szCs w:val="22"/>
                <w:lang w:val="en-US"/>
              </w:rPr>
              <w:t>Total</w:t>
            </w:r>
          </w:p>
        </w:tc>
        <w:tc>
          <w:tcPr>
            <w:tcW w:w="514" w:type="pct"/>
            <w:shd w:val="clear" w:color="auto" w:fill="auto"/>
            <w:hideMark/>
          </w:tcPr>
          <w:p w:rsidR="00C34658" w:rsidRPr="00066A49" w:rsidRDefault="00C34658" w:rsidP="00D55642">
            <w:pPr>
              <w:spacing w:before="0" w:line="240" w:lineRule="auto"/>
              <w:jc w:val="right"/>
              <w:rPr>
                <w:rFonts w:asciiTheme="minorHAnsi" w:hAnsiTheme="minorHAnsi"/>
                <w:b/>
                <w:color w:val="000000"/>
                <w:sz w:val="22"/>
                <w:szCs w:val="22"/>
                <w:lang w:val="en-US"/>
              </w:rPr>
            </w:pPr>
            <w:r w:rsidRPr="00DB21D8">
              <w:rPr>
                <w:rFonts w:asciiTheme="minorHAnsi" w:hAnsiTheme="minorHAnsi"/>
                <w:b/>
                <w:color w:val="000000"/>
                <w:sz w:val="22"/>
                <w:szCs w:val="22"/>
                <w:lang w:val="en-US"/>
              </w:rPr>
              <w:t>8032.32</w:t>
            </w:r>
          </w:p>
        </w:tc>
        <w:tc>
          <w:tcPr>
            <w:tcW w:w="504" w:type="pct"/>
            <w:shd w:val="clear" w:color="auto" w:fill="auto"/>
            <w:hideMark/>
          </w:tcPr>
          <w:p w:rsidR="00C34658" w:rsidRPr="00066A49" w:rsidRDefault="00C34658" w:rsidP="00D55642">
            <w:pPr>
              <w:spacing w:before="0" w:line="240" w:lineRule="auto"/>
              <w:jc w:val="right"/>
              <w:rPr>
                <w:rFonts w:asciiTheme="minorHAnsi" w:hAnsiTheme="minorHAnsi"/>
                <w:b/>
                <w:color w:val="000000"/>
                <w:sz w:val="22"/>
                <w:szCs w:val="22"/>
                <w:lang w:val="en-US"/>
              </w:rPr>
            </w:pPr>
            <w:r w:rsidRPr="00DB21D8">
              <w:rPr>
                <w:rFonts w:asciiTheme="minorHAnsi" w:hAnsiTheme="minorHAnsi"/>
                <w:b/>
                <w:color w:val="000000"/>
                <w:sz w:val="22"/>
                <w:szCs w:val="22"/>
                <w:lang w:val="en-US"/>
              </w:rPr>
              <w:t>54079.88</w:t>
            </w:r>
          </w:p>
        </w:tc>
        <w:tc>
          <w:tcPr>
            <w:tcW w:w="383" w:type="pct"/>
            <w:shd w:val="clear" w:color="auto" w:fill="auto"/>
            <w:hideMark/>
          </w:tcPr>
          <w:p w:rsidR="00C34658" w:rsidRPr="00066A49" w:rsidRDefault="00C34658" w:rsidP="00D55642">
            <w:pPr>
              <w:spacing w:before="0" w:line="240" w:lineRule="auto"/>
              <w:jc w:val="right"/>
              <w:rPr>
                <w:rFonts w:asciiTheme="minorHAnsi" w:hAnsiTheme="minorHAnsi"/>
                <w:b/>
                <w:color w:val="000000"/>
                <w:sz w:val="22"/>
                <w:szCs w:val="22"/>
                <w:lang w:val="en-US"/>
              </w:rPr>
            </w:pPr>
            <w:r w:rsidRPr="00DB21D8">
              <w:rPr>
                <w:rFonts w:asciiTheme="minorHAnsi" w:hAnsiTheme="minorHAnsi"/>
                <w:b/>
                <w:color w:val="000000"/>
                <w:sz w:val="22"/>
                <w:szCs w:val="22"/>
                <w:lang w:val="en-US"/>
              </w:rPr>
              <w:t>1.72</w:t>
            </w:r>
          </w:p>
        </w:tc>
        <w:tc>
          <w:tcPr>
            <w:tcW w:w="509" w:type="pct"/>
            <w:shd w:val="clear" w:color="auto" w:fill="auto"/>
            <w:hideMark/>
          </w:tcPr>
          <w:p w:rsidR="00C34658" w:rsidRPr="00066A49" w:rsidRDefault="00C34658" w:rsidP="00D55642">
            <w:pPr>
              <w:spacing w:before="0" w:line="240" w:lineRule="auto"/>
              <w:jc w:val="right"/>
              <w:rPr>
                <w:rFonts w:asciiTheme="minorHAnsi" w:hAnsiTheme="minorHAnsi"/>
                <w:b/>
                <w:color w:val="000000"/>
                <w:sz w:val="22"/>
                <w:szCs w:val="22"/>
                <w:lang w:val="en-US"/>
              </w:rPr>
            </w:pPr>
            <w:r w:rsidRPr="00DB21D8">
              <w:rPr>
                <w:rFonts w:asciiTheme="minorHAnsi" w:hAnsiTheme="minorHAnsi"/>
                <w:b/>
                <w:color w:val="000000"/>
                <w:sz w:val="22"/>
                <w:szCs w:val="22"/>
                <w:lang w:val="en-US"/>
              </w:rPr>
              <w:t>9316.40</w:t>
            </w:r>
          </w:p>
        </w:tc>
        <w:tc>
          <w:tcPr>
            <w:tcW w:w="358" w:type="pct"/>
            <w:shd w:val="clear" w:color="auto" w:fill="auto"/>
            <w:hideMark/>
          </w:tcPr>
          <w:p w:rsidR="00C34658" w:rsidRPr="00066A49" w:rsidRDefault="00C34658" w:rsidP="00D55642">
            <w:pPr>
              <w:spacing w:before="0" w:line="240" w:lineRule="auto"/>
              <w:jc w:val="right"/>
              <w:rPr>
                <w:rFonts w:asciiTheme="minorHAnsi" w:hAnsiTheme="minorHAnsi"/>
                <w:b/>
                <w:color w:val="000000"/>
                <w:sz w:val="22"/>
                <w:szCs w:val="22"/>
                <w:lang w:val="en-US"/>
              </w:rPr>
            </w:pPr>
            <w:r w:rsidRPr="00DB21D8">
              <w:rPr>
                <w:rFonts w:asciiTheme="minorHAnsi" w:hAnsiTheme="minorHAnsi"/>
                <w:b/>
                <w:color w:val="000000"/>
                <w:sz w:val="22"/>
                <w:szCs w:val="22"/>
                <w:lang w:val="en-US"/>
              </w:rPr>
              <w:t>2.72</w:t>
            </w:r>
          </w:p>
        </w:tc>
        <w:tc>
          <w:tcPr>
            <w:tcW w:w="518" w:type="pct"/>
            <w:shd w:val="clear" w:color="auto" w:fill="auto"/>
            <w:hideMark/>
          </w:tcPr>
          <w:p w:rsidR="00C34658" w:rsidRPr="00066A49" w:rsidRDefault="00C34658" w:rsidP="00D55642">
            <w:pPr>
              <w:spacing w:before="0" w:line="240" w:lineRule="auto"/>
              <w:jc w:val="right"/>
              <w:rPr>
                <w:rFonts w:asciiTheme="minorHAnsi" w:hAnsiTheme="minorHAnsi"/>
                <w:b/>
                <w:color w:val="000000"/>
                <w:sz w:val="22"/>
                <w:szCs w:val="22"/>
                <w:lang w:val="en-US"/>
              </w:rPr>
            </w:pPr>
            <w:r w:rsidRPr="00DB21D8">
              <w:rPr>
                <w:rFonts w:asciiTheme="minorHAnsi" w:hAnsiTheme="minorHAnsi"/>
                <w:b/>
                <w:color w:val="000000"/>
                <w:sz w:val="22"/>
                <w:szCs w:val="22"/>
                <w:lang w:val="en-US"/>
              </w:rPr>
              <w:t>14689.52</w:t>
            </w:r>
          </w:p>
        </w:tc>
        <w:tc>
          <w:tcPr>
            <w:tcW w:w="369" w:type="pct"/>
            <w:shd w:val="clear" w:color="auto" w:fill="auto"/>
            <w:hideMark/>
          </w:tcPr>
          <w:p w:rsidR="00C34658" w:rsidRPr="00066A49" w:rsidRDefault="00C34658" w:rsidP="00D55642">
            <w:pPr>
              <w:spacing w:before="0" w:line="240" w:lineRule="auto"/>
              <w:jc w:val="right"/>
              <w:rPr>
                <w:rFonts w:asciiTheme="minorHAnsi" w:hAnsiTheme="minorHAnsi"/>
                <w:b/>
                <w:color w:val="000000"/>
                <w:sz w:val="22"/>
                <w:szCs w:val="22"/>
                <w:lang w:val="en-US"/>
              </w:rPr>
            </w:pPr>
            <w:r w:rsidRPr="00DB21D8">
              <w:rPr>
                <w:rFonts w:asciiTheme="minorHAnsi" w:hAnsiTheme="minorHAnsi"/>
                <w:b/>
                <w:color w:val="000000"/>
                <w:sz w:val="22"/>
                <w:szCs w:val="22"/>
                <w:lang w:val="en-US"/>
              </w:rPr>
              <w:t>4.44</w:t>
            </w:r>
          </w:p>
        </w:tc>
        <w:tc>
          <w:tcPr>
            <w:tcW w:w="542" w:type="pct"/>
            <w:shd w:val="clear" w:color="auto" w:fill="auto"/>
            <w:hideMark/>
          </w:tcPr>
          <w:p w:rsidR="00C34658" w:rsidRPr="00066A49" w:rsidRDefault="00C34658" w:rsidP="00D55642">
            <w:pPr>
              <w:spacing w:before="0" w:line="240" w:lineRule="auto"/>
              <w:jc w:val="right"/>
              <w:rPr>
                <w:rFonts w:asciiTheme="minorHAnsi" w:hAnsiTheme="minorHAnsi"/>
                <w:b/>
                <w:color w:val="000000"/>
                <w:sz w:val="22"/>
                <w:szCs w:val="22"/>
                <w:lang w:val="en-US"/>
              </w:rPr>
            </w:pPr>
            <w:r w:rsidRPr="00DB21D8">
              <w:rPr>
                <w:rFonts w:asciiTheme="minorHAnsi" w:hAnsiTheme="minorHAnsi"/>
                <w:b/>
                <w:color w:val="000000"/>
                <w:sz w:val="22"/>
                <w:szCs w:val="22"/>
                <w:lang w:val="en-US"/>
              </w:rPr>
              <w:t>24005.92</w:t>
            </w:r>
          </w:p>
        </w:tc>
        <w:tc>
          <w:tcPr>
            <w:tcW w:w="480" w:type="pct"/>
            <w:shd w:val="clear" w:color="auto" w:fill="auto"/>
            <w:hideMark/>
          </w:tcPr>
          <w:p w:rsidR="00C34658" w:rsidRDefault="00C34658" w:rsidP="00D55642">
            <w:pPr>
              <w:spacing w:before="0" w:line="240" w:lineRule="auto"/>
              <w:jc w:val="right"/>
              <w:rPr>
                <w:rFonts w:asciiTheme="minorHAnsi" w:hAnsiTheme="minorHAnsi"/>
                <w:b/>
                <w:color w:val="000000"/>
                <w:sz w:val="22"/>
                <w:szCs w:val="22"/>
                <w:lang w:val="en-US"/>
              </w:rPr>
            </w:pPr>
            <w:r w:rsidRPr="00DB21D8">
              <w:rPr>
                <w:rFonts w:asciiTheme="minorHAnsi" w:hAnsiTheme="minorHAnsi"/>
                <w:b/>
                <w:color w:val="000000"/>
                <w:sz w:val="22"/>
                <w:szCs w:val="22"/>
                <w:lang w:val="en-US"/>
              </w:rPr>
              <w:t>4.44</w:t>
            </w:r>
          </w:p>
        </w:tc>
      </w:tr>
    </w:tbl>
    <w:p w:rsidR="00C34658" w:rsidRDefault="00C34658" w:rsidP="00C34658">
      <w:pPr>
        <w:spacing w:before="0" w:line="240" w:lineRule="auto"/>
        <w:jc w:val="center"/>
        <w:rPr>
          <w:sz w:val="23"/>
          <w:szCs w:val="23"/>
        </w:rPr>
      </w:pPr>
    </w:p>
    <w:p w:rsidR="00C34658" w:rsidRDefault="00C34658" w:rsidP="00C34658">
      <w:pPr>
        <w:spacing w:before="0" w:line="240" w:lineRule="auto"/>
        <w:jc w:val="center"/>
        <w:rPr>
          <w:sz w:val="23"/>
          <w:szCs w:val="23"/>
        </w:rPr>
      </w:pPr>
    </w:p>
    <w:p w:rsidR="00C34658" w:rsidRPr="00C60AD1" w:rsidRDefault="00C34658" w:rsidP="00C34658">
      <w:pPr>
        <w:pStyle w:val="Heading2"/>
        <w:numPr>
          <w:ilvl w:val="1"/>
          <w:numId w:val="16"/>
        </w:numPr>
      </w:pPr>
      <w:bookmarkStart w:id="676" w:name="_Toc453268696"/>
      <w:bookmarkStart w:id="677" w:name="_Toc453271592"/>
      <w:bookmarkStart w:id="678" w:name="_Toc396573830"/>
      <w:bookmarkStart w:id="679" w:name="_Toc399623728"/>
      <w:bookmarkStart w:id="680" w:name="_Toc453367607"/>
      <w:bookmarkStart w:id="681" w:name="_Toc457603944"/>
      <w:bookmarkEnd w:id="676"/>
      <w:bookmarkEnd w:id="677"/>
      <w:r w:rsidRPr="00C60AD1">
        <w:t>POWER PROCUREMENT FROM OTHER SOURCES</w:t>
      </w:r>
      <w:bookmarkEnd w:id="678"/>
      <w:bookmarkEnd w:id="679"/>
      <w:bookmarkEnd w:id="680"/>
      <w:bookmarkEnd w:id="681"/>
    </w:p>
    <w:p w:rsidR="00C34658" w:rsidRPr="00C60AD1" w:rsidRDefault="00C34658" w:rsidP="00C34658">
      <w:pPr>
        <w:pStyle w:val="Heading3"/>
        <w:numPr>
          <w:ilvl w:val="0"/>
          <w:numId w:val="0"/>
        </w:numPr>
        <w:ind w:left="90"/>
        <w:rPr>
          <w:b/>
        </w:rPr>
      </w:pPr>
      <w:r w:rsidRPr="00C60AD1">
        <w:rPr>
          <w:b/>
        </w:rPr>
        <w:t>The Licensees’ Submission:</w:t>
      </w:r>
    </w:p>
    <w:p w:rsidR="00D5771F" w:rsidRDefault="00C34658">
      <w:pPr>
        <w:pStyle w:val="Heading3"/>
        <w:tabs>
          <w:tab w:val="clear" w:pos="720"/>
        </w:tabs>
        <w:spacing w:after="240"/>
        <w:ind w:left="993" w:hanging="993"/>
      </w:pPr>
      <w:r w:rsidRPr="00C60AD1">
        <w:t>The Licensee’s submission of power purchased from Co-generating stations, solar energy sources</w:t>
      </w:r>
      <w:r>
        <w:t xml:space="preserve"> and</w:t>
      </w:r>
      <w:r w:rsidRPr="00C60AD1">
        <w:t xml:space="preserve"> NTPC Vidyut Vyapar Nigam Ltd. (NVVNL) for FY </w:t>
      </w:r>
      <w:r>
        <w:t>2016-17</w:t>
      </w:r>
      <w:r w:rsidRPr="00C60AD1">
        <w:t xml:space="preserve"> is provided in the Table below:</w:t>
      </w:r>
    </w:p>
    <w:p w:rsidR="00C34658" w:rsidRPr="00C60AD1" w:rsidRDefault="00C34658" w:rsidP="00C34658">
      <w:pPr>
        <w:keepNext/>
        <w:spacing w:after="120"/>
        <w:ind w:right="447"/>
        <w:jc w:val="center"/>
        <w:rPr>
          <w:rFonts w:cs="Calibri"/>
          <w:b/>
          <w:bCs/>
        </w:rPr>
      </w:pPr>
      <w:bookmarkStart w:id="682" w:name="_Toc338310696"/>
      <w:bookmarkStart w:id="683" w:name="_Toc338419526"/>
      <w:bookmarkStart w:id="684" w:name="_Toc357721117"/>
      <w:bookmarkStart w:id="685" w:name="_Toc395657958"/>
      <w:bookmarkStart w:id="686" w:name="_Toc396574009"/>
      <w:bookmarkStart w:id="687" w:name="_Toc399624110"/>
      <w:bookmarkStart w:id="688" w:name="_Toc453367687"/>
      <w:bookmarkStart w:id="689" w:name="_Toc457604058"/>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42</w:t>
      </w:r>
      <w:r w:rsidR="009741CA" w:rsidRPr="00C60AD1">
        <w:rPr>
          <w:rFonts w:cs="Calibri"/>
          <w:b/>
          <w:sz w:val="22"/>
          <w:szCs w:val="22"/>
          <w:lang w:val="en-US"/>
        </w:rPr>
        <w:fldChar w:fldCharType="end"/>
      </w:r>
      <w:r w:rsidRPr="00C60AD1">
        <w:rPr>
          <w:rFonts w:cs="Calibri"/>
          <w:b/>
          <w:sz w:val="22"/>
          <w:szCs w:val="22"/>
          <w:lang w:val="en-US"/>
        </w:rPr>
        <w:t xml:space="preserve">: </w:t>
      </w:r>
      <w:bookmarkStart w:id="690" w:name="_Toc357719723"/>
      <w:r w:rsidRPr="00C60AD1">
        <w:rPr>
          <w:rFonts w:cs="Calibri"/>
          <w:b/>
          <w:bCs/>
        </w:rPr>
        <w:t xml:space="preserve">POWER PURCHASE COST: STATE CO-GENERATION FACILITIES, SOLAR AND OTHER SOURCES FOR FY </w:t>
      </w:r>
      <w:bookmarkEnd w:id="682"/>
      <w:bookmarkEnd w:id="683"/>
      <w:bookmarkEnd w:id="684"/>
      <w:bookmarkEnd w:id="685"/>
      <w:bookmarkEnd w:id="686"/>
      <w:bookmarkEnd w:id="687"/>
      <w:bookmarkEnd w:id="690"/>
      <w:r>
        <w:rPr>
          <w:rFonts w:cs="Calibri"/>
          <w:b/>
          <w:bCs/>
        </w:rPr>
        <w:t>2016-17</w:t>
      </w:r>
      <w:bookmarkEnd w:id="688"/>
      <w:bookmarkEnd w:id="689"/>
    </w:p>
    <w:tbl>
      <w:tblPr>
        <w:tblW w:w="496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477"/>
        <w:gridCol w:w="926"/>
        <w:gridCol w:w="776"/>
        <w:gridCol w:w="809"/>
        <w:gridCol w:w="776"/>
        <w:gridCol w:w="1102"/>
        <w:gridCol w:w="776"/>
        <w:gridCol w:w="1107"/>
        <w:gridCol w:w="1067"/>
      </w:tblGrid>
      <w:tr w:rsidR="00C34658" w:rsidRPr="009E3521" w:rsidTr="008334E8">
        <w:trPr>
          <w:trHeight w:val="239"/>
          <w:tblHeader/>
        </w:trPr>
        <w:tc>
          <w:tcPr>
            <w:tcW w:w="838" w:type="pct"/>
            <w:vMerge w:val="restart"/>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Source of Power</w:t>
            </w:r>
          </w:p>
        </w:tc>
        <w:tc>
          <w:tcPr>
            <w:tcW w:w="525" w:type="pct"/>
            <w:vMerge w:val="restart"/>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MU</w:t>
            </w:r>
          </w:p>
        </w:tc>
        <w:tc>
          <w:tcPr>
            <w:tcW w:w="899" w:type="pct"/>
            <w:gridSpan w:val="2"/>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Fixed Cost</w:t>
            </w:r>
          </w:p>
        </w:tc>
        <w:tc>
          <w:tcPr>
            <w:tcW w:w="1065" w:type="pct"/>
            <w:gridSpan w:val="2"/>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Variable Cost</w:t>
            </w:r>
          </w:p>
        </w:tc>
        <w:tc>
          <w:tcPr>
            <w:tcW w:w="1068" w:type="pct"/>
            <w:gridSpan w:val="2"/>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Total Cost</w:t>
            </w:r>
          </w:p>
        </w:tc>
        <w:tc>
          <w:tcPr>
            <w:tcW w:w="605" w:type="pct"/>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Average Cost</w:t>
            </w:r>
          </w:p>
        </w:tc>
      </w:tr>
      <w:tr w:rsidR="00C34658" w:rsidRPr="009E3521" w:rsidTr="008334E8">
        <w:trPr>
          <w:trHeight w:val="247"/>
          <w:tblHeader/>
        </w:trPr>
        <w:tc>
          <w:tcPr>
            <w:tcW w:w="838" w:type="pct"/>
            <w:vMerge/>
            <w:hideMark/>
          </w:tcPr>
          <w:p w:rsidR="00603835" w:rsidRDefault="00603835">
            <w:pPr>
              <w:spacing w:before="0" w:line="240" w:lineRule="auto"/>
              <w:jc w:val="center"/>
              <w:rPr>
                <w:rFonts w:asciiTheme="minorHAnsi" w:hAnsiTheme="minorHAnsi"/>
                <w:b/>
                <w:sz w:val="22"/>
                <w:szCs w:val="22"/>
                <w:lang w:val="en-IN" w:eastAsia="en-IN"/>
              </w:rPr>
            </w:pPr>
          </w:p>
        </w:tc>
        <w:tc>
          <w:tcPr>
            <w:tcW w:w="525" w:type="pct"/>
            <w:vMerge/>
            <w:hideMark/>
          </w:tcPr>
          <w:p w:rsidR="00603835" w:rsidRDefault="00603835">
            <w:pPr>
              <w:spacing w:before="0" w:line="240" w:lineRule="auto"/>
              <w:jc w:val="center"/>
              <w:rPr>
                <w:rFonts w:asciiTheme="minorHAnsi" w:hAnsiTheme="minorHAnsi"/>
                <w:b/>
                <w:sz w:val="22"/>
                <w:szCs w:val="22"/>
                <w:lang w:val="en-IN" w:eastAsia="en-IN"/>
              </w:rPr>
            </w:pPr>
          </w:p>
        </w:tc>
        <w:tc>
          <w:tcPr>
            <w:tcW w:w="440" w:type="pct"/>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(Rs. / kWh)</w:t>
            </w:r>
          </w:p>
        </w:tc>
        <w:tc>
          <w:tcPr>
            <w:tcW w:w="459" w:type="pct"/>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(Rs. Cr.)</w:t>
            </w:r>
          </w:p>
        </w:tc>
        <w:tc>
          <w:tcPr>
            <w:tcW w:w="440" w:type="pct"/>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(Rs. / kWh)</w:t>
            </w:r>
          </w:p>
        </w:tc>
        <w:tc>
          <w:tcPr>
            <w:tcW w:w="625" w:type="pct"/>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(Rs. Cr.)</w:t>
            </w:r>
          </w:p>
        </w:tc>
        <w:tc>
          <w:tcPr>
            <w:tcW w:w="440" w:type="pct"/>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(Rs. / kWh)</w:t>
            </w:r>
          </w:p>
        </w:tc>
        <w:tc>
          <w:tcPr>
            <w:tcW w:w="628" w:type="pct"/>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(Rs. Cr.)</w:t>
            </w:r>
          </w:p>
        </w:tc>
        <w:tc>
          <w:tcPr>
            <w:tcW w:w="605" w:type="pct"/>
            <w:shd w:val="clear" w:color="000000" w:fill="DBE5F1"/>
            <w:hideMark/>
          </w:tcPr>
          <w:p w:rsidR="00603835" w:rsidRDefault="00C34658">
            <w:pPr>
              <w:spacing w:before="0" w:line="240" w:lineRule="auto"/>
              <w:jc w:val="center"/>
              <w:rPr>
                <w:rFonts w:asciiTheme="minorHAnsi" w:hAnsiTheme="minorHAnsi"/>
                <w:b/>
                <w:sz w:val="22"/>
                <w:szCs w:val="22"/>
                <w:lang w:val="en-IN" w:eastAsia="en-IN"/>
              </w:rPr>
            </w:pPr>
            <w:r w:rsidRPr="009E3521">
              <w:rPr>
                <w:rFonts w:asciiTheme="minorHAnsi" w:hAnsiTheme="minorHAnsi"/>
                <w:b/>
                <w:sz w:val="22"/>
                <w:szCs w:val="22"/>
                <w:lang w:val="en-IN" w:eastAsia="en-IN"/>
              </w:rPr>
              <w:t>(Rs. / kWh)</w:t>
            </w:r>
          </w:p>
        </w:tc>
      </w:tr>
      <w:tr w:rsidR="00C34658" w:rsidRPr="009E3521" w:rsidTr="00D55642">
        <w:trPr>
          <w:trHeight w:val="286"/>
        </w:trPr>
        <w:tc>
          <w:tcPr>
            <w:tcW w:w="838" w:type="pct"/>
            <w:shd w:val="clear" w:color="auto" w:fill="auto"/>
            <w:hideMark/>
          </w:tcPr>
          <w:p w:rsidR="00C34658" w:rsidRPr="009E3521" w:rsidRDefault="00C34658" w:rsidP="00D55642">
            <w:pPr>
              <w:spacing w:before="0" w:line="240" w:lineRule="auto"/>
              <w:rPr>
                <w:rFonts w:asciiTheme="minorHAnsi" w:hAnsiTheme="minorHAnsi"/>
                <w:sz w:val="22"/>
                <w:szCs w:val="22"/>
                <w:lang w:val="en-IN" w:eastAsia="en-IN"/>
              </w:rPr>
            </w:pPr>
            <w:r w:rsidRPr="009E3521">
              <w:rPr>
                <w:rFonts w:asciiTheme="minorHAnsi" w:hAnsiTheme="minorHAnsi"/>
                <w:sz w:val="22"/>
                <w:szCs w:val="22"/>
                <w:lang w:val="en-IN" w:eastAsia="en-IN"/>
              </w:rPr>
              <w:t>Captive and Cogen</w:t>
            </w:r>
          </w:p>
        </w:tc>
        <w:tc>
          <w:tcPr>
            <w:tcW w:w="525" w:type="pct"/>
            <w:shd w:val="clear" w:color="auto" w:fill="auto"/>
            <w:vAlign w:val="center"/>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2865</w:t>
            </w:r>
          </w:p>
        </w:tc>
        <w:tc>
          <w:tcPr>
            <w:tcW w:w="440" w:type="pct"/>
            <w:shd w:val="clear" w:color="auto" w:fill="auto"/>
            <w:vAlign w:val="center"/>
            <w:hideMark/>
          </w:tcPr>
          <w:p w:rsidR="00C34658" w:rsidRPr="009E3521" w:rsidRDefault="00C34658" w:rsidP="00D55642">
            <w:pPr>
              <w:spacing w:before="0" w:line="240" w:lineRule="auto"/>
              <w:jc w:val="right"/>
              <w:rPr>
                <w:rFonts w:asciiTheme="minorHAnsi" w:hAnsiTheme="minorHAnsi"/>
                <w:sz w:val="22"/>
                <w:szCs w:val="22"/>
              </w:rPr>
            </w:pPr>
          </w:p>
        </w:tc>
        <w:tc>
          <w:tcPr>
            <w:tcW w:w="459" w:type="pct"/>
            <w:shd w:val="clear" w:color="auto" w:fill="auto"/>
            <w:vAlign w:val="center"/>
            <w:hideMark/>
          </w:tcPr>
          <w:p w:rsidR="00C34658" w:rsidRPr="009E3521" w:rsidRDefault="00C34658" w:rsidP="00D55642">
            <w:pPr>
              <w:spacing w:before="0" w:line="240" w:lineRule="auto"/>
              <w:jc w:val="right"/>
              <w:rPr>
                <w:rFonts w:asciiTheme="minorHAnsi" w:hAnsiTheme="minorHAnsi"/>
                <w:sz w:val="22"/>
                <w:szCs w:val="22"/>
              </w:rPr>
            </w:pPr>
          </w:p>
        </w:tc>
        <w:tc>
          <w:tcPr>
            <w:tcW w:w="440" w:type="pct"/>
            <w:shd w:val="clear" w:color="auto" w:fill="auto"/>
            <w:vAlign w:val="center"/>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4.79</w:t>
            </w:r>
          </w:p>
        </w:tc>
        <w:tc>
          <w:tcPr>
            <w:tcW w:w="625" w:type="pct"/>
            <w:shd w:val="clear" w:color="auto" w:fill="auto"/>
            <w:vAlign w:val="center"/>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1,373.60</w:t>
            </w:r>
          </w:p>
        </w:tc>
        <w:tc>
          <w:tcPr>
            <w:tcW w:w="440" w:type="pct"/>
            <w:shd w:val="clear" w:color="auto" w:fill="auto"/>
            <w:vAlign w:val="center"/>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4.79</w:t>
            </w:r>
          </w:p>
        </w:tc>
        <w:tc>
          <w:tcPr>
            <w:tcW w:w="628" w:type="pct"/>
            <w:shd w:val="clear" w:color="auto" w:fill="auto"/>
            <w:vAlign w:val="center"/>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1,373.60</w:t>
            </w:r>
          </w:p>
        </w:tc>
        <w:tc>
          <w:tcPr>
            <w:tcW w:w="605" w:type="pct"/>
            <w:shd w:val="clear" w:color="auto" w:fill="auto"/>
            <w:vAlign w:val="center"/>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4.79</w:t>
            </w:r>
          </w:p>
        </w:tc>
      </w:tr>
      <w:tr w:rsidR="00C34658" w:rsidRPr="009E3521" w:rsidTr="00D55642">
        <w:trPr>
          <w:trHeight w:val="286"/>
        </w:trPr>
        <w:tc>
          <w:tcPr>
            <w:tcW w:w="838" w:type="pct"/>
            <w:shd w:val="clear" w:color="auto" w:fill="auto"/>
            <w:vAlign w:val="center"/>
            <w:hideMark/>
          </w:tcPr>
          <w:p w:rsidR="00C34658" w:rsidRPr="009E3521" w:rsidRDefault="00C34658" w:rsidP="00D55642">
            <w:pPr>
              <w:spacing w:before="0" w:line="240" w:lineRule="auto"/>
              <w:rPr>
                <w:rFonts w:asciiTheme="minorHAnsi" w:hAnsiTheme="minorHAnsi"/>
                <w:sz w:val="22"/>
                <w:szCs w:val="22"/>
              </w:rPr>
            </w:pPr>
            <w:r w:rsidRPr="009E3521">
              <w:rPr>
                <w:rFonts w:asciiTheme="minorHAnsi" w:hAnsiTheme="minorHAnsi"/>
                <w:sz w:val="22"/>
                <w:szCs w:val="22"/>
              </w:rPr>
              <w:t>Solar Energy</w:t>
            </w:r>
          </w:p>
        </w:tc>
        <w:tc>
          <w:tcPr>
            <w:tcW w:w="525"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84</w:t>
            </w:r>
          </w:p>
        </w:tc>
        <w:tc>
          <w:tcPr>
            <w:tcW w:w="440"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p>
        </w:tc>
        <w:tc>
          <w:tcPr>
            <w:tcW w:w="459"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p>
        </w:tc>
        <w:tc>
          <w:tcPr>
            <w:tcW w:w="440"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10.76</w:t>
            </w:r>
          </w:p>
        </w:tc>
        <w:tc>
          <w:tcPr>
            <w:tcW w:w="625"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90.42</w:t>
            </w:r>
          </w:p>
        </w:tc>
        <w:tc>
          <w:tcPr>
            <w:tcW w:w="440"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10.76</w:t>
            </w:r>
          </w:p>
        </w:tc>
        <w:tc>
          <w:tcPr>
            <w:tcW w:w="628"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90.42</w:t>
            </w:r>
          </w:p>
        </w:tc>
        <w:tc>
          <w:tcPr>
            <w:tcW w:w="605"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10.76</w:t>
            </w:r>
          </w:p>
        </w:tc>
      </w:tr>
      <w:tr w:rsidR="00C34658" w:rsidRPr="009E3521" w:rsidTr="00D55642">
        <w:trPr>
          <w:trHeight w:val="286"/>
        </w:trPr>
        <w:tc>
          <w:tcPr>
            <w:tcW w:w="838" w:type="pct"/>
            <w:shd w:val="clear" w:color="auto" w:fill="auto"/>
            <w:vAlign w:val="center"/>
            <w:hideMark/>
          </w:tcPr>
          <w:p w:rsidR="00C34658" w:rsidRPr="009E3521" w:rsidRDefault="00C34658" w:rsidP="00D55642">
            <w:pPr>
              <w:spacing w:before="0" w:line="240" w:lineRule="auto"/>
              <w:rPr>
                <w:rFonts w:asciiTheme="minorHAnsi" w:hAnsiTheme="minorHAnsi"/>
                <w:sz w:val="22"/>
                <w:szCs w:val="22"/>
              </w:rPr>
            </w:pPr>
            <w:r w:rsidRPr="009E3521">
              <w:rPr>
                <w:rFonts w:asciiTheme="minorHAnsi" w:hAnsiTheme="minorHAnsi"/>
                <w:sz w:val="22"/>
                <w:szCs w:val="22"/>
              </w:rPr>
              <w:t>NVVN Coal Power</w:t>
            </w:r>
          </w:p>
        </w:tc>
        <w:tc>
          <w:tcPr>
            <w:tcW w:w="525"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352</w:t>
            </w:r>
          </w:p>
        </w:tc>
        <w:tc>
          <w:tcPr>
            <w:tcW w:w="440"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p>
        </w:tc>
        <w:tc>
          <w:tcPr>
            <w:tcW w:w="459"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p>
        </w:tc>
        <w:tc>
          <w:tcPr>
            <w:tcW w:w="440"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3.26</w:t>
            </w:r>
          </w:p>
        </w:tc>
        <w:tc>
          <w:tcPr>
            <w:tcW w:w="625"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114.46</w:t>
            </w:r>
          </w:p>
        </w:tc>
        <w:tc>
          <w:tcPr>
            <w:tcW w:w="440"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3.26</w:t>
            </w:r>
          </w:p>
        </w:tc>
        <w:tc>
          <w:tcPr>
            <w:tcW w:w="628"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114.46</w:t>
            </w:r>
          </w:p>
        </w:tc>
        <w:tc>
          <w:tcPr>
            <w:tcW w:w="605" w:type="pct"/>
            <w:shd w:val="clear" w:color="auto" w:fill="auto"/>
            <w:hideMark/>
          </w:tcPr>
          <w:p w:rsidR="00C34658" w:rsidRPr="009E3521" w:rsidRDefault="00C34658" w:rsidP="00D55642">
            <w:pPr>
              <w:spacing w:before="0" w:line="240" w:lineRule="auto"/>
              <w:jc w:val="right"/>
              <w:rPr>
                <w:rFonts w:asciiTheme="minorHAnsi" w:hAnsiTheme="minorHAnsi"/>
                <w:sz w:val="22"/>
                <w:szCs w:val="22"/>
              </w:rPr>
            </w:pPr>
            <w:r w:rsidRPr="009E3521">
              <w:rPr>
                <w:rFonts w:asciiTheme="minorHAnsi" w:hAnsiTheme="minorHAnsi"/>
                <w:sz w:val="22"/>
                <w:szCs w:val="22"/>
              </w:rPr>
              <w:t>3.26</w:t>
            </w:r>
          </w:p>
        </w:tc>
      </w:tr>
      <w:tr w:rsidR="00C34658" w:rsidRPr="009E3521" w:rsidTr="00D55642">
        <w:trPr>
          <w:trHeight w:val="378"/>
        </w:trPr>
        <w:tc>
          <w:tcPr>
            <w:tcW w:w="838" w:type="pct"/>
            <w:shd w:val="clear" w:color="auto" w:fill="auto"/>
            <w:noWrap/>
            <w:vAlign w:val="center"/>
            <w:hideMark/>
          </w:tcPr>
          <w:p w:rsidR="00C34658" w:rsidRPr="009E3521" w:rsidRDefault="00C34658" w:rsidP="00D55642">
            <w:pPr>
              <w:spacing w:before="0" w:line="240" w:lineRule="auto"/>
              <w:rPr>
                <w:rFonts w:asciiTheme="minorHAnsi" w:hAnsiTheme="minorHAnsi"/>
                <w:sz w:val="22"/>
                <w:szCs w:val="22"/>
                <w:lang w:val="en-IN" w:eastAsia="en-IN"/>
              </w:rPr>
            </w:pPr>
            <w:r w:rsidRPr="009E3521">
              <w:rPr>
                <w:rFonts w:asciiTheme="minorHAnsi" w:hAnsiTheme="minorHAnsi"/>
                <w:sz w:val="22"/>
                <w:szCs w:val="22"/>
                <w:lang w:val="en-IN" w:eastAsia="en-IN"/>
              </w:rPr>
              <w:t>Total</w:t>
            </w:r>
          </w:p>
        </w:tc>
        <w:tc>
          <w:tcPr>
            <w:tcW w:w="525" w:type="pct"/>
            <w:shd w:val="clear" w:color="auto" w:fill="auto"/>
            <w:vAlign w:val="bottom"/>
            <w:hideMark/>
          </w:tcPr>
          <w:p w:rsidR="00C34658" w:rsidRPr="009E3521" w:rsidRDefault="00C34658" w:rsidP="00D55642">
            <w:pPr>
              <w:spacing w:before="0" w:line="240" w:lineRule="auto"/>
              <w:jc w:val="right"/>
              <w:rPr>
                <w:rFonts w:asciiTheme="minorHAnsi" w:hAnsiTheme="minorHAnsi"/>
                <w:color w:val="000000"/>
                <w:sz w:val="22"/>
                <w:szCs w:val="22"/>
              </w:rPr>
            </w:pPr>
            <w:r>
              <w:rPr>
                <w:rFonts w:asciiTheme="minorHAnsi" w:hAnsiTheme="minorHAnsi"/>
                <w:color w:val="000000"/>
                <w:sz w:val="22"/>
                <w:szCs w:val="22"/>
              </w:rPr>
              <w:t>3,301</w:t>
            </w:r>
          </w:p>
        </w:tc>
        <w:tc>
          <w:tcPr>
            <w:tcW w:w="440" w:type="pct"/>
            <w:shd w:val="clear" w:color="auto" w:fill="auto"/>
            <w:vAlign w:val="bottom"/>
            <w:hideMark/>
          </w:tcPr>
          <w:p w:rsidR="00C34658" w:rsidRPr="009E3521" w:rsidRDefault="00C34658" w:rsidP="00D55642">
            <w:pPr>
              <w:spacing w:before="0" w:line="240" w:lineRule="auto"/>
              <w:jc w:val="right"/>
              <w:rPr>
                <w:rFonts w:asciiTheme="minorHAnsi" w:hAnsiTheme="minorHAnsi"/>
                <w:color w:val="000000"/>
                <w:sz w:val="22"/>
                <w:szCs w:val="22"/>
              </w:rPr>
            </w:pPr>
          </w:p>
        </w:tc>
        <w:tc>
          <w:tcPr>
            <w:tcW w:w="459" w:type="pct"/>
            <w:shd w:val="clear" w:color="auto" w:fill="auto"/>
            <w:vAlign w:val="bottom"/>
            <w:hideMark/>
          </w:tcPr>
          <w:p w:rsidR="00C34658" w:rsidRPr="009E3521" w:rsidRDefault="00C34658" w:rsidP="00D55642">
            <w:pPr>
              <w:spacing w:before="0" w:line="240" w:lineRule="auto"/>
              <w:jc w:val="right"/>
              <w:rPr>
                <w:rFonts w:asciiTheme="minorHAnsi" w:hAnsiTheme="minorHAnsi"/>
                <w:color w:val="000000"/>
                <w:sz w:val="22"/>
                <w:szCs w:val="22"/>
              </w:rPr>
            </w:pPr>
          </w:p>
        </w:tc>
        <w:tc>
          <w:tcPr>
            <w:tcW w:w="440" w:type="pct"/>
            <w:shd w:val="clear" w:color="auto" w:fill="auto"/>
            <w:vAlign w:val="bottom"/>
            <w:hideMark/>
          </w:tcPr>
          <w:p w:rsidR="00C34658" w:rsidRPr="009E3521" w:rsidRDefault="00C34658" w:rsidP="00D55642">
            <w:pPr>
              <w:spacing w:before="0" w:line="240" w:lineRule="auto"/>
              <w:jc w:val="right"/>
              <w:rPr>
                <w:rFonts w:asciiTheme="minorHAnsi" w:hAnsiTheme="minorHAnsi"/>
                <w:color w:val="000000"/>
                <w:sz w:val="22"/>
                <w:szCs w:val="22"/>
              </w:rPr>
            </w:pPr>
            <w:r>
              <w:rPr>
                <w:rFonts w:asciiTheme="minorHAnsi" w:hAnsiTheme="minorHAnsi"/>
                <w:color w:val="000000"/>
                <w:sz w:val="22"/>
                <w:szCs w:val="22"/>
              </w:rPr>
              <w:t>4.78</w:t>
            </w:r>
          </w:p>
        </w:tc>
        <w:tc>
          <w:tcPr>
            <w:tcW w:w="625" w:type="pct"/>
            <w:shd w:val="clear" w:color="auto" w:fill="auto"/>
            <w:vAlign w:val="bottom"/>
            <w:hideMark/>
          </w:tcPr>
          <w:p w:rsidR="00C34658" w:rsidRPr="009E3521" w:rsidRDefault="00C34658" w:rsidP="00D55642">
            <w:pPr>
              <w:spacing w:before="0" w:line="240" w:lineRule="auto"/>
              <w:jc w:val="right"/>
              <w:rPr>
                <w:rFonts w:asciiTheme="minorHAnsi" w:hAnsiTheme="minorHAnsi"/>
                <w:color w:val="000000"/>
                <w:sz w:val="22"/>
                <w:szCs w:val="22"/>
              </w:rPr>
            </w:pPr>
            <w:r>
              <w:rPr>
                <w:rFonts w:asciiTheme="minorHAnsi" w:hAnsiTheme="minorHAnsi"/>
                <w:color w:val="000000"/>
                <w:sz w:val="22"/>
                <w:szCs w:val="22"/>
              </w:rPr>
              <w:t>1,578</w:t>
            </w:r>
          </w:p>
        </w:tc>
        <w:tc>
          <w:tcPr>
            <w:tcW w:w="440" w:type="pct"/>
            <w:shd w:val="clear" w:color="auto" w:fill="auto"/>
            <w:vAlign w:val="bottom"/>
            <w:hideMark/>
          </w:tcPr>
          <w:p w:rsidR="00C34658" w:rsidRPr="009E3521" w:rsidRDefault="00C34658" w:rsidP="00D55642">
            <w:pPr>
              <w:spacing w:before="0" w:line="240" w:lineRule="auto"/>
              <w:jc w:val="right"/>
              <w:rPr>
                <w:rFonts w:asciiTheme="minorHAnsi" w:hAnsiTheme="minorHAnsi"/>
                <w:color w:val="000000"/>
                <w:sz w:val="22"/>
                <w:szCs w:val="22"/>
              </w:rPr>
            </w:pPr>
            <w:r>
              <w:rPr>
                <w:rFonts w:asciiTheme="minorHAnsi" w:hAnsiTheme="minorHAnsi"/>
                <w:color w:val="000000"/>
                <w:sz w:val="22"/>
                <w:szCs w:val="22"/>
              </w:rPr>
              <w:t>4.78</w:t>
            </w:r>
          </w:p>
        </w:tc>
        <w:tc>
          <w:tcPr>
            <w:tcW w:w="628" w:type="pct"/>
            <w:shd w:val="clear" w:color="auto" w:fill="auto"/>
            <w:vAlign w:val="bottom"/>
            <w:hideMark/>
          </w:tcPr>
          <w:p w:rsidR="00C34658" w:rsidRPr="009E3521" w:rsidRDefault="00C34658" w:rsidP="00D55642">
            <w:pPr>
              <w:spacing w:before="0" w:line="240" w:lineRule="auto"/>
              <w:jc w:val="right"/>
              <w:rPr>
                <w:rFonts w:asciiTheme="minorHAnsi" w:hAnsiTheme="minorHAnsi"/>
                <w:color w:val="000000"/>
                <w:sz w:val="22"/>
                <w:szCs w:val="22"/>
              </w:rPr>
            </w:pPr>
            <w:r>
              <w:rPr>
                <w:rFonts w:asciiTheme="minorHAnsi" w:hAnsiTheme="minorHAnsi"/>
                <w:color w:val="000000"/>
                <w:sz w:val="22"/>
                <w:szCs w:val="22"/>
              </w:rPr>
              <w:t>1,578</w:t>
            </w:r>
          </w:p>
        </w:tc>
        <w:tc>
          <w:tcPr>
            <w:tcW w:w="605" w:type="pct"/>
            <w:shd w:val="clear" w:color="auto" w:fill="auto"/>
            <w:vAlign w:val="bottom"/>
            <w:hideMark/>
          </w:tcPr>
          <w:p w:rsidR="00C34658" w:rsidRPr="009E3521" w:rsidRDefault="00C34658" w:rsidP="00D55642">
            <w:pPr>
              <w:spacing w:before="0" w:line="240" w:lineRule="auto"/>
              <w:jc w:val="right"/>
              <w:rPr>
                <w:rFonts w:asciiTheme="minorHAnsi" w:hAnsiTheme="minorHAnsi"/>
                <w:color w:val="000000"/>
                <w:sz w:val="22"/>
                <w:szCs w:val="22"/>
              </w:rPr>
            </w:pPr>
            <w:r>
              <w:rPr>
                <w:rFonts w:asciiTheme="minorHAnsi" w:hAnsiTheme="minorHAnsi"/>
                <w:color w:val="000000"/>
                <w:sz w:val="22"/>
                <w:szCs w:val="22"/>
              </w:rPr>
              <w:t>4.78</w:t>
            </w:r>
          </w:p>
        </w:tc>
      </w:tr>
    </w:tbl>
    <w:p w:rsidR="00C34658" w:rsidRPr="00C60AD1" w:rsidRDefault="00C34658" w:rsidP="00C34658">
      <w:pPr>
        <w:tabs>
          <w:tab w:val="left" w:pos="360"/>
        </w:tabs>
        <w:spacing w:before="0"/>
        <w:jc w:val="center"/>
        <w:rPr>
          <w:b/>
          <w:bCs/>
        </w:rPr>
      </w:pPr>
    </w:p>
    <w:p w:rsidR="00C34658" w:rsidRPr="00C60AD1" w:rsidRDefault="00C34658" w:rsidP="00C34658">
      <w:pPr>
        <w:pStyle w:val="Heading3"/>
        <w:numPr>
          <w:ilvl w:val="0"/>
          <w:numId w:val="0"/>
        </w:numPr>
        <w:ind w:left="90"/>
        <w:rPr>
          <w:b/>
        </w:rPr>
      </w:pPr>
      <w:r w:rsidRPr="00C60AD1">
        <w:rPr>
          <w:b/>
        </w:rPr>
        <w:t>The Commission’s Analysis:</w:t>
      </w:r>
    </w:p>
    <w:p w:rsidR="00D5771F" w:rsidRDefault="00C34658">
      <w:pPr>
        <w:pStyle w:val="Heading3"/>
        <w:tabs>
          <w:tab w:val="clear" w:pos="720"/>
        </w:tabs>
        <w:spacing w:after="240"/>
        <w:ind w:left="993" w:hanging="993"/>
      </w:pPr>
      <w:r w:rsidRPr="00DB21D8">
        <w:t xml:space="preserve">In an effort to encourage renewable generation, the Commission has mandated that the Distribution Licensees shall, based on availability, procure </w:t>
      </w:r>
      <w:r w:rsidRPr="00DB21D8">
        <w:lastRenderedPageBreak/>
        <w:t xml:space="preserve">a minimum </w:t>
      </w:r>
      <w:r w:rsidRPr="00311D81">
        <w:t>%</w:t>
      </w:r>
      <w:r w:rsidRPr="00DB21D8">
        <w:t xml:space="preserve"> of power from the renewable energy sources including Co-generating stations available in the State as well as from the solar energy sources.</w:t>
      </w:r>
    </w:p>
    <w:p w:rsidR="00D5771F" w:rsidRDefault="00C34658">
      <w:pPr>
        <w:pStyle w:val="Heading3"/>
        <w:tabs>
          <w:tab w:val="clear" w:pos="720"/>
        </w:tabs>
        <w:spacing w:after="240"/>
        <w:ind w:left="993" w:hanging="993"/>
      </w:pPr>
      <w:r w:rsidRPr="00DB21D8">
        <w:rPr>
          <w:bCs w:val="0"/>
        </w:rPr>
        <w:t xml:space="preserve">The Commission, for projecting the power purchase for FY 2016-17, has considered the quantum from captive and cogenerating stations as submitted by the Licensees. The Commission is of the view that the rate of solar power has been decreasing in past </w:t>
      </w:r>
      <w:r w:rsidRPr="00D44AD0">
        <w:t>years;</w:t>
      </w:r>
      <w:r w:rsidRPr="00DB21D8">
        <w:rPr>
          <w:bCs w:val="0"/>
        </w:rPr>
        <w:t xml:space="preserve"> therefore, it would not be appropriate to estimate the power purchase rate from solar energy sources to be more than approved in last </w:t>
      </w:r>
      <w:r>
        <w:t>T</w:t>
      </w:r>
      <w:r w:rsidRPr="00DB21D8">
        <w:rPr>
          <w:bCs w:val="0"/>
        </w:rPr>
        <w:t xml:space="preserve">ariff </w:t>
      </w:r>
      <w:r>
        <w:t>O</w:t>
      </w:r>
      <w:r w:rsidRPr="00DB21D8">
        <w:rPr>
          <w:bCs w:val="0"/>
        </w:rPr>
        <w:t>rder for FY 2015</w:t>
      </w:r>
      <w:r>
        <w:t>-16</w:t>
      </w:r>
      <w:r w:rsidRPr="00DB21D8">
        <w:rPr>
          <w:bCs w:val="0"/>
        </w:rPr>
        <w:t>. Considering the same, the Commission for approving the power purchase cost from solar energy sources for FY 2016-17 has considered the average rate of power from solar energy as Rs. 1</w:t>
      </w:r>
      <w:r w:rsidRPr="00FD1CC6">
        <w:t>0.76</w:t>
      </w:r>
      <w:r w:rsidRPr="00DB21D8">
        <w:rPr>
          <w:bCs w:val="0"/>
        </w:rPr>
        <w:t xml:space="preserve"> / kWh</w:t>
      </w:r>
      <w:r w:rsidRPr="00FD1CC6">
        <w:t xml:space="preserve"> as submitted by the Petitioner</w:t>
      </w:r>
      <w:r w:rsidRPr="00DB21D8">
        <w:rPr>
          <w:bCs w:val="0"/>
        </w:rPr>
        <w:t>.</w:t>
      </w:r>
    </w:p>
    <w:p w:rsidR="00D5771F" w:rsidRDefault="00C34658">
      <w:pPr>
        <w:pStyle w:val="Heading3"/>
        <w:tabs>
          <w:tab w:val="clear" w:pos="720"/>
        </w:tabs>
        <w:spacing w:after="240"/>
        <w:ind w:left="993" w:hanging="993"/>
      </w:pPr>
      <w:r w:rsidRPr="00DB21D8">
        <w:t xml:space="preserve">Further, although the Commission has considered the quantum from renewable sources as estimated by the Licensees for projection purposes, however, the UPERC (Promotion of Green Energy through Renewable Purchase Obligation) Regulations, 2010 specifies that during each Financial Year, every obligated entity shall purchase a minimum % of its total consumption of electricity (in kWh) from Renewable Energy (RE) sources under RPO. </w:t>
      </w:r>
      <w:r w:rsidRPr="00DB21D8">
        <w:rPr>
          <w:b/>
        </w:rPr>
        <w:t xml:space="preserve">In view of the same, the Licensees should ensure to procure renewable energy in accordance with Regulation 4 of the UPERC (Promotion of Green Energy through Renewable Purchase Obligation) Regulations, 2010 as amended from time to time during FY 2016-17 to meet their obligation. </w:t>
      </w:r>
    </w:p>
    <w:p w:rsidR="00D5771F" w:rsidRDefault="00C34658">
      <w:pPr>
        <w:pStyle w:val="Heading3"/>
        <w:tabs>
          <w:tab w:val="clear" w:pos="720"/>
        </w:tabs>
        <w:spacing w:after="240"/>
        <w:ind w:left="993" w:hanging="993"/>
      </w:pPr>
      <w:r w:rsidRPr="00C60AD1">
        <w:t xml:space="preserve">Based on the above, the approved power purchase quantum and cost from the Co-generating stations and Solar energy sources for FY </w:t>
      </w:r>
      <w:r>
        <w:t>2016-17</w:t>
      </w:r>
      <w:r w:rsidRPr="00C60AD1">
        <w:t xml:space="preserve"> is provided in the Table below:</w:t>
      </w:r>
    </w:p>
    <w:p w:rsidR="00C34658" w:rsidRPr="00C60AD1" w:rsidRDefault="00C34658" w:rsidP="00C34658">
      <w:pPr>
        <w:keepNext/>
        <w:spacing w:before="0"/>
        <w:jc w:val="center"/>
        <w:rPr>
          <w:rFonts w:cs="Calibri"/>
          <w:b/>
          <w:sz w:val="22"/>
          <w:szCs w:val="22"/>
          <w:lang w:val="en-US"/>
        </w:rPr>
      </w:pPr>
      <w:bookmarkStart w:id="691" w:name="_Toc325475682"/>
      <w:bookmarkStart w:id="692" w:name="_Toc338310697"/>
      <w:bookmarkStart w:id="693" w:name="_Toc338419527"/>
      <w:bookmarkStart w:id="694" w:name="_Toc357721118"/>
      <w:bookmarkStart w:id="695" w:name="_Toc395657959"/>
      <w:bookmarkStart w:id="696" w:name="_Toc396574010"/>
      <w:bookmarkStart w:id="697" w:name="_Toc399624111"/>
      <w:bookmarkStart w:id="698" w:name="_Toc453367688"/>
      <w:bookmarkStart w:id="699" w:name="_Toc457604059"/>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43</w:t>
      </w:r>
      <w:r w:rsidR="009741CA" w:rsidRPr="00C60AD1">
        <w:rPr>
          <w:rFonts w:cs="Calibri"/>
          <w:b/>
          <w:sz w:val="22"/>
          <w:szCs w:val="22"/>
          <w:lang w:val="en-US"/>
        </w:rPr>
        <w:fldChar w:fldCharType="end"/>
      </w:r>
      <w:r w:rsidRPr="00C60AD1">
        <w:rPr>
          <w:rFonts w:cs="Calibri"/>
          <w:b/>
          <w:sz w:val="22"/>
          <w:szCs w:val="22"/>
          <w:lang w:val="en-US"/>
        </w:rPr>
        <w:t>:</w:t>
      </w:r>
      <w:bookmarkEnd w:id="691"/>
      <w:r w:rsidRPr="00C60AD1">
        <w:rPr>
          <w:rFonts w:cs="Calibri"/>
          <w:b/>
          <w:sz w:val="22"/>
          <w:szCs w:val="22"/>
          <w:lang w:val="en-US"/>
        </w:rPr>
        <w:t xml:space="preserve"> APPROVED COST OF POWER PURCHASE FROM STATE CO-GENERATION FACILITIES AND SOLAR ENERGY SOURCES FOR FY </w:t>
      </w:r>
      <w:bookmarkEnd w:id="692"/>
      <w:bookmarkEnd w:id="693"/>
      <w:bookmarkEnd w:id="694"/>
      <w:bookmarkEnd w:id="695"/>
      <w:bookmarkEnd w:id="696"/>
      <w:bookmarkEnd w:id="697"/>
      <w:r>
        <w:rPr>
          <w:rFonts w:cs="Calibri"/>
          <w:b/>
          <w:sz w:val="22"/>
          <w:szCs w:val="22"/>
          <w:lang w:val="en-US"/>
        </w:rPr>
        <w:t>2016-17</w:t>
      </w:r>
      <w:bookmarkEnd w:id="698"/>
      <w:bookmarkEnd w:id="699"/>
    </w:p>
    <w:tbl>
      <w:tblPr>
        <w:tblW w:w="9680" w:type="dxa"/>
        <w:jc w:val="center"/>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85"/>
        <w:gridCol w:w="1370"/>
        <w:gridCol w:w="753"/>
        <w:gridCol w:w="586"/>
        <w:gridCol w:w="764"/>
        <w:gridCol w:w="1067"/>
        <w:gridCol w:w="764"/>
        <w:gridCol w:w="1356"/>
        <w:gridCol w:w="1035"/>
      </w:tblGrid>
      <w:tr w:rsidR="00C34658" w:rsidRPr="00C60AD1" w:rsidTr="008334E8">
        <w:trPr>
          <w:trHeight w:val="83"/>
          <w:tblHeader/>
          <w:jc w:val="center"/>
        </w:trPr>
        <w:tc>
          <w:tcPr>
            <w:tcW w:w="1985" w:type="dxa"/>
            <w:vMerge w:val="restart"/>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Source of Power</w:t>
            </w:r>
          </w:p>
        </w:tc>
        <w:tc>
          <w:tcPr>
            <w:tcW w:w="1370" w:type="dxa"/>
            <w:vMerge w:val="restart"/>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MU</w:t>
            </w:r>
          </w:p>
        </w:tc>
        <w:tc>
          <w:tcPr>
            <w:tcW w:w="1339" w:type="dxa"/>
            <w:gridSpan w:val="2"/>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Fixed Cost</w:t>
            </w:r>
          </w:p>
        </w:tc>
        <w:tc>
          <w:tcPr>
            <w:tcW w:w="1831" w:type="dxa"/>
            <w:gridSpan w:val="2"/>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Variable Cost</w:t>
            </w:r>
          </w:p>
        </w:tc>
        <w:tc>
          <w:tcPr>
            <w:tcW w:w="2120" w:type="dxa"/>
            <w:gridSpan w:val="2"/>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Total Cost</w:t>
            </w:r>
          </w:p>
        </w:tc>
        <w:tc>
          <w:tcPr>
            <w:tcW w:w="1035" w:type="dxa"/>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Average Cost</w:t>
            </w:r>
          </w:p>
        </w:tc>
      </w:tr>
      <w:tr w:rsidR="00C34658" w:rsidRPr="00C60AD1" w:rsidTr="008334E8">
        <w:trPr>
          <w:trHeight w:val="83"/>
          <w:tblHeader/>
          <w:jc w:val="center"/>
        </w:trPr>
        <w:tc>
          <w:tcPr>
            <w:tcW w:w="1985" w:type="dxa"/>
            <w:vMerge/>
            <w:hideMark/>
          </w:tcPr>
          <w:p w:rsidR="00603835" w:rsidRDefault="00603835">
            <w:pPr>
              <w:spacing w:before="0"/>
              <w:jc w:val="center"/>
              <w:rPr>
                <w:rFonts w:asciiTheme="minorHAnsi" w:hAnsiTheme="minorHAnsi"/>
                <w:b/>
                <w:sz w:val="22"/>
                <w:szCs w:val="22"/>
              </w:rPr>
            </w:pPr>
          </w:p>
        </w:tc>
        <w:tc>
          <w:tcPr>
            <w:tcW w:w="1370" w:type="dxa"/>
            <w:vMerge/>
            <w:hideMark/>
          </w:tcPr>
          <w:p w:rsidR="00603835" w:rsidRDefault="00603835">
            <w:pPr>
              <w:spacing w:before="0"/>
              <w:jc w:val="center"/>
              <w:rPr>
                <w:rFonts w:asciiTheme="minorHAnsi" w:hAnsiTheme="minorHAnsi"/>
                <w:b/>
                <w:sz w:val="22"/>
                <w:szCs w:val="22"/>
              </w:rPr>
            </w:pPr>
          </w:p>
        </w:tc>
        <w:tc>
          <w:tcPr>
            <w:tcW w:w="753" w:type="dxa"/>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(Rs. / kWh)</w:t>
            </w:r>
          </w:p>
        </w:tc>
        <w:tc>
          <w:tcPr>
            <w:tcW w:w="586" w:type="dxa"/>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(Rs. Cr.)</w:t>
            </w:r>
          </w:p>
        </w:tc>
        <w:tc>
          <w:tcPr>
            <w:tcW w:w="764" w:type="dxa"/>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(Rs. / kWh)</w:t>
            </w:r>
          </w:p>
        </w:tc>
        <w:tc>
          <w:tcPr>
            <w:tcW w:w="1067" w:type="dxa"/>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(Rs. Cr.)</w:t>
            </w:r>
          </w:p>
        </w:tc>
        <w:tc>
          <w:tcPr>
            <w:tcW w:w="764" w:type="dxa"/>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(Rs. / kWh)</w:t>
            </w:r>
          </w:p>
        </w:tc>
        <w:tc>
          <w:tcPr>
            <w:tcW w:w="1356" w:type="dxa"/>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(Rs. Cr.)</w:t>
            </w:r>
          </w:p>
        </w:tc>
        <w:tc>
          <w:tcPr>
            <w:tcW w:w="1035" w:type="dxa"/>
            <w:shd w:val="clear" w:color="000000" w:fill="DBE5F1"/>
            <w:hideMark/>
          </w:tcPr>
          <w:p w:rsidR="00603835" w:rsidRDefault="00C34658">
            <w:pPr>
              <w:spacing w:before="0"/>
              <w:jc w:val="center"/>
              <w:rPr>
                <w:rFonts w:asciiTheme="minorHAnsi" w:hAnsiTheme="minorHAnsi"/>
                <w:b/>
                <w:sz w:val="22"/>
                <w:szCs w:val="22"/>
              </w:rPr>
            </w:pPr>
            <w:r w:rsidRPr="00C60AD1">
              <w:rPr>
                <w:rFonts w:asciiTheme="minorHAnsi" w:hAnsiTheme="minorHAnsi"/>
                <w:b/>
                <w:sz w:val="22"/>
                <w:szCs w:val="22"/>
              </w:rPr>
              <w:t>(Rs. / kWh)</w:t>
            </w:r>
          </w:p>
        </w:tc>
      </w:tr>
      <w:tr w:rsidR="00C34658" w:rsidRPr="00C60AD1" w:rsidTr="00D55642">
        <w:trPr>
          <w:trHeight w:val="349"/>
          <w:jc w:val="center"/>
        </w:trPr>
        <w:tc>
          <w:tcPr>
            <w:tcW w:w="1985" w:type="dxa"/>
            <w:shd w:val="clear" w:color="auto" w:fill="auto"/>
            <w:hideMark/>
          </w:tcPr>
          <w:p w:rsidR="00C34658" w:rsidRPr="00C60AD1" w:rsidRDefault="00C34658" w:rsidP="00D55642">
            <w:pPr>
              <w:spacing w:before="0"/>
              <w:rPr>
                <w:rFonts w:asciiTheme="minorHAnsi" w:hAnsiTheme="minorHAnsi"/>
                <w:sz w:val="22"/>
                <w:szCs w:val="22"/>
              </w:rPr>
            </w:pPr>
            <w:r w:rsidRPr="00C60AD1">
              <w:rPr>
                <w:rFonts w:asciiTheme="minorHAnsi" w:hAnsiTheme="minorHAnsi" w:cs="Calibri"/>
                <w:sz w:val="22"/>
                <w:szCs w:val="22"/>
                <w:lang w:val="en-IN" w:eastAsia="en-IN"/>
              </w:rPr>
              <w:t>Captive and Cogen</w:t>
            </w:r>
          </w:p>
        </w:tc>
        <w:tc>
          <w:tcPr>
            <w:tcW w:w="1370" w:type="dxa"/>
            <w:shd w:val="clear" w:color="auto" w:fill="auto"/>
            <w:vAlign w:val="center"/>
            <w:hideMark/>
          </w:tcPr>
          <w:p w:rsidR="00C34658" w:rsidRDefault="00C34658" w:rsidP="00D55642">
            <w:pPr>
              <w:spacing w:before="0"/>
              <w:jc w:val="right"/>
              <w:rPr>
                <w:rFonts w:asciiTheme="minorHAnsi" w:hAnsiTheme="minorHAnsi" w:cs="Calibri"/>
                <w:b/>
                <w:bCs/>
                <w:caps/>
                <w:kern w:val="32"/>
                <w:sz w:val="22"/>
                <w:szCs w:val="22"/>
              </w:rPr>
            </w:pPr>
            <w:r w:rsidRPr="00FD1CC6">
              <w:rPr>
                <w:rFonts w:asciiTheme="minorHAnsi" w:hAnsiTheme="minorHAnsi" w:cs="Calibri"/>
                <w:sz w:val="22"/>
                <w:szCs w:val="22"/>
              </w:rPr>
              <w:t>2,865.00</w:t>
            </w:r>
          </w:p>
        </w:tc>
        <w:tc>
          <w:tcPr>
            <w:tcW w:w="753" w:type="dxa"/>
            <w:shd w:val="clear" w:color="auto" w:fill="auto"/>
            <w:vAlign w:val="center"/>
            <w:hideMark/>
          </w:tcPr>
          <w:p w:rsidR="00C34658" w:rsidRDefault="00C34658" w:rsidP="00D55642">
            <w:pPr>
              <w:spacing w:before="0"/>
              <w:jc w:val="right"/>
              <w:rPr>
                <w:rFonts w:asciiTheme="minorHAnsi" w:hAnsiTheme="minorHAnsi" w:cs="Calibri"/>
                <w:b/>
                <w:bCs/>
                <w:color w:val="000000"/>
                <w:sz w:val="22"/>
                <w:szCs w:val="22"/>
              </w:rPr>
            </w:pPr>
          </w:p>
        </w:tc>
        <w:tc>
          <w:tcPr>
            <w:tcW w:w="586" w:type="dxa"/>
            <w:shd w:val="clear" w:color="auto" w:fill="auto"/>
            <w:vAlign w:val="center"/>
            <w:hideMark/>
          </w:tcPr>
          <w:p w:rsidR="00C34658" w:rsidRDefault="00C34658" w:rsidP="00D55642">
            <w:pPr>
              <w:spacing w:before="0"/>
              <w:jc w:val="right"/>
              <w:rPr>
                <w:rFonts w:asciiTheme="minorHAnsi" w:hAnsiTheme="minorHAnsi" w:cs="Calibri"/>
                <w:b/>
                <w:bCs/>
                <w:color w:val="000000"/>
                <w:sz w:val="22"/>
                <w:szCs w:val="22"/>
              </w:rPr>
            </w:pPr>
          </w:p>
        </w:tc>
        <w:tc>
          <w:tcPr>
            <w:tcW w:w="764" w:type="dxa"/>
            <w:shd w:val="clear" w:color="auto" w:fill="auto"/>
            <w:hideMark/>
          </w:tcPr>
          <w:p w:rsidR="00C34658" w:rsidRDefault="00C34658" w:rsidP="00D55642">
            <w:pPr>
              <w:spacing w:before="0"/>
              <w:jc w:val="right"/>
              <w:rPr>
                <w:rFonts w:asciiTheme="minorHAnsi" w:hAnsiTheme="minorHAnsi" w:cs="Calibri"/>
                <w:sz w:val="22"/>
                <w:szCs w:val="22"/>
              </w:rPr>
            </w:pPr>
            <w:r w:rsidRPr="00DB21D8">
              <w:rPr>
                <w:rFonts w:asciiTheme="minorHAnsi" w:hAnsiTheme="minorHAnsi" w:cs="Calibri"/>
                <w:sz w:val="22"/>
                <w:szCs w:val="22"/>
              </w:rPr>
              <w:t xml:space="preserve">4.79 </w:t>
            </w:r>
          </w:p>
        </w:tc>
        <w:tc>
          <w:tcPr>
            <w:tcW w:w="1067" w:type="dxa"/>
            <w:shd w:val="clear" w:color="auto" w:fill="auto"/>
            <w:hideMark/>
          </w:tcPr>
          <w:p w:rsidR="00C34658" w:rsidRDefault="00C34658" w:rsidP="00D55642">
            <w:pPr>
              <w:spacing w:before="0"/>
              <w:jc w:val="right"/>
              <w:rPr>
                <w:rFonts w:asciiTheme="minorHAnsi" w:hAnsiTheme="minorHAnsi" w:cs="Calibri"/>
                <w:sz w:val="22"/>
                <w:szCs w:val="22"/>
              </w:rPr>
            </w:pPr>
            <w:r w:rsidRPr="00DB21D8">
              <w:rPr>
                <w:rFonts w:asciiTheme="minorHAnsi" w:hAnsiTheme="minorHAnsi" w:cs="Calibri"/>
                <w:sz w:val="22"/>
                <w:szCs w:val="22"/>
              </w:rPr>
              <w:t xml:space="preserve">1,373.60 </w:t>
            </w:r>
          </w:p>
        </w:tc>
        <w:tc>
          <w:tcPr>
            <w:tcW w:w="764" w:type="dxa"/>
            <w:shd w:val="clear" w:color="auto" w:fill="auto"/>
            <w:hideMark/>
          </w:tcPr>
          <w:p w:rsidR="00C34658" w:rsidRDefault="00C34658" w:rsidP="00D55642">
            <w:pPr>
              <w:spacing w:before="0"/>
              <w:jc w:val="right"/>
              <w:rPr>
                <w:rFonts w:asciiTheme="minorHAnsi" w:hAnsiTheme="minorHAnsi" w:cs="Calibri"/>
                <w:sz w:val="22"/>
                <w:szCs w:val="22"/>
              </w:rPr>
            </w:pPr>
            <w:r w:rsidRPr="00DB21D8">
              <w:rPr>
                <w:rFonts w:asciiTheme="minorHAnsi" w:hAnsiTheme="minorHAnsi" w:cs="Calibri"/>
                <w:sz w:val="22"/>
                <w:szCs w:val="22"/>
              </w:rPr>
              <w:t xml:space="preserve">4.79 </w:t>
            </w:r>
          </w:p>
        </w:tc>
        <w:tc>
          <w:tcPr>
            <w:tcW w:w="1356" w:type="dxa"/>
            <w:shd w:val="clear" w:color="auto" w:fill="auto"/>
            <w:hideMark/>
          </w:tcPr>
          <w:p w:rsidR="00C34658" w:rsidRDefault="00C34658" w:rsidP="00D55642">
            <w:pPr>
              <w:spacing w:before="0"/>
              <w:jc w:val="right"/>
              <w:rPr>
                <w:rFonts w:asciiTheme="minorHAnsi" w:hAnsiTheme="minorHAnsi" w:cs="Calibri"/>
                <w:sz w:val="22"/>
                <w:szCs w:val="22"/>
              </w:rPr>
            </w:pPr>
            <w:r w:rsidRPr="00DB21D8">
              <w:rPr>
                <w:rFonts w:asciiTheme="minorHAnsi" w:hAnsiTheme="minorHAnsi" w:cs="Calibri"/>
                <w:sz w:val="22"/>
                <w:szCs w:val="22"/>
              </w:rPr>
              <w:t xml:space="preserve">1,373.60 </w:t>
            </w:r>
          </w:p>
        </w:tc>
        <w:tc>
          <w:tcPr>
            <w:tcW w:w="1035" w:type="dxa"/>
            <w:shd w:val="clear" w:color="auto" w:fill="auto"/>
            <w:hideMark/>
          </w:tcPr>
          <w:p w:rsidR="00C34658" w:rsidRDefault="00C34658" w:rsidP="00D55642">
            <w:pPr>
              <w:spacing w:before="0"/>
              <w:jc w:val="right"/>
              <w:rPr>
                <w:rFonts w:asciiTheme="minorHAnsi" w:hAnsiTheme="minorHAnsi" w:cs="Calibri"/>
                <w:sz w:val="22"/>
                <w:szCs w:val="22"/>
              </w:rPr>
            </w:pPr>
            <w:r w:rsidRPr="00DB21D8">
              <w:rPr>
                <w:rFonts w:asciiTheme="minorHAnsi" w:hAnsiTheme="minorHAnsi" w:cs="Calibri"/>
                <w:sz w:val="22"/>
                <w:szCs w:val="22"/>
              </w:rPr>
              <w:t xml:space="preserve">4.79 </w:t>
            </w:r>
          </w:p>
        </w:tc>
      </w:tr>
      <w:tr w:rsidR="00C34658" w:rsidRPr="00C60AD1" w:rsidTr="00D55642">
        <w:trPr>
          <w:trHeight w:val="83"/>
          <w:jc w:val="center"/>
        </w:trPr>
        <w:tc>
          <w:tcPr>
            <w:tcW w:w="1985" w:type="dxa"/>
            <w:shd w:val="clear" w:color="auto" w:fill="auto"/>
            <w:vAlign w:val="center"/>
            <w:hideMark/>
          </w:tcPr>
          <w:p w:rsidR="00C34658" w:rsidRPr="00C60AD1" w:rsidRDefault="00C34658" w:rsidP="00D55642">
            <w:pPr>
              <w:spacing w:before="0"/>
              <w:rPr>
                <w:rFonts w:asciiTheme="minorHAnsi" w:hAnsiTheme="minorHAnsi"/>
                <w:sz w:val="22"/>
                <w:szCs w:val="22"/>
              </w:rPr>
            </w:pPr>
            <w:r w:rsidRPr="00C60AD1">
              <w:rPr>
                <w:rFonts w:asciiTheme="minorHAnsi" w:hAnsiTheme="minorHAnsi" w:cs="Calibri"/>
                <w:sz w:val="22"/>
                <w:szCs w:val="22"/>
              </w:rPr>
              <w:t>Solar Energy</w:t>
            </w:r>
          </w:p>
        </w:tc>
        <w:tc>
          <w:tcPr>
            <w:tcW w:w="1370"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color w:val="000000"/>
                <w:sz w:val="22"/>
                <w:szCs w:val="22"/>
              </w:rPr>
              <w:t>84.00</w:t>
            </w:r>
          </w:p>
        </w:tc>
        <w:tc>
          <w:tcPr>
            <w:tcW w:w="753"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p>
        </w:tc>
        <w:tc>
          <w:tcPr>
            <w:tcW w:w="586"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p>
        </w:tc>
        <w:tc>
          <w:tcPr>
            <w:tcW w:w="764"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color w:val="000000"/>
                <w:sz w:val="22"/>
                <w:szCs w:val="22"/>
              </w:rPr>
              <w:t>10.76</w:t>
            </w:r>
          </w:p>
        </w:tc>
        <w:tc>
          <w:tcPr>
            <w:tcW w:w="1067"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color w:val="000000"/>
                <w:sz w:val="22"/>
                <w:szCs w:val="22"/>
              </w:rPr>
              <w:t>90.42</w:t>
            </w:r>
          </w:p>
        </w:tc>
        <w:tc>
          <w:tcPr>
            <w:tcW w:w="764"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color w:val="000000"/>
                <w:sz w:val="22"/>
                <w:szCs w:val="22"/>
              </w:rPr>
              <w:t>10.76</w:t>
            </w:r>
          </w:p>
        </w:tc>
        <w:tc>
          <w:tcPr>
            <w:tcW w:w="1356"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color w:val="000000"/>
                <w:sz w:val="22"/>
                <w:szCs w:val="22"/>
              </w:rPr>
              <w:t>90.42</w:t>
            </w:r>
          </w:p>
        </w:tc>
        <w:tc>
          <w:tcPr>
            <w:tcW w:w="1035"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sz w:val="22"/>
                <w:szCs w:val="22"/>
              </w:rPr>
              <w:t>10.76</w:t>
            </w:r>
          </w:p>
        </w:tc>
      </w:tr>
      <w:tr w:rsidR="00C34658" w:rsidRPr="00C60AD1" w:rsidTr="00D55642">
        <w:trPr>
          <w:trHeight w:val="83"/>
          <w:jc w:val="center"/>
        </w:trPr>
        <w:tc>
          <w:tcPr>
            <w:tcW w:w="1985" w:type="dxa"/>
            <w:shd w:val="clear" w:color="auto" w:fill="auto"/>
            <w:vAlign w:val="center"/>
            <w:hideMark/>
          </w:tcPr>
          <w:p w:rsidR="00C34658" w:rsidRPr="00C60AD1" w:rsidRDefault="00C34658" w:rsidP="00D55642">
            <w:pPr>
              <w:spacing w:before="0"/>
              <w:rPr>
                <w:rFonts w:asciiTheme="minorHAnsi" w:hAnsiTheme="minorHAnsi"/>
                <w:sz w:val="22"/>
                <w:szCs w:val="22"/>
              </w:rPr>
            </w:pPr>
            <w:r w:rsidRPr="00C60AD1">
              <w:rPr>
                <w:rFonts w:asciiTheme="minorHAnsi" w:hAnsiTheme="minorHAnsi" w:cs="Calibri"/>
                <w:sz w:val="22"/>
                <w:szCs w:val="22"/>
              </w:rPr>
              <w:t>NVVN Coal Power</w:t>
            </w:r>
          </w:p>
        </w:tc>
        <w:tc>
          <w:tcPr>
            <w:tcW w:w="1370"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color w:val="000000"/>
                <w:sz w:val="22"/>
                <w:szCs w:val="22"/>
              </w:rPr>
              <w:t>351.62</w:t>
            </w:r>
          </w:p>
        </w:tc>
        <w:tc>
          <w:tcPr>
            <w:tcW w:w="753"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p>
        </w:tc>
        <w:tc>
          <w:tcPr>
            <w:tcW w:w="586"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p>
        </w:tc>
        <w:tc>
          <w:tcPr>
            <w:tcW w:w="764"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color w:val="000000"/>
                <w:sz w:val="22"/>
                <w:szCs w:val="22"/>
              </w:rPr>
              <w:t>3.26</w:t>
            </w:r>
          </w:p>
        </w:tc>
        <w:tc>
          <w:tcPr>
            <w:tcW w:w="1067"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color w:val="000000"/>
                <w:sz w:val="22"/>
                <w:szCs w:val="22"/>
              </w:rPr>
              <w:t>114.46</w:t>
            </w:r>
          </w:p>
        </w:tc>
        <w:tc>
          <w:tcPr>
            <w:tcW w:w="764"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color w:val="000000"/>
                <w:sz w:val="22"/>
                <w:szCs w:val="22"/>
              </w:rPr>
              <w:t>3.26</w:t>
            </w:r>
          </w:p>
        </w:tc>
        <w:tc>
          <w:tcPr>
            <w:tcW w:w="1356"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color w:val="000000"/>
                <w:sz w:val="22"/>
                <w:szCs w:val="22"/>
              </w:rPr>
              <w:t>114.46</w:t>
            </w:r>
          </w:p>
        </w:tc>
        <w:tc>
          <w:tcPr>
            <w:tcW w:w="1035" w:type="dxa"/>
            <w:shd w:val="clear" w:color="auto" w:fill="auto"/>
            <w:vAlign w:val="center"/>
            <w:hideMark/>
          </w:tcPr>
          <w:p w:rsidR="00C34658" w:rsidRPr="00C60AD1" w:rsidRDefault="00C34658" w:rsidP="00D55642">
            <w:pPr>
              <w:spacing w:before="0"/>
              <w:jc w:val="right"/>
              <w:rPr>
                <w:rFonts w:asciiTheme="minorHAnsi" w:hAnsiTheme="minorHAnsi"/>
                <w:sz w:val="22"/>
                <w:szCs w:val="22"/>
              </w:rPr>
            </w:pPr>
            <w:r>
              <w:rPr>
                <w:sz w:val="22"/>
                <w:szCs w:val="22"/>
              </w:rPr>
              <w:t>3.26</w:t>
            </w:r>
          </w:p>
        </w:tc>
      </w:tr>
      <w:tr w:rsidR="00C34658" w:rsidRPr="00C60AD1" w:rsidTr="00D55642">
        <w:trPr>
          <w:trHeight w:val="83"/>
          <w:jc w:val="center"/>
        </w:trPr>
        <w:tc>
          <w:tcPr>
            <w:tcW w:w="1985" w:type="dxa"/>
            <w:shd w:val="clear" w:color="auto" w:fill="auto"/>
            <w:vAlign w:val="center"/>
            <w:hideMark/>
          </w:tcPr>
          <w:p w:rsidR="00C34658" w:rsidRPr="00C60AD1" w:rsidRDefault="00C34658" w:rsidP="00D55642">
            <w:pPr>
              <w:spacing w:before="0"/>
              <w:jc w:val="left"/>
              <w:rPr>
                <w:rFonts w:asciiTheme="minorHAnsi" w:hAnsiTheme="minorHAnsi"/>
                <w:b/>
                <w:sz w:val="22"/>
                <w:szCs w:val="22"/>
              </w:rPr>
            </w:pPr>
            <w:r w:rsidRPr="00C60AD1">
              <w:rPr>
                <w:rFonts w:asciiTheme="minorHAnsi" w:hAnsiTheme="minorHAnsi"/>
                <w:b/>
                <w:sz w:val="22"/>
                <w:szCs w:val="22"/>
              </w:rPr>
              <w:t>Total</w:t>
            </w:r>
          </w:p>
        </w:tc>
        <w:tc>
          <w:tcPr>
            <w:tcW w:w="1370" w:type="dxa"/>
            <w:shd w:val="clear" w:color="auto" w:fill="auto"/>
            <w:vAlign w:val="center"/>
            <w:hideMark/>
          </w:tcPr>
          <w:p w:rsidR="00C34658" w:rsidRPr="00C60AD1" w:rsidRDefault="00C34658" w:rsidP="00D55642">
            <w:pPr>
              <w:spacing w:before="0"/>
              <w:jc w:val="right"/>
              <w:rPr>
                <w:rFonts w:asciiTheme="minorHAnsi" w:hAnsiTheme="minorHAnsi"/>
                <w:b/>
                <w:sz w:val="22"/>
                <w:szCs w:val="22"/>
              </w:rPr>
            </w:pPr>
            <w:r>
              <w:rPr>
                <w:rFonts w:asciiTheme="minorHAnsi" w:hAnsiTheme="minorHAnsi"/>
                <w:b/>
                <w:bCs/>
                <w:sz w:val="22"/>
                <w:szCs w:val="22"/>
              </w:rPr>
              <w:t>3,300.62</w:t>
            </w:r>
          </w:p>
        </w:tc>
        <w:tc>
          <w:tcPr>
            <w:tcW w:w="753" w:type="dxa"/>
            <w:shd w:val="clear" w:color="auto" w:fill="auto"/>
            <w:vAlign w:val="center"/>
            <w:hideMark/>
          </w:tcPr>
          <w:p w:rsidR="00C34658" w:rsidRPr="00C60AD1" w:rsidRDefault="00C34658" w:rsidP="00D55642">
            <w:pPr>
              <w:spacing w:before="0"/>
              <w:jc w:val="right"/>
              <w:rPr>
                <w:rFonts w:asciiTheme="minorHAnsi" w:hAnsiTheme="minorHAnsi"/>
                <w:b/>
                <w:sz w:val="22"/>
                <w:szCs w:val="22"/>
              </w:rPr>
            </w:pPr>
          </w:p>
        </w:tc>
        <w:tc>
          <w:tcPr>
            <w:tcW w:w="586" w:type="dxa"/>
            <w:shd w:val="clear" w:color="auto" w:fill="auto"/>
            <w:vAlign w:val="center"/>
            <w:hideMark/>
          </w:tcPr>
          <w:p w:rsidR="00C34658" w:rsidRPr="00C60AD1" w:rsidRDefault="00C34658" w:rsidP="00D55642">
            <w:pPr>
              <w:spacing w:before="0"/>
              <w:jc w:val="right"/>
              <w:rPr>
                <w:rFonts w:asciiTheme="minorHAnsi" w:hAnsiTheme="minorHAnsi"/>
                <w:b/>
                <w:sz w:val="22"/>
                <w:szCs w:val="22"/>
              </w:rPr>
            </w:pPr>
          </w:p>
        </w:tc>
        <w:tc>
          <w:tcPr>
            <w:tcW w:w="764" w:type="dxa"/>
            <w:shd w:val="clear" w:color="auto" w:fill="auto"/>
            <w:vAlign w:val="center"/>
            <w:hideMark/>
          </w:tcPr>
          <w:p w:rsidR="00C34658" w:rsidRPr="00C60AD1" w:rsidRDefault="00C34658" w:rsidP="00D55642">
            <w:pPr>
              <w:spacing w:before="0"/>
              <w:jc w:val="right"/>
              <w:rPr>
                <w:rFonts w:asciiTheme="minorHAnsi" w:hAnsiTheme="minorHAnsi"/>
                <w:b/>
                <w:sz w:val="22"/>
                <w:szCs w:val="22"/>
              </w:rPr>
            </w:pPr>
            <w:r>
              <w:rPr>
                <w:rFonts w:asciiTheme="minorHAnsi" w:hAnsiTheme="minorHAnsi"/>
                <w:b/>
                <w:sz w:val="22"/>
                <w:szCs w:val="22"/>
              </w:rPr>
              <w:t>4.78</w:t>
            </w:r>
          </w:p>
        </w:tc>
        <w:tc>
          <w:tcPr>
            <w:tcW w:w="1067" w:type="dxa"/>
            <w:shd w:val="clear" w:color="auto" w:fill="auto"/>
            <w:vAlign w:val="center"/>
            <w:hideMark/>
          </w:tcPr>
          <w:p w:rsidR="00C34658" w:rsidRPr="00C60AD1" w:rsidRDefault="00C34658" w:rsidP="00D55642">
            <w:pPr>
              <w:spacing w:before="0"/>
              <w:jc w:val="right"/>
              <w:rPr>
                <w:rFonts w:asciiTheme="minorHAnsi" w:hAnsiTheme="minorHAnsi"/>
                <w:b/>
                <w:sz w:val="22"/>
                <w:szCs w:val="22"/>
              </w:rPr>
            </w:pPr>
            <w:r>
              <w:rPr>
                <w:rFonts w:asciiTheme="minorHAnsi" w:hAnsiTheme="minorHAnsi"/>
                <w:b/>
                <w:bCs/>
                <w:sz w:val="22"/>
                <w:szCs w:val="22"/>
              </w:rPr>
              <w:t>1578.47</w:t>
            </w:r>
          </w:p>
        </w:tc>
        <w:tc>
          <w:tcPr>
            <w:tcW w:w="764" w:type="dxa"/>
            <w:shd w:val="clear" w:color="auto" w:fill="auto"/>
            <w:vAlign w:val="center"/>
            <w:hideMark/>
          </w:tcPr>
          <w:p w:rsidR="00C34658" w:rsidRPr="00C60AD1" w:rsidRDefault="00C34658" w:rsidP="00D55642">
            <w:pPr>
              <w:spacing w:before="0"/>
              <w:jc w:val="right"/>
              <w:rPr>
                <w:rFonts w:asciiTheme="minorHAnsi" w:hAnsiTheme="minorHAnsi"/>
                <w:b/>
                <w:sz w:val="22"/>
                <w:szCs w:val="22"/>
              </w:rPr>
            </w:pPr>
            <w:r>
              <w:rPr>
                <w:rFonts w:asciiTheme="minorHAnsi" w:hAnsiTheme="minorHAnsi"/>
                <w:b/>
                <w:sz w:val="22"/>
                <w:szCs w:val="22"/>
              </w:rPr>
              <w:t>4.78</w:t>
            </w:r>
          </w:p>
        </w:tc>
        <w:tc>
          <w:tcPr>
            <w:tcW w:w="1356" w:type="dxa"/>
            <w:shd w:val="clear" w:color="auto" w:fill="auto"/>
            <w:vAlign w:val="center"/>
            <w:hideMark/>
          </w:tcPr>
          <w:p w:rsidR="00C34658" w:rsidRPr="00C60AD1" w:rsidRDefault="00C34658" w:rsidP="00D55642">
            <w:pPr>
              <w:spacing w:before="0"/>
              <w:jc w:val="right"/>
              <w:rPr>
                <w:rFonts w:asciiTheme="minorHAnsi" w:hAnsiTheme="minorHAnsi"/>
                <w:b/>
                <w:sz w:val="22"/>
                <w:szCs w:val="22"/>
              </w:rPr>
            </w:pPr>
            <w:r>
              <w:rPr>
                <w:rFonts w:asciiTheme="minorHAnsi" w:hAnsiTheme="minorHAnsi"/>
                <w:b/>
                <w:bCs/>
                <w:sz w:val="22"/>
                <w:szCs w:val="22"/>
              </w:rPr>
              <w:t>1,578.47</w:t>
            </w:r>
          </w:p>
        </w:tc>
        <w:tc>
          <w:tcPr>
            <w:tcW w:w="1035" w:type="dxa"/>
            <w:shd w:val="clear" w:color="auto" w:fill="auto"/>
            <w:vAlign w:val="center"/>
            <w:hideMark/>
          </w:tcPr>
          <w:p w:rsidR="00C34658" w:rsidRPr="00C60AD1" w:rsidRDefault="00C34658" w:rsidP="00D55642">
            <w:pPr>
              <w:spacing w:before="0"/>
              <w:jc w:val="right"/>
              <w:rPr>
                <w:rFonts w:asciiTheme="minorHAnsi" w:hAnsiTheme="minorHAnsi"/>
                <w:b/>
                <w:sz w:val="22"/>
                <w:szCs w:val="22"/>
              </w:rPr>
            </w:pPr>
            <w:r>
              <w:rPr>
                <w:rFonts w:asciiTheme="minorHAnsi" w:hAnsiTheme="minorHAnsi"/>
                <w:b/>
                <w:sz w:val="22"/>
                <w:szCs w:val="22"/>
              </w:rPr>
              <w:t>4.78</w:t>
            </w:r>
          </w:p>
        </w:tc>
      </w:tr>
    </w:tbl>
    <w:p w:rsidR="00C34658" w:rsidRPr="00C60AD1" w:rsidRDefault="00C34658" w:rsidP="00C34658">
      <w:pPr>
        <w:spacing w:before="0" w:line="240" w:lineRule="auto"/>
        <w:jc w:val="center"/>
        <w:rPr>
          <w:sz w:val="23"/>
          <w:szCs w:val="23"/>
        </w:rPr>
      </w:pPr>
    </w:p>
    <w:p w:rsidR="006C63AF" w:rsidRDefault="00C34658" w:rsidP="006C63AF">
      <w:pPr>
        <w:pStyle w:val="Heading2"/>
        <w:numPr>
          <w:ilvl w:val="1"/>
          <w:numId w:val="16"/>
        </w:numPr>
        <w:spacing w:before="0"/>
      </w:pPr>
      <w:bookmarkStart w:id="700" w:name="_Toc396573831"/>
      <w:bookmarkStart w:id="701" w:name="_Toc399623729"/>
      <w:bookmarkStart w:id="702" w:name="_Toc453367608"/>
      <w:bookmarkStart w:id="703" w:name="_Toc457603945"/>
      <w:r w:rsidRPr="00C60AD1">
        <w:t>POWER PROCUREMENT FROM BILATERAL SOURCES</w:t>
      </w:r>
      <w:bookmarkEnd w:id="700"/>
      <w:bookmarkEnd w:id="701"/>
      <w:bookmarkEnd w:id="702"/>
      <w:bookmarkEnd w:id="703"/>
    </w:p>
    <w:p w:rsidR="00C34658" w:rsidRPr="00C60AD1" w:rsidRDefault="00C34658" w:rsidP="00C34658">
      <w:pPr>
        <w:pStyle w:val="Heading3"/>
        <w:numPr>
          <w:ilvl w:val="0"/>
          <w:numId w:val="0"/>
        </w:numPr>
        <w:ind w:left="90"/>
        <w:rPr>
          <w:b/>
        </w:rPr>
      </w:pPr>
      <w:r w:rsidRPr="00C60AD1">
        <w:rPr>
          <w:b/>
        </w:rPr>
        <w:t>The Licensees’ Submission:</w:t>
      </w:r>
    </w:p>
    <w:p w:rsidR="00D5771F" w:rsidRDefault="00C34658">
      <w:pPr>
        <w:pStyle w:val="Heading3"/>
        <w:tabs>
          <w:tab w:val="clear" w:pos="720"/>
        </w:tabs>
        <w:spacing w:after="240"/>
        <w:ind w:left="993" w:hanging="993"/>
      </w:pPr>
      <w:r w:rsidRPr="00641F09">
        <w:t xml:space="preserve">The Petitioner has signed PPAs under Case-1 bidding from various generators and traders such as PTC India Limited (TRN Energy &amp; MB Power), LancoBabandh, KSK Energy. The scheduled date of supply is </w:t>
      </w:r>
      <w:r>
        <w:t>October 1, 2016</w:t>
      </w:r>
      <w:r w:rsidRPr="00641F09">
        <w:t>. However, early supply from PTC India (MB Power) and KSK Energy-200 MW has already commenced from August and October 2015 respectively. Accordingly, the projected power purchase from such generators has been projected at the yearly tariff streams quoted by such generators in the Case-1 bids.</w:t>
      </w:r>
    </w:p>
    <w:p w:rsidR="00D5771F" w:rsidRDefault="00C34658">
      <w:pPr>
        <w:pStyle w:val="Heading3"/>
        <w:tabs>
          <w:tab w:val="clear" w:pos="720"/>
        </w:tabs>
        <w:spacing w:after="240"/>
        <w:ind w:left="993" w:hanging="993"/>
      </w:pPr>
      <w:r w:rsidRPr="00C60AD1">
        <w:t xml:space="preserve">The Licensee’s submission of power purchase from bilateral sources for FY </w:t>
      </w:r>
      <w:r>
        <w:t>2016-17</w:t>
      </w:r>
      <w:r w:rsidRPr="00C60AD1">
        <w:t xml:space="preserve"> is provided in the Table below:</w:t>
      </w:r>
    </w:p>
    <w:p w:rsidR="00C34658" w:rsidRPr="00C60AD1" w:rsidRDefault="00C34658" w:rsidP="00C34658">
      <w:pPr>
        <w:spacing w:before="0"/>
        <w:jc w:val="center"/>
        <w:rPr>
          <w:rFonts w:cs="Calibri"/>
          <w:b/>
          <w:sz w:val="22"/>
          <w:szCs w:val="22"/>
          <w:lang w:val="en-US"/>
        </w:rPr>
      </w:pPr>
      <w:bookmarkStart w:id="704" w:name="_Toc395657960"/>
      <w:bookmarkStart w:id="705" w:name="_Toc396574011"/>
      <w:bookmarkStart w:id="706" w:name="_Toc399624112"/>
      <w:bookmarkStart w:id="707" w:name="_Toc453367689"/>
      <w:bookmarkStart w:id="708" w:name="_Toc457604060"/>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44</w:t>
      </w:r>
      <w:r w:rsidR="009741CA" w:rsidRPr="00C60AD1">
        <w:rPr>
          <w:rFonts w:cs="Calibri"/>
          <w:b/>
          <w:sz w:val="22"/>
          <w:szCs w:val="22"/>
          <w:lang w:val="en-US"/>
        </w:rPr>
        <w:fldChar w:fldCharType="end"/>
      </w:r>
      <w:r w:rsidRPr="00C60AD1">
        <w:rPr>
          <w:rFonts w:cs="Calibri"/>
          <w:b/>
          <w:sz w:val="22"/>
          <w:szCs w:val="22"/>
          <w:lang w:val="en-US"/>
        </w:rPr>
        <w:t>: DETAILS OF POWER PURCHASE COST FROM INTER SYSTEM EXCHANGE (BILATERAL &amp; PXIL) / UI AS SUBMITTED BY DISTRIBUTION LICENSEES</w:t>
      </w:r>
      <w:bookmarkEnd w:id="704"/>
      <w:bookmarkEnd w:id="705"/>
      <w:bookmarkEnd w:id="706"/>
      <w:bookmarkEnd w:id="707"/>
      <w:bookmarkEnd w:id="708"/>
    </w:p>
    <w:tbl>
      <w:tblPr>
        <w:tblW w:w="9202" w:type="dxa"/>
        <w:tblInd w:w="103"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tblPr>
      <w:tblGrid>
        <w:gridCol w:w="2248"/>
        <w:gridCol w:w="581"/>
        <w:gridCol w:w="912"/>
        <w:gridCol w:w="697"/>
        <w:gridCol w:w="912"/>
        <w:gridCol w:w="901"/>
        <w:gridCol w:w="912"/>
        <w:gridCol w:w="901"/>
        <w:gridCol w:w="1138"/>
      </w:tblGrid>
      <w:tr w:rsidR="00C34658" w:rsidRPr="00C60AD1" w:rsidTr="008334E8">
        <w:trPr>
          <w:trHeight w:val="603"/>
          <w:tblHeader/>
        </w:trPr>
        <w:tc>
          <w:tcPr>
            <w:tcW w:w="0" w:type="auto"/>
            <w:vMerge w:val="restart"/>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Source of Power</w:t>
            </w:r>
          </w:p>
        </w:tc>
        <w:tc>
          <w:tcPr>
            <w:tcW w:w="0" w:type="auto"/>
            <w:vMerge w:val="restart"/>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MU</w:t>
            </w:r>
          </w:p>
        </w:tc>
        <w:tc>
          <w:tcPr>
            <w:tcW w:w="0" w:type="auto"/>
            <w:gridSpan w:val="2"/>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Fixed Cost</w:t>
            </w:r>
          </w:p>
        </w:tc>
        <w:tc>
          <w:tcPr>
            <w:tcW w:w="0" w:type="auto"/>
            <w:gridSpan w:val="2"/>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Variable Cost</w:t>
            </w:r>
          </w:p>
        </w:tc>
        <w:tc>
          <w:tcPr>
            <w:tcW w:w="0" w:type="auto"/>
            <w:gridSpan w:val="2"/>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Total Cost</w:t>
            </w:r>
          </w:p>
        </w:tc>
        <w:tc>
          <w:tcPr>
            <w:tcW w:w="0" w:type="auto"/>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Average Cost</w:t>
            </w:r>
          </w:p>
        </w:tc>
      </w:tr>
      <w:tr w:rsidR="00C34658" w:rsidRPr="00C60AD1" w:rsidTr="008334E8">
        <w:trPr>
          <w:trHeight w:val="603"/>
          <w:tblHeader/>
        </w:trPr>
        <w:tc>
          <w:tcPr>
            <w:tcW w:w="0" w:type="auto"/>
            <w:vMerge/>
            <w:hideMark/>
          </w:tcPr>
          <w:p w:rsidR="00337C98" w:rsidRDefault="00337C98" w:rsidP="00337C98">
            <w:pPr>
              <w:spacing w:before="0" w:line="240" w:lineRule="auto"/>
              <w:jc w:val="center"/>
              <w:rPr>
                <w:b/>
                <w:bCs/>
                <w:sz w:val="22"/>
                <w:szCs w:val="22"/>
                <w:lang w:val="en-US"/>
              </w:rPr>
            </w:pPr>
          </w:p>
        </w:tc>
        <w:tc>
          <w:tcPr>
            <w:tcW w:w="0" w:type="auto"/>
            <w:vMerge/>
            <w:hideMark/>
          </w:tcPr>
          <w:p w:rsidR="00337C98" w:rsidRDefault="00337C98" w:rsidP="00337C98">
            <w:pPr>
              <w:spacing w:before="0" w:line="240" w:lineRule="auto"/>
              <w:jc w:val="center"/>
              <w:rPr>
                <w:b/>
                <w:bCs/>
                <w:sz w:val="22"/>
                <w:szCs w:val="22"/>
                <w:lang w:val="en-US"/>
              </w:rPr>
            </w:pPr>
          </w:p>
        </w:tc>
        <w:tc>
          <w:tcPr>
            <w:tcW w:w="0" w:type="auto"/>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 kWh)</w:t>
            </w:r>
          </w:p>
        </w:tc>
        <w:tc>
          <w:tcPr>
            <w:tcW w:w="0" w:type="auto"/>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Cr.)</w:t>
            </w:r>
          </w:p>
        </w:tc>
        <w:tc>
          <w:tcPr>
            <w:tcW w:w="0" w:type="auto"/>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 kWh)</w:t>
            </w:r>
          </w:p>
        </w:tc>
        <w:tc>
          <w:tcPr>
            <w:tcW w:w="0" w:type="auto"/>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Cr.)</w:t>
            </w:r>
          </w:p>
        </w:tc>
        <w:tc>
          <w:tcPr>
            <w:tcW w:w="0" w:type="auto"/>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 kWh)</w:t>
            </w:r>
          </w:p>
        </w:tc>
        <w:tc>
          <w:tcPr>
            <w:tcW w:w="0" w:type="auto"/>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Cr.)</w:t>
            </w:r>
          </w:p>
        </w:tc>
        <w:tc>
          <w:tcPr>
            <w:tcW w:w="0" w:type="auto"/>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 kWh)</w:t>
            </w:r>
          </w:p>
        </w:tc>
      </w:tr>
      <w:tr w:rsidR="00C34658" w:rsidRPr="00C60AD1" w:rsidTr="00D55642">
        <w:trPr>
          <w:trHeight w:val="620"/>
        </w:trPr>
        <w:tc>
          <w:tcPr>
            <w:tcW w:w="0" w:type="auto"/>
            <w:shd w:val="clear" w:color="auto" w:fill="auto"/>
            <w:hideMark/>
          </w:tcPr>
          <w:p w:rsidR="00C34658" w:rsidRPr="00C60AD1" w:rsidRDefault="00C34658" w:rsidP="00D55642">
            <w:pPr>
              <w:spacing w:before="0" w:line="240" w:lineRule="auto"/>
              <w:jc w:val="left"/>
              <w:rPr>
                <w:sz w:val="22"/>
                <w:szCs w:val="22"/>
                <w:lang w:val="en-US"/>
              </w:rPr>
            </w:pPr>
            <w:r w:rsidRPr="00C60AD1">
              <w:rPr>
                <w:sz w:val="22"/>
                <w:szCs w:val="22"/>
                <w:lang w:val="en-US"/>
              </w:rPr>
              <w:t>Inter system exchange (Bilateral &amp; PXIL) / UI</w:t>
            </w:r>
          </w:p>
        </w:tc>
        <w:tc>
          <w:tcPr>
            <w:tcW w:w="0" w:type="auto"/>
            <w:shd w:val="clear" w:color="auto" w:fill="auto"/>
            <w:hideMark/>
          </w:tcPr>
          <w:p w:rsidR="00C34658" w:rsidRPr="00C60AD1" w:rsidRDefault="00C34658" w:rsidP="00D55642">
            <w:pPr>
              <w:spacing w:before="0" w:line="240" w:lineRule="auto"/>
              <w:jc w:val="right"/>
              <w:rPr>
                <w:sz w:val="22"/>
                <w:szCs w:val="22"/>
                <w:lang w:val="en-US"/>
              </w:rPr>
            </w:pPr>
            <w:r>
              <w:t>217</w:t>
            </w:r>
          </w:p>
        </w:tc>
        <w:tc>
          <w:tcPr>
            <w:tcW w:w="0" w:type="auto"/>
            <w:shd w:val="clear" w:color="auto" w:fill="auto"/>
            <w:hideMark/>
          </w:tcPr>
          <w:p w:rsidR="00C34658" w:rsidRPr="00C60AD1" w:rsidRDefault="00C34658" w:rsidP="00D55642">
            <w:pPr>
              <w:spacing w:before="0" w:line="240" w:lineRule="auto"/>
              <w:jc w:val="right"/>
              <w:rPr>
                <w:sz w:val="22"/>
                <w:szCs w:val="22"/>
                <w:lang w:val="en-US"/>
              </w:rPr>
            </w:pPr>
          </w:p>
        </w:tc>
        <w:tc>
          <w:tcPr>
            <w:tcW w:w="0" w:type="auto"/>
            <w:shd w:val="clear" w:color="auto" w:fill="auto"/>
            <w:hideMark/>
          </w:tcPr>
          <w:p w:rsidR="00C34658" w:rsidRPr="00C60AD1" w:rsidRDefault="00C34658" w:rsidP="00D55642">
            <w:pPr>
              <w:spacing w:before="0" w:line="240" w:lineRule="auto"/>
              <w:jc w:val="right"/>
              <w:rPr>
                <w:sz w:val="22"/>
                <w:szCs w:val="22"/>
                <w:lang w:val="en-US"/>
              </w:rPr>
            </w:pPr>
          </w:p>
        </w:tc>
        <w:tc>
          <w:tcPr>
            <w:tcW w:w="0" w:type="auto"/>
            <w:shd w:val="clear" w:color="auto" w:fill="auto"/>
            <w:hideMark/>
          </w:tcPr>
          <w:p w:rsidR="00C34658" w:rsidRPr="00C60AD1" w:rsidRDefault="00C34658" w:rsidP="00D55642">
            <w:pPr>
              <w:spacing w:before="0" w:line="240" w:lineRule="auto"/>
              <w:jc w:val="right"/>
              <w:rPr>
                <w:sz w:val="22"/>
                <w:szCs w:val="22"/>
                <w:lang w:val="en-US"/>
              </w:rPr>
            </w:pPr>
            <w:r>
              <w:t>5.30</w:t>
            </w:r>
          </w:p>
        </w:tc>
        <w:tc>
          <w:tcPr>
            <w:tcW w:w="0" w:type="auto"/>
            <w:shd w:val="clear" w:color="auto" w:fill="auto"/>
            <w:hideMark/>
          </w:tcPr>
          <w:p w:rsidR="00C34658" w:rsidRPr="00C60AD1" w:rsidRDefault="00C34658" w:rsidP="00D55642">
            <w:pPr>
              <w:spacing w:before="0" w:line="240" w:lineRule="auto"/>
              <w:jc w:val="right"/>
              <w:rPr>
                <w:sz w:val="22"/>
                <w:szCs w:val="22"/>
                <w:lang w:val="en-US"/>
              </w:rPr>
            </w:pPr>
            <w:r>
              <w:t>114.98</w:t>
            </w:r>
          </w:p>
        </w:tc>
        <w:tc>
          <w:tcPr>
            <w:tcW w:w="0" w:type="auto"/>
            <w:shd w:val="clear" w:color="auto" w:fill="auto"/>
            <w:hideMark/>
          </w:tcPr>
          <w:p w:rsidR="00C34658" w:rsidRPr="00C60AD1" w:rsidRDefault="00C34658" w:rsidP="00D55642">
            <w:pPr>
              <w:spacing w:before="0" w:line="240" w:lineRule="auto"/>
              <w:jc w:val="right"/>
              <w:rPr>
                <w:sz w:val="22"/>
                <w:szCs w:val="22"/>
                <w:lang w:val="en-US"/>
              </w:rPr>
            </w:pPr>
            <w:r>
              <w:t>5.30</w:t>
            </w:r>
          </w:p>
        </w:tc>
        <w:tc>
          <w:tcPr>
            <w:tcW w:w="0" w:type="auto"/>
            <w:shd w:val="clear" w:color="auto" w:fill="auto"/>
            <w:hideMark/>
          </w:tcPr>
          <w:p w:rsidR="00C34658" w:rsidRPr="00C60AD1" w:rsidRDefault="00C34658" w:rsidP="00D55642">
            <w:pPr>
              <w:spacing w:before="0" w:line="240" w:lineRule="auto"/>
              <w:jc w:val="right"/>
              <w:rPr>
                <w:sz w:val="22"/>
                <w:szCs w:val="22"/>
                <w:lang w:val="en-US"/>
              </w:rPr>
            </w:pPr>
            <w:r>
              <w:t>114.98</w:t>
            </w:r>
          </w:p>
        </w:tc>
        <w:tc>
          <w:tcPr>
            <w:tcW w:w="0" w:type="auto"/>
            <w:shd w:val="clear" w:color="auto" w:fill="auto"/>
            <w:hideMark/>
          </w:tcPr>
          <w:p w:rsidR="00C34658" w:rsidRPr="00C60AD1" w:rsidRDefault="00C34658" w:rsidP="00D55642">
            <w:pPr>
              <w:spacing w:before="0" w:line="240" w:lineRule="auto"/>
              <w:jc w:val="right"/>
              <w:rPr>
                <w:sz w:val="22"/>
                <w:szCs w:val="22"/>
                <w:lang w:val="en-US"/>
              </w:rPr>
            </w:pPr>
            <w:r>
              <w:t>5.30</w:t>
            </w:r>
          </w:p>
        </w:tc>
      </w:tr>
      <w:tr w:rsidR="00C34658" w:rsidRPr="00C60AD1" w:rsidTr="00D55642">
        <w:trPr>
          <w:trHeight w:val="302"/>
        </w:trPr>
        <w:tc>
          <w:tcPr>
            <w:tcW w:w="0" w:type="auto"/>
            <w:shd w:val="clear" w:color="auto" w:fill="auto"/>
            <w:noWrap/>
            <w:hideMark/>
          </w:tcPr>
          <w:p w:rsidR="00C34658" w:rsidRPr="00C60AD1" w:rsidRDefault="00C34658" w:rsidP="00D55642">
            <w:pPr>
              <w:spacing w:before="0" w:line="240" w:lineRule="auto"/>
              <w:jc w:val="left"/>
              <w:rPr>
                <w:b/>
                <w:bCs/>
                <w:sz w:val="22"/>
                <w:szCs w:val="22"/>
                <w:lang w:val="en-US"/>
              </w:rPr>
            </w:pPr>
            <w:r w:rsidRPr="00C60AD1">
              <w:rPr>
                <w:b/>
                <w:bCs/>
                <w:sz w:val="22"/>
                <w:szCs w:val="22"/>
                <w:lang w:val="en-US"/>
              </w:rPr>
              <w:t>Total</w:t>
            </w:r>
          </w:p>
        </w:tc>
        <w:tc>
          <w:tcPr>
            <w:tcW w:w="0" w:type="auto"/>
            <w:shd w:val="clear" w:color="auto" w:fill="auto"/>
            <w:hideMark/>
          </w:tcPr>
          <w:p w:rsidR="00C34658" w:rsidRPr="00C60AD1" w:rsidRDefault="00C34658" w:rsidP="00D55642">
            <w:pPr>
              <w:spacing w:before="0" w:line="240" w:lineRule="auto"/>
              <w:jc w:val="right"/>
              <w:rPr>
                <w:b/>
                <w:bCs/>
                <w:sz w:val="22"/>
                <w:szCs w:val="22"/>
                <w:lang w:val="en-US"/>
              </w:rPr>
            </w:pPr>
            <w:r>
              <w:t>217</w:t>
            </w:r>
          </w:p>
        </w:tc>
        <w:tc>
          <w:tcPr>
            <w:tcW w:w="0" w:type="auto"/>
            <w:shd w:val="clear" w:color="auto" w:fill="auto"/>
            <w:hideMark/>
          </w:tcPr>
          <w:p w:rsidR="00C34658" w:rsidRPr="00C60AD1" w:rsidRDefault="00C34658" w:rsidP="00D55642">
            <w:pPr>
              <w:spacing w:before="0" w:line="240" w:lineRule="auto"/>
              <w:jc w:val="right"/>
              <w:rPr>
                <w:b/>
                <w:bCs/>
                <w:sz w:val="22"/>
                <w:szCs w:val="22"/>
                <w:lang w:val="en-US"/>
              </w:rPr>
            </w:pPr>
          </w:p>
        </w:tc>
        <w:tc>
          <w:tcPr>
            <w:tcW w:w="0" w:type="auto"/>
            <w:shd w:val="clear" w:color="auto" w:fill="auto"/>
            <w:hideMark/>
          </w:tcPr>
          <w:p w:rsidR="00C34658" w:rsidRPr="00C60AD1" w:rsidRDefault="00C34658" w:rsidP="00D55642">
            <w:pPr>
              <w:spacing w:before="0" w:line="240" w:lineRule="auto"/>
              <w:jc w:val="right"/>
              <w:rPr>
                <w:b/>
                <w:bCs/>
                <w:sz w:val="22"/>
                <w:szCs w:val="22"/>
                <w:lang w:val="en-US"/>
              </w:rPr>
            </w:pPr>
          </w:p>
        </w:tc>
        <w:tc>
          <w:tcPr>
            <w:tcW w:w="0" w:type="auto"/>
            <w:shd w:val="clear" w:color="auto" w:fill="auto"/>
            <w:hideMark/>
          </w:tcPr>
          <w:p w:rsidR="00C34658" w:rsidRPr="00C60AD1" w:rsidRDefault="00C34658" w:rsidP="00D55642">
            <w:pPr>
              <w:spacing w:before="0" w:line="240" w:lineRule="auto"/>
              <w:jc w:val="right"/>
              <w:rPr>
                <w:b/>
                <w:bCs/>
                <w:sz w:val="22"/>
                <w:szCs w:val="22"/>
                <w:lang w:val="en-US"/>
              </w:rPr>
            </w:pPr>
            <w:r>
              <w:t>5.30</w:t>
            </w:r>
          </w:p>
        </w:tc>
        <w:tc>
          <w:tcPr>
            <w:tcW w:w="0" w:type="auto"/>
            <w:shd w:val="clear" w:color="auto" w:fill="auto"/>
            <w:hideMark/>
          </w:tcPr>
          <w:p w:rsidR="00C34658" w:rsidRPr="00C60AD1" w:rsidRDefault="00C34658" w:rsidP="00D55642">
            <w:pPr>
              <w:spacing w:before="0" w:line="240" w:lineRule="auto"/>
              <w:jc w:val="right"/>
              <w:rPr>
                <w:b/>
                <w:bCs/>
                <w:sz w:val="22"/>
                <w:szCs w:val="22"/>
                <w:lang w:val="en-US"/>
              </w:rPr>
            </w:pPr>
            <w:r>
              <w:t>114.98</w:t>
            </w:r>
          </w:p>
        </w:tc>
        <w:tc>
          <w:tcPr>
            <w:tcW w:w="0" w:type="auto"/>
            <w:shd w:val="clear" w:color="auto" w:fill="auto"/>
            <w:hideMark/>
          </w:tcPr>
          <w:p w:rsidR="00C34658" w:rsidRPr="00C60AD1" w:rsidRDefault="00C34658" w:rsidP="00D55642">
            <w:pPr>
              <w:spacing w:before="0" w:line="240" w:lineRule="auto"/>
              <w:jc w:val="right"/>
              <w:rPr>
                <w:b/>
                <w:bCs/>
                <w:sz w:val="22"/>
                <w:szCs w:val="22"/>
                <w:lang w:val="en-US"/>
              </w:rPr>
            </w:pPr>
          </w:p>
        </w:tc>
        <w:tc>
          <w:tcPr>
            <w:tcW w:w="0" w:type="auto"/>
            <w:shd w:val="clear" w:color="auto" w:fill="auto"/>
            <w:hideMark/>
          </w:tcPr>
          <w:p w:rsidR="00C34658" w:rsidRPr="00C60AD1" w:rsidRDefault="00C34658" w:rsidP="00D55642">
            <w:pPr>
              <w:spacing w:before="0" w:line="240" w:lineRule="auto"/>
              <w:jc w:val="right"/>
              <w:rPr>
                <w:b/>
                <w:bCs/>
                <w:sz w:val="22"/>
                <w:szCs w:val="22"/>
                <w:lang w:val="en-US"/>
              </w:rPr>
            </w:pPr>
            <w:r>
              <w:t>114.98</w:t>
            </w:r>
          </w:p>
        </w:tc>
        <w:tc>
          <w:tcPr>
            <w:tcW w:w="0" w:type="auto"/>
            <w:shd w:val="clear" w:color="auto" w:fill="auto"/>
            <w:hideMark/>
          </w:tcPr>
          <w:p w:rsidR="00C34658" w:rsidRPr="00C60AD1" w:rsidRDefault="00C34658" w:rsidP="00D55642">
            <w:pPr>
              <w:spacing w:before="0" w:line="240" w:lineRule="auto"/>
              <w:jc w:val="right"/>
              <w:rPr>
                <w:b/>
                <w:bCs/>
                <w:sz w:val="22"/>
                <w:szCs w:val="22"/>
                <w:lang w:val="en-US"/>
              </w:rPr>
            </w:pPr>
            <w:r>
              <w:t>5.30</w:t>
            </w:r>
          </w:p>
        </w:tc>
      </w:tr>
    </w:tbl>
    <w:p w:rsidR="00D5771F" w:rsidRDefault="00D5771F">
      <w:pPr>
        <w:pStyle w:val="Heading3"/>
        <w:numPr>
          <w:ilvl w:val="0"/>
          <w:numId w:val="0"/>
        </w:numPr>
        <w:tabs>
          <w:tab w:val="clear" w:pos="720"/>
        </w:tabs>
        <w:spacing w:before="0" w:after="240" w:line="240" w:lineRule="auto"/>
      </w:pPr>
    </w:p>
    <w:p w:rsidR="00D5771F" w:rsidRDefault="00C34658">
      <w:pPr>
        <w:pStyle w:val="Heading3"/>
        <w:tabs>
          <w:tab w:val="clear" w:pos="720"/>
        </w:tabs>
        <w:spacing w:after="240"/>
        <w:ind w:left="993" w:hanging="993"/>
      </w:pPr>
      <w:r w:rsidRPr="00DB21D8">
        <w:t>The Commission based on the submission of the Licensees has assessed the rate for Power purchase from other / emergency sources as Rs. 5.30 / kWh for FY 201</w:t>
      </w:r>
      <w:r>
        <w:t>6-17</w:t>
      </w:r>
      <w:r w:rsidRPr="00DB21D8">
        <w:t>. In accordance with Clause 4.2.8 of the Distribution Tariff Regulations, 2006, the Commission hereby approves a maximum ceiling rate of Rs. 5.</w:t>
      </w:r>
      <w:r>
        <w:t>30</w:t>
      </w:r>
      <w:r w:rsidRPr="00DB21D8">
        <w:t xml:space="preserve"> / kWh towards power purchase cost from short term sources for FY 2016</w:t>
      </w:r>
      <w:r>
        <w:t>-17</w:t>
      </w:r>
      <w:r w:rsidRPr="00DB21D8">
        <w:t>. Further, if at any point of time, the Licensees are required to purchase the power at the rate more than the above ceiling limit, the same should be done taking prior approval of the Commission. It may be noted that the average power purchase rate from other / emergency sources should not be more than the specified ceiling limit.</w:t>
      </w:r>
    </w:p>
    <w:p w:rsidR="00D5771F" w:rsidRDefault="00C34658">
      <w:pPr>
        <w:pStyle w:val="Heading3"/>
        <w:tabs>
          <w:tab w:val="clear" w:pos="720"/>
        </w:tabs>
        <w:spacing w:after="240"/>
        <w:ind w:left="993" w:hanging="993"/>
        <w:rPr>
          <w:rFonts w:cs="Calibri"/>
          <w:b/>
          <w:sz w:val="22"/>
          <w:szCs w:val="22"/>
          <w:lang w:val="en-US"/>
        </w:rPr>
      </w:pPr>
      <w:r w:rsidRPr="00C60AD1">
        <w:t xml:space="preserve">Considering the above, the approved power purchase from bilateral sources for FY </w:t>
      </w:r>
      <w:r>
        <w:t>2016-17</w:t>
      </w:r>
      <w:r w:rsidRPr="00C60AD1">
        <w:t xml:space="preserve"> is provided in the Table below:</w:t>
      </w:r>
      <w:bookmarkStart w:id="709" w:name="_Toc395657961"/>
      <w:bookmarkStart w:id="710" w:name="_Toc396574012"/>
      <w:bookmarkStart w:id="711" w:name="_Toc399624113"/>
    </w:p>
    <w:p w:rsidR="00C34658" w:rsidRPr="00C60AD1" w:rsidRDefault="00C34658" w:rsidP="00C34658">
      <w:pPr>
        <w:spacing w:before="0"/>
        <w:jc w:val="center"/>
        <w:rPr>
          <w:rFonts w:cs="Calibri"/>
          <w:b/>
          <w:sz w:val="22"/>
          <w:szCs w:val="22"/>
          <w:lang w:val="en-US"/>
        </w:rPr>
      </w:pPr>
      <w:bookmarkStart w:id="712" w:name="_Toc453367690"/>
      <w:bookmarkStart w:id="713" w:name="_Toc457604061"/>
      <w:r w:rsidRPr="00C60AD1">
        <w:rPr>
          <w:rFonts w:cs="Calibri"/>
          <w:b/>
          <w:sz w:val="22"/>
          <w:szCs w:val="22"/>
          <w:lang w:val="en-US"/>
        </w:rPr>
        <w:lastRenderedPageBreak/>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45</w:t>
      </w:r>
      <w:r w:rsidR="009741CA" w:rsidRPr="00C60AD1">
        <w:rPr>
          <w:rFonts w:cs="Calibri"/>
          <w:b/>
          <w:sz w:val="22"/>
          <w:szCs w:val="22"/>
          <w:lang w:val="en-US"/>
        </w:rPr>
        <w:fldChar w:fldCharType="end"/>
      </w:r>
      <w:r w:rsidRPr="00C60AD1">
        <w:rPr>
          <w:rFonts w:cs="Calibri"/>
          <w:b/>
          <w:sz w:val="22"/>
          <w:szCs w:val="22"/>
          <w:lang w:val="en-US"/>
        </w:rPr>
        <w:t>: APPROVED COST OF POWER PURCHASE FROM INTER SYSTEM EXCHANGE (BILATERAL &amp; PXIL) / UI</w:t>
      </w:r>
      <w:bookmarkEnd w:id="709"/>
      <w:bookmarkEnd w:id="710"/>
      <w:bookmarkEnd w:id="711"/>
      <w:bookmarkEnd w:id="712"/>
      <w:bookmarkEnd w:id="713"/>
    </w:p>
    <w:tbl>
      <w:tblPr>
        <w:tblW w:w="9202" w:type="dxa"/>
        <w:tblInd w:w="103"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tblPr>
      <w:tblGrid>
        <w:gridCol w:w="2132"/>
        <w:gridCol w:w="1010"/>
        <w:gridCol w:w="799"/>
        <w:gridCol w:w="618"/>
        <w:gridCol w:w="799"/>
        <w:gridCol w:w="1001"/>
        <w:gridCol w:w="799"/>
        <w:gridCol w:w="1001"/>
        <w:gridCol w:w="1043"/>
      </w:tblGrid>
      <w:tr w:rsidR="00C34658" w:rsidRPr="00C60AD1" w:rsidTr="008334E8">
        <w:trPr>
          <w:trHeight w:val="603"/>
          <w:tblHeader/>
        </w:trPr>
        <w:tc>
          <w:tcPr>
            <w:tcW w:w="2132" w:type="dxa"/>
            <w:vMerge w:val="restart"/>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Source of Power</w:t>
            </w:r>
          </w:p>
        </w:tc>
        <w:tc>
          <w:tcPr>
            <w:tcW w:w="1010" w:type="dxa"/>
            <w:vMerge w:val="restart"/>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MU</w:t>
            </w:r>
          </w:p>
        </w:tc>
        <w:tc>
          <w:tcPr>
            <w:tcW w:w="1417" w:type="dxa"/>
            <w:gridSpan w:val="2"/>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Fixed Cost</w:t>
            </w:r>
          </w:p>
        </w:tc>
        <w:tc>
          <w:tcPr>
            <w:tcW w:w="1800" w:type="dxa"/>
            <w:gridSpan w:val="2"/>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Variable Cost</w:t>
            </w:r>
          </w:p>
        </w:tc>
        <w:tc>
          <w:tcPr>
            <w:tcW w:w="1800" w:type="dxa"/>
            <w:gridSpan w:val="2"/>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Total Cost</w:t>
            </w:r>
          </w:p>
        </w:tc>
        <w:tc>
          <w:tcPr>
            <w:tcW w:w="1043" w:type="dxa"/>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Average Cost</w:t>
            </w:r>
          </w:p>
        </w:tc>
      </w:tr>
      <w:tr w:rsidR="00C34658" w:rsidRPr="00C60AD1" w:rsidTr="008334E8">
        <w:trPr>
          <w:trHeight w:val="603"/>
          <w:tblHeader/>
        </w:trPr>
        <w:tc>
          <w:tcPr>
            <w:tcW w:w="2132" w:type="dxa"/>
            <w:vMerge/>
            <w:hideMark/>
          </w:tcPr>
          <w:p w:rsidR="00337C98" w:rsidRDefault="00337C98" w:rsidP="00337C98">
            <w:pPr>
              <w:spacing w:before="0" w:line="240" w:lineRule="auto"/>
              <w:jc w:val="center"/>
              <w:rPr>
                <w:b/>
                <w:bCs/>
                <w:sz w:val="22"/>
                <w:szCs w:val="22"/>
                <w:lang w:val="en-US"/>
              </w:rPr>
            </w:pPr>
          </w:p>
        </w:tc>
        <w:tc>
          <w:tcPr>
            <w:tcW w:w="1010" w:type="dxa"/>
            <w:vMerge/>
            <w:hideMark/>
          </w:tcPr>
          <w:p w:rsidR="00337C98" w:rsidRDefault="00337C98" w:rsidP="00337C98">
            <w:pPr>
              <w:spacing w:before="0" w:line="240" w:lineRule="auto"/>
              <w:jc w:val="center"/>
              <w:rPr>
                <w:b/>
                <w:bCs/>
                <w:sz w:val="22"/>
                <w:szCs w:val="22"/>
                <w:lang w:val="en-US"/>
              </w:rPr>
            </w:pPr>
          </w:p>
        </w:tc>
        <w:tc>
          <w:tcPr>
            <w:tcW w:w="799" w:type="dxa"/>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 kWh)</w:t>
            </w:r>
          </w:p>
        </w:tc>
        <w:tc>
          <w:tcPr>
            <w:tcW w:w="618" w:type="dxa"/>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Cr.)</w:t>
            </w:r>
          </w:p>
        </w:tc>
        <w:tc>
          <w:tcPr>
            <w:tcW w:w="799" w:type="dxa"/>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 kWh)</w:t>
            </w:r>
          </w:p>
        </w:tc>
        <w:tc>
          <w:tcPr>
            <w:tcW w:w="1001" w:type="dxa"/>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Cr.)</w:t>
            </w:r>
          </w:p>
        </w:tc>
        <w:tc>
          <w:tcPr>
            <w:tcW w:w="799" w:type="dxa"/>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 kWh)</w:t>
            </w:r>
          </w:p>
        </w:tc>
        <w:tc>
          <w:tcPr>
            <w:tcW w:w="1001" w:type="dxa"/>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Cr.)</w:t>
            </w:r>
          </w:p>
        </w:tc>
        <w:tc>
          <w:tcPr>
            <w:tcW w:w="1043" w:type="dxa"/>
            <w:shd w:val="clear" w:color="000000" w:fill="DBE5F1"/>
            <w:hideMark/>
          </w:tcPr>
          <w:p w:rsidR="00603835" w:rsidRDefault="00C34658">
            <w:pPr>
              <w:spacing w:before="0" w:line="240" w:lineRule="auto"/>
              <w:jc w:val="center"/>
              <w:rPr>
                <w:b/>
                <w:bCs/>
                <w:sz w:val="22"/>
                <w:szCs w:val="22"/>
                <w:lang w:val="en-US"/>
              </w:rPr>
            </w:pPr>
            <w:r w:rsidRPr="00C60AD1">
              <w:rPr>
                <w:b/>
                <w:bCs/>
                <w:sz w:val="22"/>
                <w:szCs w:val="22"/>
                <w:lang w:val="en-US"/>
              </w:rPr>
              <w:t>(Rs. / kWh)</w:t>
            </w:r>
          </w:p>
        </w:tc>
      </w:tr>
      <w:tr w:rsidR="00C34658" w:rsidRPr="00C60AD1" w:rsidTr="00D55642">
        <w:trPr>
          <w:trHeight w:val="840"/>
        </w:trPr>
        <w:tc>
          <w:tcPr>
            <w:tcW w:w="2132" w:type="dxa"/>
            <w:shd w:val="clear" w:color="auto" w:fill="auto"/>
            <w:hideMark/>
          </w:tcPr>
          <w:p w:rsidR="00C34658" w:rsidRPr="00C60AD1" w:rsidRDefault="00C34658" w:rsidP="00D55642">
            <w:pPr>
              <w:spacing w:before="0" w:line="240" w:lineRule="auto"/>
              <w:jc w:val="left"/>
              <w:rPr>
                <w:sz w:val="22"/>
                <w:szCs w:val="22"/>
                <w:lang w:val="en-US"/>
              </w:rPr>
            </w:pPr>
            <w:r w:rsidRPr="00C60AD1">
              <w:rPr>
                <w:sz w:val="22"/>
                <w:szCs w:val="22"/>
                <w:lang w:val="en-US"/>
              </w:rPr>
              <w:t>Inter system exchange (Bilateral &amp; PXIL) / UI</w:t>
            </w:r>
          </w:p>
        </w:tc>
        <w:tc>
          <w:tcPr>
            <w:tcW w:w="1010" w:type="dxa"/>
            <w:shd w:val="clear" w:color="auto" w:fill="auto"/>
            <w:vAlign w:val="center"/>
            <w:hideMark/>
          </w:tcPr>
          <w:p w:rsidR="00C34658" w:rsidRPr="00C60AD1" w:rsidRDefault="00C34658" w:rsidP="00D55642">
            <w:pPr>
              <w:spacing w:before="0" w:line="240" w:lineRule="auto"/>
              <w:jc w:val="right"/>
              <w:rPr>
                <w:sz w:val="22"/>
                <w:szCs w:val="22"/>
                <w:lang w:val="en-US"/>
              </w:rPr>
            </w:pPr>
            <w:r>
              <w:rPr>
                <w:sz w:val="22"/>
                <w:szCs w:val="22"/>
                <w:lang w:val="en-US"/>
              </w:rPr>
              <w:t>216.94</w:t>
            </w:r>
          </w:p>
        </w:tc>
        <w:tc>
          <w:tcPr>
            <w:tcW w:w="799" w:type="dxa"/>
            <w:shd w:val="clear" w:color="auto" w:fill="auto"/>
            <w:vAlign w:val="center"/>
            <w:hideMark/>
          </w:tcPr>
          <w:p w:rsidR="00C34658" w:rsidRPr="00C60AD1" w:rsidRDefault="00C34658" w:rsidP="00D55642">
            <w:pPr>
              <w:spacing w:before="0" w:line="240" w:lineRule="auto"/>
              <w:jc w:val="right"/>
              <w:rPr>
                <w:sz w:val="22"/>
                <w:szCs w:val="22"/>
                <w:lang w:val="en-US"/>
              </w:rPr>
            </w:pPr>
          </w:p>
        </w:tc>
        <w:tc>
          <w:tcPr>
            <w:tcW w:w="618" w:type="dxa"/>
            <w:shd w:val="clear" w:color="auto" w:fill="auto"/>
            <w:vAlign w:val="center"/>
            <w:hideMark/>
          </w:tcPr>
          <w:p w:rsidR="00C34658" w:rsidRPr="00C60AD1" w:rsidRDefault="00C34658" w:rsidP="00D55642">
            <w:pPr>
              <w:spacing w:before="0" w:line="240" w:lineRule="auto"/>
              <w:jc w:val="right"/>
              <w:rPr>
                <w:sz w:val="22"/>
                <w:szCs w:val="22"/>
                <w:lang w:val="en-US"/>
              </w:rPr>
            </w:pPr>
          </w:p>
        </w:tc>
        <w:tc>
          <w:tcPr>
            <w:tcW w:w="799" w:type="dxa"/>
            <w:shd w:val="clear" w:color="auto" w:fill="auto"/>
            <w:vAlign w:val="center"/>
            <w:hideMark/>
          </w:tcPr>
          <w:p w:rsidR="00C34658" w:rsidRPr="00C60AD1" w:rsidRDefault="00C34658" w:rsidP="00D55642">
            <w:pPr>
              <w:spacing w:before="0" w:line="240" w:lineRule="auto"/>
              <w:jc w:val="right"/>
              <w:rPr>
                <w:sz w:val="22"/>
                <w:szCs w:val="22"/>
                <w:lang w:val="en-US"/>
              </w:rPr>
            </w:pPr>
            <w:r>
              <w:rPr>
                <w:sz w:val="22"/>
                <w:szCs w:val="22"/>
                <w:lang w:val="en-US"/>
              </w:rPr>
              <w:t>5.30</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sz w:val="22"/>
                <w:szCs w:val="22"/>
                <w:lang w:val="en-US"/>
              </w:rPr>
              <w:t>114.98</w:t>
            </w:r>
          </w:p>
        </w:tc>
        <w:tc>
          <w:tcPr>
            <w:tcW w:w="799" w:type="dxa"/>
            <w:shd w:val="clear" w:color="auto" w:fill="auto"/>
            <w:vAlign w:val="center"/>
            <w:hideMark/>
          </w:tcPr>
          <w:p w:rsidR="00C34658" w:rsidRPr="00C60AD1" w:rsidRDefault="00C34658" w:rsidP="00D55642">
            <w:pPr>
              <w:spacing w:before="0" w:line="240" w:lineRule="auto"/>
              <w:jc w:val="right"/>
              <w:rPr>
                <w:sz w:val="22"/>
                <w:szCs w:val="22"/>
                <w:lang w:val="en-US"/>
              </w:rPr>
            </w:pPr>
            <w:r>
              <w:rPr>
                <w:sz w:val="22"/>
                <w:szCs w:val="22"/>
                <w:lang w:val="en-US"/>
              </w:rPr>
              <w:t>5.30</w:t>
            </w:r>
          </w:p>
        </w:tc>
        <w:tc>
          <w:tcPr>
            <w:tcW w:w="1001" w:type="dxa"/>
            <w:shd w:val="clear" w:color="auto" w:fill="auto"/>
            <w:vAlign w:val="center"/>
            <w:hideMark/>
          </w:tcPr>
          <w:p w:rsidR="00C34658" w:rsidRPr="00C60AD1" w:rsidRDefault="00C34658" w:rsidP="00D55642">
            <w:pPr>
              <w:spacing w:before="0" w:line="240" w:lineRule="auto"/>
              <w:jc w:val="right"/>
              <w:rPr>
                <w:sz w:val="22"/>
                <w:szCs w:val="22"/>
                <w:lang w:val="en-US"/>
              </w:rPr>
            </w:pPr>
            <w:r>
              <w:rPr>
                <w:sz w:val="22"/>
                <w:szCs w:val="22"/>
                <w:lang w:val="en-US"/>
              </w:rPr>
              <w:t>114.98</w:t>
            </w:r>
          </w:p>
        </w:tc>
        <w:tc>
          <w:tcPr>
            <w:tcW w:w="1043" w:type="dxa"/>
            <w:shd w:val="clear" w:color="auto" w:fill="auto"/>
            <w:vAlign w:val="center"/>
            <w:hideMark/>
          </w:tcPr>
          <w:p w:rsidR="00C34658" w:rsidRPr="00C60AD1" w:rsidRDefault="00C34658" w:rsidP="00D55642">
            <w:pPr>
              <w:spacing w:before="0" w:line="240" w:lineRule="auto"/>
              <w:jc w:val="right"/>
              <w:rPr>
                <w:sz w:val="22"/>
                <w:szCs w:val="22"/>
                <w:lang w:val="en-US"/>
              </w:rPr>
            </w:pPr>
            <w:r>
              <w:rPr>
                <w:sz w:val="22"/>
                <w:szCs w:val="22"/>
                <w:lang w:val="en-US"/>
              </w:rPr>
              <w:t>5.30</w:t>
            </w:r>
          </w:p>
        </w:tc>
      </w:tr>
      <w:tr w:rsidR="00C34658" w:rsidRPr="00C60AD1" w:rsidTr="00D55642">
        <w:trPr>
          <w:trHeight w:val="302"/>
        </w:trPr>
        <w:tc>
          <w:tcPr>
            <w:tcW w:w="2132" w:type="dxa"/>
            <w:shd w:val="clear" w:color="auto" w:fill="auto"/>
            <w:noWrap/>
            <w:hideMark/>
          </w:tcPr>
          <w:p w:rsidR="00C34658" w:rsidRPr="00C60AD1" w:rsidRDefault="00C34658" w:rsidP="00D55642">
            <w:pPr>
              <w:spacing w:before="0" w:line="240" w:lineRule="auto"/>
              <w:jc w:val="left"/>
              <w:rPr>
                <w:b/>
                <w:bCs/>
                <w:sz w:val="22"/>
                <w:szCs w:val="22"/>
                <w:lang w:val="en-US"/>
              </w:rPr>
            </w:pPr>
            <w:r w:rsidRPr="00C60AD1">
              <w:rPr>
                <w:b/>
                <w:bCs/>
                <w:sz w:val="22"/>
                <w:szCs w:val="22"/>
                <w:lang w:val="en-US"/>
              </w:rPr>
              <w:t>Total</w:t>
            </w:r>
          </w:p>
        </w:tc>
        <w:tc>
          <w:tcPr>
            <w:tcW w:w="1010" w:type="dxa"/>
            <w:shd w:val="clear" w:color="auto" w:fill="auto"/>
            <w:vAlign w:val="center"/>
            <w:hideMark/>
          </w:tcPr>
          <w:p w:rsidR="00C34658" w:rsidRPr="000A630D" w:rsidRDefault="00C34658" w:rsidP="00D55642">
            <w:pPr>
              <w:spacing w:before="0" w:line="240" w:lineRule="auto"/>
              <w:jc w:val="right"/>
              <w:rPr>
                <w:b/>
                <w:bCs/>
                <w:sz w:val="22"/>
                <w:szCs w:val="22"/>
                <w:lang w:val="en-US"/>
              </w:rPr>
            </w:pPr>
            <w:r w:rsidRPr="00DB21D8">
              <w:rPr>
                <w:b/>
                <w:sz w:val="22"/>
                <w:szCs w:val="22"/>
                <w:lang w:val="en-US"/>
              </w:rPr>
              <w:t>216.94</w:t>
            </w:r>
          </w:p>
        </w:tc>
        <w:tc>
          <w:tcPr>
            <w:tcW w:w="799" w:type="dxa"/>
            <w:shd w:val="clear" w:color="auto" w:fill="auto"/>
            <w:vAlign w:val="center"/>
            <w:hideMark/>
          </w:tcPr>
          <w:p w:rsidR="00C34658" w:rsidRPr="000A630D" w:rsidRDefault="00C34658" w:rsidP="00D55642">
            <w:pPr>
              <w:spacing w:before="0" w:line="240" w:lineRule="auto"/>
              <w:jc w:val="right"/>
              <w:rPr>
                <w:b/>
                <w:bCs/>
                <w:sz w:val="22"/>
                <w:szCs w:val="22"/>
                <w:lang w:val="en-US"/>
              </w:rPr>
            </w:pPr>
          </w:p>
        </w:tc>
        <w:tc>
          <w:tcPr>
            <w:tcW w:w="618" w:type="dxa"/>
            <w:shd w:val="clear" w:color="auto" w:fill="auto"/>
            <w:vAlign w:val="center"/>
            <w:hideMark/>
          </w:tcPr>
          <w:p w:rsidR="00C34658" w:rsidRPr="000A630D" w:rsidRDefault="00C34658" w:rsidP="00D55642">
            <w:pPr>
              <w:spacing w:before="0" w:line="240" w:lineRule="auto"/>
              <w:jc w:val="right"/>
              <w:rPr>
                <w:b/>
                <w:bCs/>
                <w:sz w:val="22"/>
                <w:szCs w:val="22"/>
                <w:lang w:val="en-US"/>
              </w:rPr>
            </w:pPr>
          </w:p>
        </w:tc>
        <w:tc>
          <w:tcPr>
            <w:tcW w:w="799" w:type="dxa"/>
            <w:shd w:val="clear" w:color="auto" w:fill="auto"/>
            <w:vAlign w:val="center"/>
            <w:hideMark/>
          </w:tcPr>
          <w:p w:rsidR="00C34658" w:rsidRPr="000A630D" w:rsidRDefault="00C34658" w:rsidP="00D55642">
            <w:pPr>
              <w:spacing w:before="0" w:line="240" w:lineRule="auto"/>
              <w:jc w:val="right"/>
              <w:rPr>
                <w:b/>
                <w:bCs/>
                <w:sz w:val="22"/>
                <w:szCs w:val="22"/>
                <w:lang w:val="en-US"/>
              </w:rPr>
            </w:pPr>
            <w:r w:rsidRPr="00DB21D8">
              <w:rPr>
                <w:b/>
                <w:sz w:val="22"/>
                <w:szCs w:val="22"/>
                <w:lang w:val="en-US"/>
              </w:rPr>
              <w:t>5.30</w:t>
            </w:r>
          </w:p>
        </w:tc>
        <w:tc>
          <w:tcPr>
            <w:tcW w:w="1001" w:type="dxa"/>
            <w:shd w:val="clear" w:color="auto" w:fill="auto"/>
            <w:vAlign w:val="center"/>
            <w:hideMark/>
          </w:tcPr>
          <w:p w:rsidR="00C34658" w:rsidRPr="000A630D" w:rsidRDefault="00C34658" w:rsidP="00D55642">
            <w:pPr>
              <w:spacing w:before="0" w:line="240" w:lineRule="auto"/>
              <w:jc w:val="right"/>
              <w:rPr>
                <w:b/>
                <w:bCs/>
                <w:sz w:val="22"/>
                <w:szCs w:val="22"/>
                <w:lang w:val="en-US"/>
              </w:rPr>
            </w:pPr>
            <w:r w:rsidRPr="00DB21D8">
              <w:rPr>
                <w:b/>
                <w:sz w:val="22"/>
                <w:szCs w:val="22"/>
                <w:lang w:val="en-US"/>
              </w:rPr>
              <w:t>114.98</w:t>
            </w:r>
          </w:p>
        </w:tc>
        <w:tc>
          <w:tcPr>
            <w:tcW w:w="799" w:type="dxa"/>
            <w:shd w:val="clear" w:color="auto" w:fill="auto"/>
            <w:vAlign w:val="center"/>
            <w:hideMark/>
          </w:tcPr>
          <w:p w:rsidR="00C34658" w:rsidRPr="000A630D" w:rsidRDefault="00C34658" w:rsidP="00D55642">
            <w:pPr>
              <w:spacing w:before="0" w:line="240" w:lineRule="auto"/>
              <w:jc w:val="right"/>
              <w:rPr>
                <w:b/>
                <w:bCs/>
                <w:sz w:val="22"/>
                <w:szCs w:val="22"/>
                <w:lang w:val="en-US"/>
              </w:rPr>
            </w:pPr>
            <w:r w:rsidRPr="00DB21D8">
              <w:rPr>
                <w:b/>
                <w:sz w:val="22"/>
                <w:szCs w:val="22"/>
                <w:lang w:val="en-US"/>
              </w:rPr>
              <w:t>5.30</w:t>
            </w:r>
          </w:p>
        </w:tc>
        <w:tc>
          <w:tcPr>
            <w:tcW w:w="1001" w:type="dxa"/>
            <w:shd w:val="clear" w:color="auto" w:fill="auto"/>
            <w:vAlign w:val="center"/>
            <w:hideMark/>
          </w:tcPr>
          <w:p w:rsidR="00C34658" w:rsidRPr="000A630D" w:rsidRDefault="00C34658" w:rsidP="00D55642">
            <w:pPr>
              <w:spacing w:before="0" w:line="240" w:lineRule="auto"/>
              <w:jc w:val="right"/>
              <w:rPr>
                <w:b/>
                <w:bCs/>
                <w:sz w:val="22"/>
                <w:szCs w:val="22"/>
                <w:lang w:val="en-US"/>
              </w:rPr>
            </w:pPr>
            <w:r w:rsidRPr="00DB21D8">
              <w:rPr>
                <w:b/>
                <w:sz w:val="22"/>
                <w:szCs w:val="22"/>
                <w:lang w:val="en-US"/>
              </w:rPr>
              <w:t>114.98</w:t>
            </w:r>
          </w:p>
        </w:tc>
        <w:tc>
          <w:tcPr>
            <w:tcW w:w="1043" w:type="dxa"/>
            <w:shd w:val="clear" w:color="auto" w:fill="auto"/>
            <w:vAlign w:val="center"/>
            <w:hideMark/>
          </w:tcPr>
          <w:p w:rsidR="00C34658" w:rsidRPr="000A630D" w:rsidRDefault="00C34658" w:rsidP="00D55642">
            <w:pPr>
              <w:spacing w:before="0" w:line="240" w:lineRule="auto"/>
              <w:jc w:val="right"/>
              <w:rPr>
                <w:b/>
                <w:bCs/>
                <w:sz w:val="22"/>
                <w:szCs w:val="22"/>
                <w:lang w:val="en-US"/>
              </w:rPr>
            </w:pPr>
            <w:r w:rsidRPr="00DB21D8">
              <w:rPr>
                <w:b/>
                <w:sz w:val="22"/>
                <w:szCs w:val="22"/>
                <w:lang w:val="en-US"/>
              </w:rPr>
              <w:t>5.30</w:t>
            </w:r>
          </w:p>
        </w:tc>
      </w:tr>
    </w:tbl>
    <w:p w:rsidR="00C34658" w:rsidRPr="00C60AD1" w:rsidRDefault="00C34658" w:rsidP="00C34658">
      <w:pPr>
        <w:pStyle w:val="Heading3"/>
        <w:numPr>
          <w:ilvl w:val="0"/>
          <w:numId w:val="0"/>
        </w:numPr>
        <w:tabs>
          <w:tab w:val="clear" w:pos="720"/>
        </w:tabs>
        <w:spacing w:before="0"/>
        <w:ind w:left="993"/>
      </w:pPr>
    </w:p>
    <w:p w:rsidR="00D5771F" w:rsidRDefault="001D644C">
      <w:pPr>
        <w:pStyle w:val="Heading3"/>
        <w:tabs>
          <w:tab w:val="clear" w:pos="720"/>
        </w:tabs>
        <w:autoSpaceDE w:val="0"/>
        <w:autoSpaceDN w:val="0"/>
        <w:adjustRightInd w:val="0"/>
        <w:spacing w:before="0"/>
        <w:ind w:left="993" w:hanging="993"/>
        <w:rPr>
          <w:b/>
        </w:rPr>
      </w:pPr>
      <w:r w:rsidRPr="001D644C">
        <w:rPr>
          <w:b/>
        </w:rPr>
        <w:t>Considering that the Distribution Licensee may need to buy power in exigency to meet immediate and urgent power delivery, the Commission would also like to mention that any quantum of power purchased from emergency / other sources should be procured only through bilateral sources / power exchanges or through competitive bidding route to the extent possible</w:t>
      </w:r>
      <w:r w:rsidR="00CF2642">
        <w:rPr>
          <w:b/>
        </w:rPr>
        <w:t xml:space="preserve"> following the “Guidelines for short-term (i.e. for a period of more than one day to one year) Procurement of Power </w:t>
      </w:r>
      <w:r w:rsidRPr="001D644C">
        <w:rPr>
          <w:b/>
        </w:rPr>
        <w:t>by Distribution Licensees through Tariff based bidding process</w:t>
      </w:r>
      <w:r w:rsidR="00CF2642">
        <w:rPr>
          <w:b/>
        </w:rPr>
        <w:t>” / framework laid down by GoI on March, 2016</w:t>
      </w:r>
      <w:r w:rsidRPr="001D644C">
        <w:rPr>
          <w:b/>
        </w:rPr>
        <w:t>.</w:t>
      </w:r>
    </w:p>
    <w:p w:rsidR="00C34658" w:rsidRDefault="00C34658" w:rsidP="00C34658">
      <w:pPr>
        <w:pStyle w:val="Heading3"/>
        <w:numPr>
          <w:ilvl w:val="0"/>
          <w:numId w:val="0"/>
        </w:numPr>
        <w:tabs>
          <w:tab w:val="clear" w:pos="720"/>
        </w:tabs>
        <w:spacing w:before="0"/>
        <w:ind w:left="993"/>
      </w:pPr>
    </w:p>
    <w:p w:rsidR="00D5771F" w:rsidRDefault="00C34658">
      <w:pPr>
        <w:pStyle w:val="Heading3"/>
        <w:tabs>
          <w:tab w:val="clear" w:pos="720"/>
        </w:tabs>
        <w:spacing w:after="240"/>
        <w:ind w:left="993" w:hanging="993"/>
      </w:pPr>
      <w:r>
        <w:t xml:space="preserve">The Commission initiated a Suo-Moto proceeding in the matter of </w:t>
      </w:r>
      <w:r w:rsidRPr="00FA7B1E">
        <w:t>power purchase being made byUPPCL from the power exchange</w:t>
      </w:r>
      <w:r>
        <w:t>. In its Order dated June 9, 2016 the Commission held that t</w:t>
      </w:r>
      <w:r w:rsidRPr="00FA7B1E">
        <w:t>he opportunity of cheaper prices in the exchange can be utilised byUPPCL by reducing the load of costly power stations to the technical minimum.UPPCL should carry out a detailed exercise to ascertain that how the total powerpurchase cost can be reduced further without compromising the availability ofpower to the consumers. Many utilities in other States have taken advantage ofcheaper power by reorganising their scheduling practices</w:t>
      </w:r>
      <w:r>
        <w:t>. In the aforesaid Order the Commission also gave the following direction:</w:t>
      </w:r>
    </w:p>
    <w:p w:rsidR="00C34658" w:rsidRPr="00FA7B1E" w:rsidRDefault="00C34658" w:rsidP="00C34658">
      <w:pPr>
        <w:pStyle w:val="ListParagraph"/>
        <w:ind w:left="1440"/>
        <w:rPr>
          <w:b/>
          <w:i/>
        </w:rPr>
      </w:pPr>
      <w:r w:rsidRPr="00FA7B1E">
        <w:rPr>
          <w:b/>
          <w:i/>
        </w:rPr>
        <w:t xml:space="preserve">“The Commission directs UPPCL to submit a power purchase plan showing that how it will take the advantage of cheaper power either through the Energy Exchanges or other sources. The Commission would monitor the steps taken by UPPCL in future on monthly basis. UPPCL should submit the details of monthly power procurement to the </w:t>
      </w:r>
      <w:r w:rsidRPr="00FA7B1E">
        <w:rPr>
          <w:b/>
          <w:i/>
        </w:rPr>
        <w:lastRenderedPageBreak/>
        <w:t>Commission highlighting the efforts made by it in the light of observations made by the Commission.”</w:t>
      </w:r>
    </w:p>
    <w:p w:rsidR="00C34658" w:rsidRDefault="00C34658" w:rsidP="00C34658">
      <w:pPr>
        <w:pStyle w:val="Heading3"/>
        <w:numPr>
          <w:ilvl w:val="0"/>
          <w:numId w:val="0"/>
        </w:numPr>
        <w:tabs>
          <w:tab w:val="clear" w:pos="720"/>
        </w:tabs>
        <w:spacing w:after="240"/>
        <w:ind w:left="993"/>
      </w:pPr>
      <w:r>
        <w:t>Thus in line with the above Order the Petitioner / UPPCL is directed to comply with the above direction of the Commission.</w:t>
      </w:r>
    </w:p>
    <w:p w:rsidR="00D5771F" w:rsidRDefault="00C34658">
      <w:pPr>
        <w:pStyle w:val="Heading3"/>
        <w:tabs>
          <w:tab w:val="clear" w:pos="720"/>
        </w:tabs>
        <w:spacing w:after="240"/>
        <w:ind w:left="993" w:hanging="993"/>
      </w:pPr>
      <w:r w:rsidRPr="00C60AD1">
        <w:t xml:space="preserve">The Commission, in Clause 4.2(11) of the Distribution Tariff Regulations, 2006, has specified that in the regime of Availability Based Tariff (ABT), the cost of power purchase through UI shall be allowed to be passed through in tariff of the subsequent year subject to the following conditions: </w:t>
      </w:r>
    </w:p>
    <w:p w:rsidR="00C34658" w:rsidRPr="00C60AD1" w:rsidRDefault="00C34658" w:rsidP="00C34658">
      <w:pPr>
        <w:tabs>
          <w:tab w:val="left" w:pos="360"/>
        </w:tabs>
        <w:ind w:left="1440"/>
        <w:rPr>
          <w:i/>
        </w:rPr>
      </w:pPr>
      <w:r w:rsidRPr="00C60AD1">
        <w:rPr>
          <w:i/>
        </w:rPr>
        <w:t xml:space="preserve">“a) The average rate for power purchased through UI should not exceed the maximum rate for power purchased under the Merit Order of the Licensee as approved by the Commission. </w:t>
      </w:r>
    </w:p>
    <w:p w:rsidR="00C34658" w:rsidRPr="00C60AD1" w:rsidRDefault="00C34658" w:rsidP="00C34658">
      <w:pPr>
        <w:tabs>
          <w:tab w:val="left" w:pos="360"/>
        </w:tabs>
        <w:ind w:left="1440"/>
        <w:rPr>
          <w:i/>
        </w:rPr>
      </w:pPr>
      <w:r w:rsidRPr="00C60AD1">
        <w:rPr>
          <w:i/>
        </w:rPr>
        <w:t>b) The total cost of electricity units purchased through UI shall be restricted to 10% of total power purchase cost approved by the Commission.</w:t>
      </w:r>
    </w:p>
    <w:p w:rsidR="00C34658" w:rsidRPr="00C60AD1" w:rsidRDefault="00C34658" w:rsidP="00C34658">
      <w:pPr>
        <w:tabs>
          <w:tab w:val="left" w:pos="360"/>
        </w:tabs>
        <w:ind w:left="1440"/>
        <w:rPr>
          <w:i/>
        </w:rPr>
      </w:pPr>
      <w:r w:rsidRPr="00C60AD1">
        <w:rPr>
          <w:i/>
        </w:rPr>
        <w:t>Provided that where the average rate for power purchased under UI exceeds the maximum specified rate of power purchase under the Merit Order of the Licensee, the cost of such power purchase shall be allowed to be passed through in tariffs of the subsequent year at the maximum rate for power purchase under the Merit Order of the Licensee as approved by the Commission whether the ceiling limit of 10% as stated in 11 (b) above has reached or not.”</w:t>
      </w:r>
    </w:p>
    <w:p w:rsidR="00D5771F" w:rsidRDefault="00C34658">
      <w:pPr>
        <w:pStyle w:val="Heading3"/>
        <w:tabs>
          <w:tab w:val="clear" w:pos="720"/>
        </w:tabs>
        <w:spacing w:after="240"/>
        <w:ind w:left="993" w:hanging="993"/>
      </w:pPr>
      <w:r w:rsidRPr="00C60AD1">
        <w:t>The Commission is of the view that the UI mechanism is intended for maintaining discipline in the grid operations and is not to be treated as a regular source for power purchase. Hence, the Commission reiterates that the Licensees should take due care while overdrawing power from the grid (if any), especially when the UI rates are high.</w:t>
      </w:r>
    </w:p>
    <w:p w:rsidR="00D5771F" w:rsidRDefault="00C34658">
      <w:pPr>
        <w:pStyle w:val="Heading3"/>
        <w:tabs>
          <w:tab w:val="clear" w:pos="720"/>
        </w:tabs>
        <w:spacing w:after="240"/>
        <w:ind w:left="993" w:hanging="993"/>
      </w:pPr>
      <w:r w:rsidRPr="00C60AD1">
        <w:t>The Commission would also like to caution the Licensees here that this issue would be dealt with at the time of True-up and any power purchases undertaken in contravention to the provisions of the Distribution Tariff Regulations, 2006 would be disallowed and the Licensee would have to bear the cost for the same.</w:t>
      </w:r>
    </w:p>
    <w:p w:rsidR="00D5771F" w:rsidRDefault="00C34658">
      <w:pPr>
        <w:pStyle w:val="Heading3"/>
        <w:tabs>
          <w:tab w:val="clear" w:pos="720"/>
        </w:tabs>
        <w:spacing w:after="240"/>
        <w:ind w:left="993" w:hanging="993"/>
      </w:pPr>
      <w:r w:rsidRPr="00C60AD1">
        <w:t xml:space="preserve">Further, the Commission would like to reiterate that the Licensee should assess the demand supply position in the State in advance and make its best </w:t>
      </w:r>
      <w:r w:rsidRPr="00C60AD1">
        <w:lastRenderedPageBreak/>
        <w:t>endeavour to enter into bilateral contracts with generators / traders for meeting the envisaged demand supply gap. This would enable them to optimise the power purchase expenses.</w:t>
      </w:r>
    </w:p>
    <w:p w:rsidR="00D5771F" w:rsidRDefault="00C34658">
      <w:pPr>
        <w:pStyle w:val="Heading3"/>
        <w:tabs>
          <w:tab w:val="clear" w:pos="720"/>
        </w:tabs>
        <w:ind w:left="993" w:hanging="993"/>
      </w:pPr>
      <w:r w:rsidRPr="00C60AD1">
        <w:t>The Licensee needs to adopt a transparent procedure based on competitive bidding for procuring power on short-term basis.</w:t>
      </w:r>
    </w:p>
    <w:p w:rsidR="006C63AF" w:rsidRDefault="006C63AF" w:rsidP="006C63AF">
      <w:pPr>
        <w:pStyle w:val="Heading3"/>
        <w:numPr>
          <w:ilvl w:val="0"/>
          <w:numId w:val="0"/>
        </w:numPr>
        <w:tabs>
          <w:tab w:val="clear" w:pos="720"/>
        </w:tabs>
        <w:spacing w:before="0" w:after="240"/>
        <w:ind w:left="993"/>
      </w:pPr>
    </w:p>
    <w:p w:rsidR="006C63AF" w:rsidRDefault="00C34658" w:rsidP="006C63AF">
      <w:pPr>
        <w:pStyle w:val="Heading2"/>
        <w:numPr>
          <w:ilvl w:val="1"/>
          <w:numId w:val="16"/>
        </w:numPr>
        <w:spacing w:before="0"/>
      </w:pPr>
      <w:bookmarkStart w:id="714" w:name="_Toc356322592"/>
      <w:bookmarkStart w:id="715" w:name="_Toc357720873"/>
      <w:bookmarkStart w:id="716" w:name="_Toc396573832"/>
      <w:bookmarkStart w:id="717" w:name="_Toc399623730"/>
      <w:bookmarkStart w:id="718" w:name="_Toc453367609"/>
      <w:bookmarkStart w:id="719" w:name="_Toc457603946"/>
      <w:r w:rsidRPr="00C60AD1">
        <w:t>FUEL &amp; POWER PURCHASE COST ADJUSTMENT SURCHARGE</w:t>
      </w:r>
      <w:bookmarkEnd w:id="714"/>
      <w:bookmarkEnd w:id="715"/>
      <w:bookmarkEnd w:id="716"/>
      <w:bookmarkEnd w:id="717"/>
      <w:r w:rsidRPr="00C60AD1">
        <w:t xml:space="preserve"> (FPPCA)</w:t>
      </w:r>
      <w:bookmarkEnd w:id="718"/>
      <w:bookmarkEnd w:id="719"/>
    </w:p>
    <w:p w:rsidR="00D5771F" w:rsidRDefault="00C34658">
      <w:pPr>
        <w:pStyle w:val="Heading3"/>
        <w:tabs>
          <w:tab w:val="clear" w:pos="720"/>
        </w:tabs>
        <w:spacing w:after="240"/>
        <w:ind w:left="993" w:hanging="993"/>
        <w:rPr>
          <w:b/>
        </w:rPr>
      </w:pPr>
      <w:r w:rsidRPr="00C60AD1">
        <w:t xml:space="preserve">A Review Petition No. 893/2013 had been filed by the UPPCL, MVVNL, PVVNL, PuVVNL, DVVNL &amp;KESCo in the matter of “Review of the Mechanism for Fuel &amp; Power Purchase Cost Adjustment formulated by the  Commission”, wherein a number of issues have been raised by the Petitioners. Prior to the above Petition, UPPCL also filed a Review Petition No. 848/2012 in the matter of “Applicability of Fuel &amp; Power Purchase Cost Adjustment (FPPCA) formula notified vide GOUP notification no. UPERC/Secy/Regulation/240dt. 10.05.2012” </w:t>
      </w:r>
    </w:p>
    <w:p w:rsidR="00D5771F" w:rsidRDefault="00C34658">
      <w:pPr>
        <w:pStyle w:val="Heading3"/>
        <w:tabs>
          <w:tab w:val="clear" w:pos="720"/>
        </w:tabs>
        <w:spacing w:after="240"/>
        <w:ind w:left="993" w:hanging="993"/>
      </w:pPr>
      <w:r w:rsidRPr="00C60AD1">
        <w:t>In the matter of Petition No. 893/2013 “Review of the Mechanism for Fuel &amp; Power Purchase Cost Adjustment formulated by the Commission”, the Commission vide its Order dated 23</w:t>
      </w:r>
      <w:r w:rsidRPr="00C60AD1">
        <w:rPr>
          <w:vertAlign w:val="superscript"/>
        </w:rPr>
        <w:t>rd</w:t>
      </w:r>
      <w:r w:rsidRPr="00C60AD1">
        <w:t xml:space="preserve"> October, 2013 gave direction to </w:t>
      </w:r>
      <w:r>
        <w:t xml:space="preserve">the </w:t>
      </w:r>
      <w:r w:rsidRPr="00C60AD1">
        <w:t>Petitioners to submit details on various issues along with its detailed proposal on the same. Further, as the Petition No. 893/2013 and 848/2012 are related, the Commission also directed to club the above two Petitions.</w:t>
      </w:r>
      <w:r w:rsidRPr="00C60AD1">
        <w:tab/>
      </w:r>
      <w:r w:rsidRPr="00C60AD1">
        <w:tab/>
      </w:r>
      <w:r w:rsidRPr="00C60AD1">
        <w:tab/>
      </w:r>
    </w:p>
    <w:p w:rsidR="00D5771F" w:rsidRDefault="00C34658">
      <w:pPr>
        <w:pStyle w:val="Heading3"/>
        <w:tabs>
          <w:tab w:val="clear" w:pos="720"/>
        </w:tabs>
        <w:spacing w:after="240"/>
        <w:ind w:left="993" w:hanging="993"/>
      </w:pPr>
      <w:r w:rsidRPr="00C60AD1">
        <w:t>The Commission vide its Letter No. UPERC/Secy/D(Tariff)14-257 dated 28th October, 2014 reminded the Petitioners to submit its detailed proposal in view of the directions given by the Commission in its Order dated 23rd October, 2013.</w:t>
      </w:r>
    </w:p>
    <w:p w:rsidR="00D5771F" w:rsidRDefault="00C34658">
      <w:pPr>
        <w:pStyle w:val="Heading3"/>
        <w:tabs>
          <w:tab w:val="clear" w:pos="720"/>
        </w:tabs>
        <w:spacing w:after="240"/>
        <w:ind w:left="993" w:hanging="993"/>
      </w:pPr>
      <w:r w:rsidRPr="00C60AD1">
        <w:t>Subsequently the Petitioners vide its Letter No. 3135/RAU/FPPCA dated 29th December, 2014 submitted their proposal. The detailed proposal on various issues as submitted by the Petitioners is extracted below for reference:</w:t>
      </w:r>
    </w:p>
    <w:p w:rsidR="00C34658" w:rsidRPr="00C60AD1" w:rsidRDefault="00C34658" w:rsidP="00C34658">
      <w:pPr>
        <w:pStyle w:val="ListParagraph"/>
        <w:spacing w:after="200"/>
        <w:ind w:left="1440"/>
        <w:contextualSpacing/>
        <w:rPr>
          <w:b/>
          <w:i/>
        </w:rPr>
      </w:pPr>
      <w:r w:rsidRPr="00C60AD1">
        <w:rPr>
          <w:rFonts w:cs="Arial"/>
          <w:i/>
        </w:rPr>
        <w:t>“</w:t>
      </w:r>
      <w:r w:rsidRPr="00C60AD1">
        <w:rPr>
          <w:rFonts w:cs="Arial"/>
          <w:b/>
          <w:i/>
        </w:rPr>
        <w:t>A -</w:t>
      </w:r>
      <w:r w:rsidRPr="00C60AD1">
        <w:rPr>
          <w:b/>
          <w:i/>
        </w:rPr>
        <w:t>Differential distribution of FPPCA over different category of consumers:</w:t>
      </w:r>
    </w:p>
    <w:p w:rsidR="00C34658" w:rsidRPr="00C60AD1" w:rsidRDefault="00C34658" w:rsidP="00C34658">
      <w:pPr>
        <w:tabs>
          <w:tab w:val="left" w:pos="360"/>
        </w:tabs>
        <w:ind w:left="1440"/>
        <w:rPr>
          <w:i/>
        </w:rPr>
      </w:pPr>
      <w:r w:rsidRPr="00C60AD1">
        <w:rPr>
          <w:i/>
        </w:rPr>
        <w:t xml:space="preserve">In this regard this is to submit that differential distribution of FPPCA over different category could be based on their </w:t>
      </w:r>
      <w:r w:rsidRPr="00C60AD1">
        <w:rPr>
          <w:b/>
          <w:i/>
        </w:rPr>
        <w:t>average billing rate (ABR)</w:t>
      </w:r>
      <w:r w:rsidRPr="00C60AD1">
        <w:rPr>
          <w:i/>
        </w:rPr>
        <w:t xml:space="preserve">. </w:t>
      </w:r>
      <w:r w:rsidRPr="00C60AD1">
        <w:rPr>
          <w:i/>
        </w:rPr>
        <w:lastRenderedPageBreak/>
        <w:t>Since various category of consumer have different average billing rate, therefore uniform distribution of FPPCA will lead to non-uniform percentage distribution over different category. In order to avoid non-uniform percentage distribution of FPPCA it seems most appropriate to distribute FPPCA over different category in the ratio of their ABR in such a way that percentage increase across all the categories remains the same.</w:t>
      </w:r>
    </w:p>
    <w:p w:rsidR="00C34658" w:rsidRPr="00C60AD1" w:rsidRDefault="00C34658" w:rsidP="00C34658">
      <w:pPr>
        <w:pStyle w:val="ListParagraph"/>
        <w:spacing w:after="200"/>
        <w:contextualSpacing/>
        <w:rPr>
          <w:b/>
          <w:i/>
        </w:rPr>
      </w:pPr>
    </w:p>
    <w:p w:rsidR="00C34658" w:rsidRPr="00C60AD1" w:rsidRDefault="00C34658" w:rsidP="00C34658">
      <w:pPr>
        <w:pStyle w:val="ListParagraph"/>
        <w:spacing w:after="200"/>
        <w:ind w:left="1440"/>
        <w:contextualSpacing/>
        <w:rPr>
          <w:b/>
          <w:i/>
        </w:rPr>
      </w:pPr>
      <w:r w:rsidRPr="00C60AD1">
        <w:rPr>
          <w:b/>
          <w:i/>
        </w:rPr>
        <w:t>B - Disallowance of power purchase from few costlier sources with whom licensee has long term agreement:</w:t>
      </w:r>
    </w:p>
    <w:p w:rsidR="00C34658" w:rsidRPr="00C60AD1" w:rsidRDefault="00C34658" w:rsidP="00C34658">
      <w:pPr>
        <w:pStyle w:val="ListParagraph"/>
        <w:ind w:left="1440"/>
        <w:rPr>
          <w:i/>
        </w:rPr>
      </w:pPr>
      <w:r w:rsidRPr="00C60AD1">
        <w:rPr>
          <w:i/>
        </w:rPr>
        <w:t>In Power Purchase Plan approved for FY 2012-13, power purchase from following sources has been disallowed by the Commission, whereas licensee has long term agreement with these sources:</w:t>
      </w:r>
    </w:p>
    <w:p w:rsidR="00C34658" w:rsidRPr="00C60AD1" w:rsidRDefault="00C34658" w:rsidP="00C34658">
      <w:pPr>
        <w:pStyle w:val="ListParagraph"/>
        <w:numPr>
          <w:ilvl w:val="0"/>
          <w:numId w:val="37"/>
        </w:numPr>
        <w:spacing w:before="0" w:after="200"/>
        <w:contextualSpacing/>
        <w:rPr>
          <w:i/>
        </w:rPr>
      </w:pPr>
      <w:r w:rsidRPr="00C60AD1">
        <w:rPr>
          <w:i/>
        </w:rPr>
        <w:t>NTPC, Auraiya Gas</w:t>
      </w:r>
    </w:p>
    <w:p w:rsidR="00C34658" w:rsidRPr="00C60AD1" w:rsidRDefault="00C34658" w:rsidP="00C34658">
      <w:pPr>
        <w:pStyle w:val="ListParagraph"/>
        <w:numPr>
          <w:ilvl w:val="0"/>
          <w:numId w:val="37"/>
        </w:numPr>
        <w:spacing w:before="0" w:after="200"/>
        <w:contextualSpacing/>
        <w:rPr>
          <w:i/>
        </w:rPr>
      </w:pPr>
      <w:r w:rsidRPr="00C60AD1">
        <w:rPr>
          <w:i/>
        </w:rPr>
        <w:t>NTPC, Dadri Gas</w:t>
      </w:r>
    </w:p>
    <w:p w:rsidR="00C34658" w:rsidRPr="00C60AD1" w:rsidRDefault="00C34658" w:rsidP="00C34658">
      <w:pPr>
        <w:pStyle w:val="ListParagraph"/>
        <w:numPr>
          <w:ilvl w:val="0"/>
          <w:numId w:val="37"/>
        </w:numPr>
        <w:spacing w:before="0" w:after="200"/>
        <w:contextualSpacing/>
        <w:rPr>
          <w:i/>
        </w:rPr>
      </w:pPr>
      <w:r w:rsidRPr="00C60AD1">
        <w:rPr>
          <w:i/>
        </w:rPr>
        <w:t>NTPC, Kahalgaon Stn.-1</w:t>
      </w:r>
    </w:p>
    <w:p w:rsidR="00C34658" w:rsidRPr="00C60AD1" w:rsidRDefault="00C34658" w:rsidP="00C34658">
      <w:pPr>
        <w:pStyle w:val="ListParagraph"/>
        <w:numPr>
          <w:ilvl w:val="0"/>
          <w:numId w:val="37"/>
        </w:numPr>
        <w:spacing w:before="0" w:after="200"/>
        <w:contextualSpacing/>
        <w:rPr>
          <w:i/>
        </w:rPr>
      </w:pPr>
      <w:r w:rsidRPr="00C60AD1">
        <w:rPr>
          <w:i/>
        </w:rPr>
        <w:t>NTPC, Farakka</w:t>
      </w:r>
    </w:p>
    <w:p w:rsidR="00C34658" w:rsidRPr="00C60AD1" w:rsidRDefault="00C34658" w:rsidP="00C34658">
      <w:pPr>
        <w:pStyle w:val="ListParagraph"/>
        <w:numPr>
          <w:ilvl w:val="0"/>
          <w:numId w:val="37"/>
        </w:numPr>
        <w:spacing w:before="0" w:after="200"/>
        <w:contextualSpacing/>
        <w:rPr>
          <w:i/>
        </w:rPr>
      </w:pPr>
      <w:r w:rsidRPr="00C60AD1">
        <w:rPr>
          <w:i/>
        </w:rPr>
        <w:t>NTPC, Talchar</w:t>
      </w:r>
    </w:p>
    <w:p w:rsidR="00C34658" w:rsidRPr="00C60AD1" w:rsidRDefault="00C34658" w:rsidP="00C34658">
      <w:pPr>
        <w:pStyle w:val="ListParagraph"/>
        <w:numPr>
          <w:ilvl w:val="0"/>
          <w:numId w:val="37"/>
        </w:numPr>
        <w:spacing w:before="0" w:after="200"/>
        <w:contextualSpacing/>
        <w:rPr>
          <w:i/>
        </w:rPr>
      </w:pPr>
      <w:r w:rsidRPr="00C60AD1">
        <w:rPr>
          <w:i/>
        </w:rPr>
        <w:t>NTPC, Jhajhjhar</w:t>
      </w:r>
    </w:p>
    <w:p w:rsidR="00C34658" w:rsidRPr="00C60AD1" w:rsidRDefault="00C34658" w:rsidP="00C34658">
      <w:pPr>
        <w:pStyle w:val="ListParagraph"/>
        <w:numPr>
          <w:ilvl w:val="0"/>
          <w:numId w:val="37"/>
        </w:numPr>
        <w:spacing w:before="0" w:after="200"/>
        <w:contextualSpacing/>
        <w:rPr>
          <w:i/>
        </w:rPr>
      </w:pPr>
      <w:r w:rsidRPr="00C60AD1">
        <w:rPr>
          <w:i/>
        </w:rPr>
        <w:t>Bajaj Hindustan</w:t>
      </w:r>
    </w:p>
    <w:p w:rsidR="00C34658" w:rsidRPr="00C60AD1" w:rsidRDefault="00C34658" w:rsidP="00C34658">
      <w:pPr>
        <w:ind w:left="1440"/>
        <w:rPr>
          <w:i/>
        </w:rPr>
      </w:pPr>
      <w:r w:rsidRPr="00C60AD1">
        <w:rPr>
          <w:i/>
        </w:rPr>
        <w:t>This situation has arisen due to the fact that the Commission has approved Power Purchase Plan (FY-2012-13) on the basis of MYT (2009-14) generation figures for state owned thermal generating stations. The Commission has not taken into account the past trend of generation from these state owned thermal generating stations.</w:t>
      </w:r>
    </w:p>
    <w:p w:rsidR="00C34658" w:rsidRPr="00C60AD1" w:rsidRDefault="00C34658" w:rsidP="00C34658">
      <w:pPr>
        <w:ind w:left="1440"/>
        <w:rPr>
          <w:i/>
        </w:rPr>
      </w:pPr>
      <w:r w:rsidRPr="00C60AD1">
        <w:rPr>
          <w:i/>
        </w:rPr>
        <w:t>Owing to the fact of long term agreement with few of the disallowed sources, in FY 2012-13, the existing provision of not allowing FPPCA for power purchase from unapproved sources will lead heavy financial loss to the licensee.</w:t>
      </w:r>
    </w:p>
    <w:p w:rsidR="00C34658" w:rsidRPr="00C60AD1" w:rsidRDefault="00C34658" w:rsidP="00C34658">
      <w:pPr>
        <w:pStyle w:val="ListParagraph"/>
        <w:spacing w:after="200"/>
        <w:contextualSpacing/>
        <w:rPr>
          <w:b/>
          <w:i/>
        </w:rPr>
      </w:pPr>
    </w:p>
    <w:p w:rsidR="00C34658" w:rsidRPr="00C60AD1" w:rsidRDefault="00C34658" w:rsidP="00C34658">
      <w:pPr>
        <w:pStyle w:val="ListParagraph"/>
        <w:spacing w:after="200"/>
        <w:ind w:left="1440"/>
        <w:contextualSpacing/>
        <w:rPr>
          <w:b/>
          <w:i/>
        </w:rPr>
      </w:pPr>
      <w:r w:rsidRPr="00C60AD1">
        <w:rPr>
          <w:b/>
          <w:i/>
        </w:rPr>
        <w:t>C - FPPCA may be allowed on power purchase from UI &amp; unapproved sources:</w:t>
      </w:r>
    </w:p>
    <w:p w:rsidR="00C34658" w:rsidRPr="00C60AD1" w:rsidRDefault="00C34658" w:rsidP="00C34658">
      <w:pPr>
        <w:pStyle w:val="ListParagraph"/>
        <w:ind w:left="1440"/>
        <w:rPr>
          <w:i/>
        </w:rPr>
      </w:pPr>
      <w:r w:rsidRPr="00C60AD1">
        <w:rPr>
          <w:i/>
        </w:rPr>
        <w:t>As regard to the issue of allowing FPPCA on power purchase from UI &amp; unapproved sources, Commission has directed the licensee to file reply as directed in its order dt.17.12.2012 in petition no. 848/2012. The desired FPPCA computation has been filed by the licensee vide letter no. 1621/RAU/FPPCA Review dt. 30.06.2014 for the period Jan-2013 to Sept-</w:t>
      </w:r>
      <w:r w:rsidRPr="00C60AD1">
        <w:rPr>
          <w:i/>
        </w:rPr>
        <w:lastRenderedPageBreak/>
        <w:t>2013 (for 3 Quarters), on the basis of the bills raised by the generators, in following two scenarios:</w:t>
      </w:r>
    </w:p>
    <w:p w:rsidR="00C34658" w:rsidRPr="00C60AD1" w:rsidRDefault="00C34658" w:rsidP="00C34658">
      <w:pPr>
        <w:pStyle w:val="ListParagraph"/>
        <w:numPr>
          <w:ilvl w:val="0"/>
          <w:numId w:val="38"/>
        </w:numPr>
        <w:spacing w:before="0" w:after="200"/>
        <w:contextualSpacing/>
        <w:rPr>
          <w:i/>
        </w:rPr>
      </w:pPr>
      <w:r w:rsidRPr="00C60AD1">
        <w:rPr>
          <w:i/>
        </w:rPr>
        <w:t xml:space="preserve">FPPCA working </w:t>
      </w:r>
      <w:r w:rsidRPr="00C60AD1">
        <w:rPr>
          <w:b/>
          <w:i/>
        </w:rPr>
        <w:t>Excluding UI &amp; unapproved purchases</w:t>
      </w:r>
    </w:p>
    <w:p w:rsidR="00C34658" w:rsidRPr="00C60AD1" w:rsidRDefault="00C34658" w:rsidP="00C34658">
      <w:pPr>
        <w:pStyle w:val="ListParagraph"/>
        <w:numPr>
          <w:ilvl w:val="0"/>
          <w:numId w:val="38"/>
        </w:numPr>
        <w:spacing w:before="0" w:after="200"/>
        <w:contextualSpacing/>
        <w:rPr>
          <w:i/>
        </w:rPr>
      </w:pPr>
      <w:r w:rsidRPr="00C60AD1">
        <w:rPr>
          <w:i/>
        </w:rPr>
        <w:t xml:space="preserve">FPPCA working </w:t>
      </w:r>
      <w:r w:rsidRPr="00C60AD1">
        <w:rPr>
          <w:b/>
          <w:i/>
        </w:rPr>
        <w:t>Including UI &amp; unapproved purchases</w:t>
      </w:r>
    </w:p>
    <w:p w:rsidR="00C34658" w:rsidRPr="00C60AD1" w:rsidRDefault="00C34658" w:rsidP="00C34658">
      <w:pPr>
        <w:ind w:left="1440"/>
        <w:rPr>
          <w:i/>
        </w:rPr>
      </w:pPr>
      <w:r w:rsidRPr="00C60AD1">
        <w:rPr>
          <w:i/>
        </w:rPr>
        <w:t>As evident from above submitted computation there is a loss of Rs. 457.5 Cr. to the licensee in terms of FPPCA for three quarters only.</w:t>
      </w:r>
    </w:p>
    <w:p w:rsidR="00C34658" w:rsidRPr="00C60AD1" w:rsidRDefault="00C34658" w:rsidP="00C34658">
      <w:pPr>
        <w:ind w:left="1440"/>
        <w:rPr>
          <w:i/>
        </w:rPr>
      </w:pPr>
      <w:r w:rsidRPr="00C60AD1">
        <w:rPr>
          <w:i/>
        </w:rPr>
        <w:t>Therefore, in light of submission made by the licensee in its petition &amp; computation shown in reply dt. 30.06.2014, it is submitted that the variation in power purchase cost due to UI &amp; unapproved sources may also be covered under FPPCA.</w:t>
      </w:r>
    </w:p>
    <w:p w:rsidR="00C34658" w:rsidRPr="00C60AD1" w:rsidRDefault="00C34658" w:rsidP="00C34658">
      <w:pPr>
        <w:pStyle w:val="ListParagraph"/>
        <w:spacing w:after="200"/>
        <w:contextualSpacing/>
        <w:rPr>
          <w:b/>
          <w:i/>
        </w:rPr>
      </w:pPr>
    </w:p>
    <w:p w:rsidR="00C34658" w:rsidRPr="00C60AD1" w:rsidRDefault="00C34658" w:rsidP="00C34658">
      <w:pPr>
        <w:pStyle w:val="ListParagraph"/>
        <w:spacing w:after="200"/>
        <w:ind w:left="1440"/>
        <w:contextualSpacing/>
        <w:rPr>
          <w:b/>
          <w:i/>
        </w:rPr>
      </w:pPr>
      <w:r w:rsidRPr="00C60AD1">
        <w:rPr>
          <w:b/>
          <w:i/>
        </w:rPr>
        <w:t>D - For the purpose of recovery FPPCA, power purchase cost may include all bills raised by the generators instead of bills paid and credit received by the licensee:</w:t>
      </w:r>
    </w:p>
    <w:p w:rsidR="00C34658" w:rsidRPr="00C60AD1" w:rsidRDefault="00C34658" w:rsidP="00C34658">
      <w:pPr>
        <w:pStyle w:val="ListParagraph"/>
        <w:ind w:left="1440"/>
        <w:rPr>
          <w:i/>
        </w:rPr>
      </w:pPr>
      <w:r w:rsidRPr="00C60AD1">
        <w:rPr>
          <w:i/>
        </w:rPr>
        <w:t>With regard to this issue it is humbly submitted that the submission made in petition no. 848/2012 seems sufficient and does not need further elaboration.</w:t>
      </w:r>
    </w:p>
    <w:p w:rsidR="00C34658" w:rsidRPr="00C60AD1" w:rsidRDefault="00C34658" w:rsidP="00C34658">
      <w:pPr>
        <w:pStyle w:val="ListParagraph"/>
        <w:spacing w:after="200"/>
        <w:contextualSpacing/>
        <w:rPr>
          <w:b/>
          <w:i/>
        </w:rPr>
      </w:pPr>
    </w:p>
    <w:p w:rsidR="00C34658" w:rsidRPr="00C60AD1" w:rsidRDefault="00C34658" w:rsidP="00C34658">
      <w:pPr>
        <w:pStyle w:val="ListParagraph"/>
        <w:spacing w:after="200"/>
        <w:ind w:firstLine="720"/>
        <w:contextualSpacing/>
        <w:rPr>
          <w:b/>
          <w:i/>
        </w:rPr>
      </w:pPr>
      <w:r w:rsidRPr="00C60AD1">
        <w:rPr>
          <w:b/>
          <w:i/>
        </w:rPr>
        <w:t>E - Date of applicability of FPPCA:</w:t>
      </w:r>
    </w:p>
    <w:p w:rsidR="00D5771F" w:rsidRDefault="00C34658">
      <w:pPr>
        <w:pStyle w:val="ListParagraph"/>
        <w:ind w:left="1440"/>
      </w:pPr>
      <w:r w:rsidRPr="00C60AD1">
        <w:rPr>
          <w:i/>
        </w:rPr>
        <w:t>The issue with regard to the date of applicability of FPPCA has been settled by the Commission vide its letter no. UPERC/D(T)RAU/2012-1127 dt. 30.10.2012. Therefore, no further submission is required in this regard.”</w:t>
      </w:r>
    </w:p>
    <w:p w:rsidR="00D5771F" w:rsidRDefault="00C34658">
      <w:pPr>
        <w:pStyle w:val="Heading3"/>
        <w:tabs>
          <w:tab w:val="clear" w:pos="720"/>
        </w:tabs>
        <w:spacing w:after="240"/>
        <w:ind w:left="993" w:hanging="993"/>
      </w:pPr>
      <w:r w:rsidRPr="00C60AD1">
        <w:t>The relevant provisions of the UPERC (Terms and conditions for Determination of Distribution Tariff), Regulations, Amendment No. 3 of 2012 are reproduced below for reference:</w:t>
      </w:r>
    </w:p>
    <w:p w:rsidR="00D5771F" w:rsidRDefault="00C34658">
      <w:pPr>
        <w:spacing w:line="312" w:lineRule="auto"/>
        <w:ind w:left="720" w:firstLine="720"/>
        <w:rPr>
          <w:rFonts w:cs="Arial"/>
        </w:rPr>
      </w:pPr>
      <w:r w:rsidRPr="00C60AD1">
        <w:rPr>
          <w:rFonts w:cs="Arial"/>
        </w:rPr>
        <w:t>Quote</w:t>
      </w:r>
    </w:p>
    <w:p w:rsidR="00C34658" w:rsidRPr="00C60AD1" w:rsidRDefault="00C34658" w:rsidP="00C34658">
      <w:pPr>
        <w:ind w:left="720" w:firstLine="720"/>
        <w:rPr>
          <w:b/>
          <w:i/>
        </w:rPr>
      </w:pPr>
      <w:r w:rsidRPr="00C60AD1">
        <w:rPr>
          <w:b/>
          <w:i/>
        </w:rPr>
        <w:t>“6.9 Fuel and Power Purchase Cost Adjustment (FPPCA):</w:t>
      </w:r>
    </w:p>
    <w:p w:rsidR="00C34658" w:rsidRPr="00C60AD1" w:rsidRDefault="00C34658" w:rsidP="00C34658">
      <w:pPr>
        <w:pStyle w:val="ListParagraph"/>
        <w:spacing w:after="200"/>
        <w:ind w:left="1429" w:firstLine="11"/>
        <w:contextualSpacing/>
        <w:rPr>
          <w:b/>
          <w:i/>
        </w:rPr>
      </w:pPr>
      <w:r w:rsidRPr="00C60AD1">
        <w:rPr>
          <w:b/>
          <w:i/>
        </w:rPr>
        <w:t>1. Recovery Periodicity (Cycle):</w:t>
      </w:r>
    </w:p>
    <w:p w:rsidR="00C34658" w:rsidRPr="00C60AD1" w:rsidRDefault="00C34658" w:rsidP="00C34658">
      <w:pPr>
        <w:pStyle w:val="ListParagraph"/>
        <w:ind w:left="1429"/>
        <w:rPr>
          <w:i/>
        </w:rPr>
      </w:pPr>
      <w:r w:rsidRPr="00C60AD1">
        <w:rPr>
          <w:i/>
        </w:rPr>
        <w:t>The cycle will be quarterly. The FPPCA for the quarter ending March will be calculated in next quarter i.e. up to June when the data/ bills from generators/suppliers and sale of energy data for the quarter under consideration are available and the same will be applicable to all categories w.e.f. July.</w:t>
      </w:r>
    </w:p>
    <w:p w:rsidR="00C34658" w:rsidRPr="00C60AD1" w:rsidRDefault="00C34658" w:rsidP="00C34658">
      <w:pPr>
        <w:pStyle w:val="ListParagraph"/>
        <w:rPr>
          <w:i/>
        </w:rPr>
      </w:pPr>
    </w:p>
    <w:p w:rsidR="00C34658" w:rsidRPr="00C60AD1" w:rsidRDefault="00C34658" w:rsidP="00C34658">
      <w:pPr>
        <w:pStyle w:val="ListParagraph"/>
        <w:spacing w:after="200"/>
        <w:ind w:left="1418" w:firstLine="11"/>
        <w:contextualSpacing/>
        <w:rPr>
          <w:b/>
          <w:i/>
        </w:rPr>
      </w:pPr>
      <w:r w:rsidRPr="00C60AD1">
        <w:rPr>
          <w:b/>
          <w:i/>
        </w:rPr>
        <w:t>2. Fuel &amp; Power Purchase Cost Adjustment Formula (FPPCA):</w:t>
      </w:r>
    </w:p>
    <w:p w:rsidR="00C34658" w:rsidRPr="00C60AD1" w:rsidRDefault="00C34658" w:rsidP="00C34658">
      <w:pPr>
        <w:pStyle w:val="ListParagraph"/>
        <w:spacing w:after="200"/>
        <w:ind w:left="1418"/>
        <w:contextualSpacing/>
        <w:rPr>
          <w:i/>
        </w:rPr>
      </w:pPr>
      <w:r w:rsidRPr="00C60AD1">
        <w:rPr>
          <w:i/>
        </w:rPr>
        <w:t>1. The distribution licensee shall recover FPPCA amount with effect from a date which would be issued by a separate Commission’s order from all consumers. The formula is as follows:</w:t>
      </w:r>
    </w:p>
    <w:p w:rsidR="00C34658" w:rsidRPr="00C60AD1" w:rsidRDefault="00C34658" w:rsidP="00C34658">
      <w:pPr>
        <w:ind w:left="1418"/>
        <w:rPr>
          <w:b/>
          <w:i/>
        </w:rPr>
      </w:pPr>
      <w:r w:rsidRPr="00C60AD1">
        <w:rPr>
          <w:b/>
          <w:i/>
        </w:rPr>
        <w:t>Step (A)</w:t>
      </w:r>
      <w:r w:rsidRPr="00C60AD1">
        <w:rPr>
          <w:b/>
          <w:i/>
        </w:rPr>
        <w:tab/>
        <w:t>Determination of Difference between Actual and Approved Power Purchase Cost in a quarter</w:t>
      </w:r>
    </w:p>
    <w:p w:rsidR="00C34658" w:rsidRPr="00C60AD1" w:rsidRDefault="00C34658" w:rsidP="00C34658">
      <w:pPr>
        <w:pStyle w:val="ListParagraph"/>
        <w:ind w:firstLine="698"/>
        <w:rPr>
          <w:i/>
        </w:rPr>
      </w:pPr>
      <w:r w:rsidRPr="00C60AD1">
        <w:rPr>
          <w:i/>
        </w:rPr>
        <w:t>P</w:t>
      </w:r>
      <w:r w:rsidRPr="00C60AD1">
        <w:rPr>
          <w:i/>
          <w:vertAlign w:val="subscript"/>
        </w:rPr>
        <w:t>D</w:t>
      </w:r>
      <w:r w:rsidRPr="00C60AD1">
        <w:rPr>
          <w:i/>
        </w:rPr>
        <w:t xml:space="preserve">= (P </w:t>
      </w:r>
      <w:r w:rsidRPr="00C60AD1">
        <w:rPr>
          <w:i/>
          <w:vertAlign w:val="subscript"/>
        </w:rPr>
        <w:t>actual</w:t>
      </w:r>
      <w:r w:rsidRPr="00C60AD1">
        <w:rPr>
          <w:i/>
        </w:rPr>
        <w:t xml:space="preserve">-P </w:t>
      </w:r>
      <w:r w:rsidRPr="00C60AD1">
        <w:rPr>
          <w:i/>
          <w:vertAlign w:val="subscript"/>
        </w:rPr>
        <w:t>approved</w:t>
      </w:r>
      <w:r w:rsidRPr="00C60AD1">
        <w:rPr>
          <w:i/>
        </w:rPr>
        <w:t>)</w:t>
      </w:r>
    </w:p>
    <w:p w:rsidR="00C34658" w:rsidRPr="00C60AD1" w:rsidRDefault="00C34658" w:rsidP="00C34658">
      <w:pPr>
        <w:ind w:left="698" w:firstLine="720"/>
        <w:rPr>
          <w:i/>
        </w:rPr>
      </w:pPr>
      <w:r w:rsidRPr="00C60AD1">
        <w:rPr>
          <w:i/>
        </w:rPr>
        <w:t xml:space="preserve">Where </w:t>
      </w:r>
    </w:p>
    <w:p w:rsidR="00C34658" w:rsidRPr="00C60AD1" w:rsidRDefault="00C34658" w:rsidP="00C34658">
      <w:pPr>
        <w:ind w:left="698" w:firstLine="720"/>
        <w:rPr>
          <w:i/>
        </w:rPr>
      </w:pPr>
      <w:r w:rsidRPr="00C60AD1">
        <w:rPr>
          <w:i/>
        </w:rPr>
        <w:t>P</w:t>
      </w:r>
      <w:r w:rsidRPr="00C60AD1">
        <w:rPr>
          <w:i/>
          <w:vertAlign w:val="subscript"/>
        </w:rPr>
        <w:t>D</w:t>
      </w:r>
      <w:r w:rsidRPr="00C60AD1">
        <w:rPr>
          <w:i/>
        </w:rPr>
        <w:tab/>
        <w:t>= Difference in Actual and Approved Power Purchase Cost (‘Crs.)</w:t>
      </w:r>
    </w:p>
    <w:p w:rsidR="00C34658" w:rsidRPr="00C60AD1" w:rsidRDefault="00C34658" w:rsidP="00C34658">
      <w:pPr>
        <w:ind w:left="698" w:firstLine="720"/>
        <w:rPr>
          <w:i/>
        </w:rPr>
      </w:pPr>
      <w:r w:rsidRPr="00C60AD1">
        <w:rPr>
          <w:i/>
        </w:rPr>
        <w:t xml:space="preserve">P </w:t>
      </w:r>
      <w:r w:rsidRPr="00C60AD1">
        <w:rPr>
          <w:i/>
          <w:vertAlign w:val="subscript"/>
        </w:rPr>
        <w:t>actual</w:t>
      </w:r>
      <w:r w:rsidRPr="00C60AD1">
        <w:rPr>
          <w:i/>
          <w:vertAlign w:val="subscript"/>
        </w:rPr>
        <w:tab/>
      </w:r>
      <w:r w:rsidRPr="00C60AD1">
        <w:rPr>
          <w:i/>
        </w:rPr>
        <w:t>= Actual Cost of Power Purchase (‘Crs.)</w:t>
      </w:r>
    </w:p>
    <w:p w:rsidR="00C34658" w:rsidRPr="00C60AD1" w:rsidRDefault="00C34658" w:rsidP="00C34658">
      <w:pPr>
        <w:ind w:left="698" w:firstLine="720"/>
        <w:rPr>
          <w:i/>
        </w:rPr>
      </w:pPr>
      <w:r w:rsidRPr="00C60AD1">
        <w:rPr>
          <w:i/>
        </w:rPr>
        <w:t xml:space="preserve">P </w:t>
      </w:r>
      <w:r w:rsidRPr="00C60AD1">
        <w:rPr>
          <w:i/>
          <w:vertAlign w:val="subscript"/>
        </w:rPr>
        <w:t>approved</w:t>
      </w:r>
      <w:r w:rsidRPr="00C60AD1">
        <w:rPr>
          <w:i/>
          <w:vertAlign w:val="subscript"/>
        </w:rPr>
        <w:tab/>
      </w:r>
      <w:r w:rsidRPr="00C60AD1">
        <w:rPr>
          <w:i/>
        </w:rPr>
        <w:t>= Approved Cost of Power Purchase (‘Crs.)</w:t>
      </w:r>
    </w:p>
    <w:p w:rsidR="00C34658" w:rsidRPr="00C60AD1" w:rsidRDefault="00C34658" w:rsidP="00C34658">
      <w:pPr>
        <w:ind w:left="1418"/>
        <w:rPr>
          <w:b/>
          <w:i/>
        </w:rPr>
      </w:pPr>
      <w:r w:rsidRPr="00C60AD1">
        <w:rPr>
          <w:b/>
          <w:i/>
        </w:rPr>
        <w:t xml:space="preserve">Step (B) </w:t>
      </w:r>
      <w:r w:rsidRPr="00C60AD1">
        <w:rPr>
          <w:b/>
          <w:i/>
        </w:rPr>
        <w:tab/>
        <w:t>Determination of (E ) Energy billed (in MUs) in a quarter after considering approved T&amp;D losses.</w:t>
      </w:r>
    </w:p>
    <w:p w:rsidR="00C34658" w:rsidRPr="00C60AD1" w:rsidRDefault="00C34658" w:rsidP="00C34658">
      <w:pPr>
        <w:pStyle w:val="ListParagraph"/>
        <w:ind w:firstLine="698"/>
        <w:rPr>
          <w:i/>
        </w:rPr>
      </w:pPr>
      <w:r w:rsidRPr="00C60AD1">
        <w:rPr>
          <w:i/>
        </w:rPr>
        <w:t xml:space="preserve">Actual power purchased during the quarter (MUs) </w:t>
      </w:r>
      <w:r w:rsidRPr="00C60AD1">
        <w:rPr>
          <w:i/>
        </w:rPr>
        <w:tab/>
        <w:t>X(MUs)</w:t>
      </w:r>
    </w:p>
    <w:p w:rsidR="00C34658" w:rsidRPr="00C60AD1" w:rsidRDefault="00C34658" w:rsidP="00C34658">
      <w:pPr>
        <w:pStyle w:val="ListParagraph"/>
        <w:ind w:firstLine="698"/>
        <w:rPr>
          <w:i/>
        </w:rPr>
      </w:pPr>
      <w:r w:rsidRPr="00C60AD1">
        <w:rPr>
          <w:i/>
        </w:rPr>
        <w:t>Approved T&amp;D losses</w:t>
      </w:r>
      <w:r w:rsidRPr="00C60AD1">
        <w:rPr>
          <w:i/>
        </w:rPr>
        <w:tab/>
      </w:r>
      <w:r w:rsidRPr="00C60AD1">
        <w:rPr>
          <w:i/>
        </w:rPr>
        <w:tab/>
      </w:r>
      <w:r w:rsidRPr="00C60AD1">
        <w:rPr>
          <w:i/>
        </w:rPr>
        <w:tab/>
      </w:r>
      <w:r w:rsidRPr="00C60AD1">
        <w:rPr>
          <w:i/>
        </w:rPr>
        <w:tab/>
      </w:r>
      <w:r w:rsidRPr="00C60AD1">
        <w:rPr>
          <w:i/>
        </w:rPr>
        <w:tab/>
        <w:t>Y%</w:t>
      </w:r>
    </w:p>
    <w:p w:rsidR="00C34658" w:rsidRPr="00C60AD1" w:rsidRDefault="00C34658" w:rsidP="00C34658">
      <w:pPr>
        <w:pStyle w:val="ListParagraph"/>
        <w:ind w:firstLine="698"/>
        <w:rPr>
          <w:i/>
        </w:rPr>
      </w:pPr>
      <w:r w:rsidRPr="00C60AD1">
        <w:rPr>
          <w:i/>
        </w:rPr>
        <w:t xml:space="preserve">Approved MUs billed after T&amp;D losses (E)  </w:t>
      </w:r>
      <w:r w:rsidRPr="00C60AD1">
        <w:rPr>
          <w:i/>
        </w:rPr>
        <w:tab/>
      </w:r>
      <w:r w:rsidRPr="00C60AD1">
        <w:rPr>
          <w:i/>
        </w:rPr>
        <w:tab/>
        <w:t xml:space="preserve"> X * (1-Y/100)</w:t>
      </w:r>
    </w:p>
    <w:p w:rsidR="00C34658" w:rsidRPr="00C60AD1" w:rsidRDefault="00C34658" w:rsidP="00C34658">
      <w:pPr>
        <w:pStyle w:val="ListParagraph"/>
        <w:ind w:left="709" w:hanging="1418"/>
        <w:rPr>
          <w:i/>
        </w:rPr>
      </w:pPr>
    </w:p>
    <w:p w:rsidR="00C34658" w:rsidRPr="00C60AD1" w:rsidRDefault="00C34658" w:rsidP="00C34658">
      <w:pPr>
        <w:pStyle w:val="ListParagraph"/>
        <w:ind w:left="1418"/>
        <w:rPr>
          <w:b/>
          <w:i/>
        </w:rPr>
      </w:pPr>
      <w:r w:rsidRPr="00C60AD1">
        <w:rPr>
          <w:b/>
          <w:i/>
        </w:rPr>
        <w:t>Step (C )</w:t>
      </w:r>
      <w:r w:rsidRPr="00C60AD1">
        <w:rPr>
          <w:b/>
          <w:i/>
        </w:rPr>
        <w:tab/>
        <w:t>Determination of Fuel &amp; Power Purchase Cost Adjustment per unit based on approved T&amp;D losses to be charged from all consumers each month of the quarter</w:t>
      </w:r>
    </w:p>
    <w:p w:rsidR="00C34658" w:rsidRPr="00C60AD1" w:rsidRDefault="00C34658" w:rsidP="00C34658">
      <w:pPr>
        <w:pStyle w:val="ListParagraph"/>
        <w:ind w:left="907"/>
        <w:jc w:val="center"/>
        <w:rPr>
          <w:b/>
          <w:i/>
        </w:rPr>
      </w:pPr>
      <w:r w:rsidRPr="00C60AD1">
        <w:rPr>
          <w:b/>
          <w:i/>
        </w:rPr>
        <w:t>FPPCA (‘/unit)) = (P</w:t>
      </w:r>
      <w:r w:rsidRPr="00C60AD1">
        <w:rPr>
          <w:b/>
          <w:i/>
          <w:vertAlign w:val="subscript"/>
        </w:rPr>
        <w:t>D</w:t>
      </w:r>
      <w:r w:rsidRPr="00C60AD1">
        <w:rPr>
          <w:b/>
          <w:i/>
        </w:rPr>
        <w:t>/E)*10</w:t>
      </w:r>
    </w:p>
    <w:p w:rsidR="00C34658" w:rsidRPr="00C60AD1" w:rsidRDefault="00C34658" w:rsidP="00C34658">
      <w:pPr>
        <w:pStyle w:val="ListParagraph"/>
        <w:ind w:left="907"/>
        <w:rPr>
          <w:i/>
        </w:rPr>
      </w:pPr>
    </w:p>
    <w:p w:rsidR="00C34658" w:rsidRPr="00C60AD1" w:rsidRDefault="00C34658" w:rsidP="00C34658">
      <w:pPr>
        <w:pStyle w:val="ListParagraph"/>
        <w:spacing w:after="200"/>
        <w:ind w:left="1440"/>
        <w:contextualSpacing/>
        <w:rPr>
          <w:i/>
        </w:rPr>
      </w:pPr>
      <w:r w:rsidRPr="00C60AD1">
        <w:rPr>
          <w:i/>
        </w:rPr>
        <w:t>2. The variation in power purchase cost due to UI and other unapproved purchases shall not be covered under FPPCA.</w:t>
      </w:r>
    </w:p>
    <w:p w:rsidR="00C34658" w:rsidRPr="00C60AD1" w:rsidRDefault="00C34658" w:rsidP="00C34658">
      <w:pPr>
        <w:pStyle w:val="ListParagraph"/>
        <w:ind w:left="896"/>
        <w:rPr>
          <w:i/>
        </w:rPr>
      </w:pPr>
    </w:p>
    <w:p w:rsidR="00C34658" w:rsidRPr="00C60AD1" w:rsidRDefault="00C34658" w:rsidP="00C34658">
      <w:pPr>
        <w:pStyle w:val="ListParagraph"/>
        <w:spacing w:after="200"/>
        <w:ind w:left="1440"/>
        <w:contextualSpacing/>
        <w:rPr>
          <w:i/>
        </w:rPr>
      </w:pPr>
      <w:r w:rsidRPr="00C60AD1">
        <w:rPr>
          <w:i/>
        </w:rPr>
        <w:t>3. For the purpose of recovery of FPPCA, power purchase cost shall include all the bills paid and credits received by the distribution licensee, to the suppliers of the power, during the previous FPPCA cycle irrespective of the period to which they pertain. This shall include arrears and refunds, if any, not settled earlier.</w:t>
      </w:r>
    </w:p>
    <w:p w:rsidR="00C34658" w:rsidRPr="00C60AD1" w:rsidRDefault="00C34658" w:rsidP="00C34658">
      <w:pPr>
        <w:pStyle w:val="ListParagraph"/>
        <w:ind w:left="907"/>
        <w:rPr>
          <w:i/>
        </w:rPr>
      </w:pPr>
    </w:p>
    <w:p w:rsidR="00C34658" w:rsidRDefault="00C34658" w:rsidP="00C34658">
      <w:pPr>
        <w:pStyle w:val="ListParagraph"/>
        <w:spacing w:after="200"/>
        <w:ind w:left="1440"/>
        <w:contextualSpacing/>
        <w:rPr>
          <w:i/>
        </w:rPr>
      </w:pPr>
      <w:r w:rsidRPr="00C60AD1">
        <w:rPr>
          <w:i/>
        </w:rPr>
        <w:lastRenderedPageBreak/>
        <w:t>4. The total FPPCA recoverable, as per the formula specified above, shall be recovered from the actual sales and in case of unmetered consumers, it shall be recoverable based on estimated sales to such consumers, calculated in accordance with such methodology / mechanism as may be stipulated by the Commission.</w:t>
      </w:r>
    </w:p>
    <w:p w:rsidR="00DD3E2F" w:rsidRPr="00C60AD1" w:rsidRDefault="00DD3E2F" w:rsidP="00C34658">
      <w:pPr>
        <w:pStyle w:val="ListParagraph"/>
        <w:spacing w:after="200"/>
        <w:ind w:left="1440"/>
        <w:contextualSpacing/>
        <w:rPr>
          <w:i/>
        </w:rPr>
      </w:pPr>
    </w:p>
    <w:p w:rsidR="00C34658" w:rsidRPr="00C60AD1" w:rsidRDefault="00C34658" w:rsidP="00C34658">
      <w:pPr>
        <w:pStyle w:val="ListParagraph"/>
        <w:spacing w:after="200"/>
        <w:ind w:left="1440"/>
        <w:contextualSpacing/>
        <w:rPr>
          <w:i/>
        </w:rPr>
      </w:pPr>
      <w:r w:rsidRPr="00C60AD1">
        <w:rPr>
          <w:i/>
        </w:rPr>
        <w:t>5. Per unit rate of FPPCA shall be worked out in paisa after rounding off to the next place.</w:t>
      </w:r>
    </w:p>
    <w:p w:rsidR="00C34658" w:rsidRPr="00C60AD1" w:rsidRDefault="00C34658" w:rsidP="00C34658">
      <w:pPr>
        <w:pStyle w:val="ListParagraph"/>
        <w:ind w:left="896"/>
        <w:rPr>
          <w:i/>
        </w:rPr>
      </w:pPr>
    </w:p>
    <w:p w:rsidR="00C34658" w:rsidRPr="00C60AD1" w:rsidRDefault="00C34658" w:rsidP="00C34658">
      <w:pPr>
        <w:pStyle w:val="ListParagraph"/>
        <w:spacing w:after="200"/>
        <w:ind w:left="1440"/>
        <w:contextualSpacing/>
        <w:rPr>
          <w:i/>
        </w:rPr>
      </w:pPr>
      <w:r w:rsidRPr="00C60AD1">
        <w:rPr>
          <w:i/>
        </w:rPr>
        <w:t>6. In case of negative FPPCA, the credit shall be given to the consumers under the FPPCA head, so that the base tariff determined by the Commission effectively remains the same.</w:t>
      </w:r>
    </w:p>
    <w:p w:rsidR="00C34658" w:rsidRPr="00C60AD1" w:rsidRDefault="00C34658" w:rsidP="00C34658">
      <w:pPr>
        <w:pStyle w:val="ListParagraph"/>
        <w:rPr>
          <w:i/>
        </w:rPr>
      </w:pPr>
    </w:p>
    <w:p w:rsidR="00C34658" w:rsidRPr="00C60AD1" w:rsidRDefault="00C34658" w:rsidP="00C34658">
      <w:pPr>
        <w:pStyle w:val="ListParagraph"/>
        <w:spacing w:after="200"/>
        <w:ind w:left="1440"/>
        <w:contextualSpacing/>
        <w:rPr>
          <w:i/>
        </w:rPr>
      </w:pPr>
      <w:r w:rsidRPr="00C60AD1">
        <w:rPr>
          <w:i/>
        </w:rPr>
        <w:t>7. The Distribution licensee shall submit details in the stipulated format to the Commission on a quarterly basis, the FPPCA charged and, for this purpose, shall submit such details of the FPPCA incurred and the FPPCA charged to all consumers for each month in such quarter, along with the detailed computations and supporting documents as may be required for verification by the Commission.</w:t>
      </w:r>
    </w:p>
    <w:p w:rsidR="00C34658" w:rsidRPr="00C60AD1" w:rsidRDefault="00C34658" w:rsidP="00C34658">
      <w:pPr>
        <w:pStyle w:val="ListParagraph"/>
        <w:rPr>
          <w:i/>
        </w:rPr>
      </w:pPr>
    </w:p>
    <w:p w:rsidR="00C34658" w:rsidRPr="00C60AD1" w:rsidRDefault="00C34658" w:rsidP="00C34658">
      <w:pPr>
        <w:pStyle w:val="ListParagraph"/>
        <w:ind w:left="1440"/>
        <w:rPr>
          <w:i/>
        </w:rPr>
      </w:pPr>
      <w:r w:rsidRPr="00C60AD1">
        <w:rPr>
          <w:i/>
        </w:rPr>
        <w:t>Provided that the above submission made to the Commission must be certified by a Chartered Accountant.</w:t>
      </w:r>
    </w:p>
    <w:p w:rsidR="00C34658" w:rsidRPr="00C60AD1" w:rsidRDefault="00C34658" w:rsidP="00C34658">
      <w:pPr>
        <w:pStyle w:val="ListParagraph"/>
        <w:ind w:left="1440"/>
        <w:rPr>
          <w:i/>
        </w:rPr>
      </w:pPr>
      <w:r w:rsidRPr="00C60AD1">
        <w:rPr>
          <w:i/>
        </w:rPr>
        <w:t>Provided further that the FPPCA applicable for each month shall be displayed prominently at the collection centres and the offices dealing with consumers and on the internet website of the Distribution Licensee.</w:t>
      </w:r>
    </w:p>
    <w:p w:rsidR="00C34658" w:rsidRPr="00C60AD1" w:rsidRDefault="00C34658" w:rsidP="00C34658">
      <w:pPr>
        <w:pStyle w:val="ListParagraph"/>
        <w:ind w:left="1440"/>
        <w:rPr>
          <w:i/>
        </w:rPr>
      </w:pPr>
      <w:r w:rsidRPr="00C60AD1">
        <w:rPr>
          <w:i/>
        </w:rPr>
        <w:t>Provided that the Distribution Licensee shall put up on his internet website such details of the FPPCA incurred and the FPPCA charged to all consumers for each month along with detailed computations.</w:t>
      </w:r>
    </w:p>
    <w:p w:rsidR="00C34658" w:rsidRPr="00C60AD1" w:rsidRDefault="00C34658" w:rsidP="00C34658">
      <w:pPr>
        <w:pStyle w:val="ListParagraph"/>
        <w:rPr>
          <w:i/>
        </w:rPr>
      </w:pPr>
    </w:p>
    <w:p w:rsidR="00C34658" w:rsidRPr="00C60AD1" w:rsidRDefault="00C34658" w:rsidP="00C34658">
      <w:pPr>
        <w:pStyle w:val="ListParagraph"/>
        <w:spacing w:after="200"/>
        <w:ind w:left="1440"/>
        <w:contextualSpacing/>
        <w:rPr>
          <w:i/>
        </w:rPr>
      </w:pPr>
      <w:r w:rsidRPr="00C60AD1">
        <w:rPr>
          <w:i/>
        </w:rPr>
        <w:t>8. In case of Minimum Charges, FPPCA shall be charged only on actual units consumed by the consumer during the relevant month in addition to the Minimum Charges amount.</w:t>
      </w:r>
    </w:p>
    <w:p w:rsidR="00C34658" w:rsidRPr="00C60AD1" w:rsidRDefault="00C34658" w:rsidP="00C34658">
      <w:pPr>
        <w:pStyle w:val="ListParagraph"/>
        <w:ind w:left="709"/>
        <w:rPr>
          <w:i/>
        </w:rPr>
      </w:pPr>
    </w:p>
    <w:p w:rsidR="00C34658" w:rsidRPr="00C60AD1" w:rsidRDefault="00C34658" w:rsidP="00C34658">
      <w:pPr>
        <w:pStyle w:val="ListParagraph"/>
        <w:spacing w:after="200"/>
        <w:ind w:left="1440"/>
        <w:contextualSpacing/>
        <w:rPr>
          <w:i/>
        </w:rPr>
      </w:pPr>
      <w:r w:rsidRPr="00C60AD1">
        <w:rPr>
          <w:i/>
        </w:rPr>
        <w:t xml:space="preserve">9. In case Government of Uttar Pradesh decided to provide subsidy on FPPCA to a particular consumer category then, it should do the same as per the provisions of Section 65 of Electricity Act 2003. It shall be the </w:t>
      </w:r>
      <w:r w:rsidRPr="00C60AD1">
        <w:rPr>
          <w:i/>
        </w:rPr>
        <w:lastRenderedPageBreak/>
        <w:t>responsibility of the licensee to seek prior approval of the State Government in this regard and maintain appropriate record of the same.</w:t>
      </w:r>
    </w:p>
    <w:p w:rsidR="00C34658" w:rsidRPr="00C60AD1" w:rsidRDefault="00C34658" w:rsidP="00C34658">
      <w:pPr>
        <w:pStyle w:val="ListParagraph"/>
        <w:rPr>
          <w:i/>
        </w:rPr>
      </w:pPr>
    </w:p>
    <w:p w:rsidR="00C34658" w:rsidRPr="00C60AD1" w:rsidRDefault="00C34658" w:rsidP="00C34658">
      <w:pPr>
        <w:pStyle w:val="ListParagraph"/>
        <w:spacing w:after="200"/>
        <w:ind w:left="1440"/>
        <w:contextualSpacing/>
      </w:pPr>
      <w:r w:rsidRPr="00C60AD1">
        <w:rPr>
          <w:i/>
        </w:rPr>
        <w:t>10. The Commission may however suitably modify / change the proposed formula / procedure or adopt a different formula / procedure for the assessment of fuel surcharge if it considers it to be more appropriate.”</w:t>
      </w:r>
    </w:p>
    <w:p w:rsidR="00C34658" w:rsidRPr="00C60AD1" w:rsidRDefault="00C34658" w:rsidP="00C34658">
      <w:pPr>
        <w:spacing w:line="312" w:lineRule="auto"/>
        <w:ind w:left="273" w:firstLine="720"/>
        <w:rPr>
          <w:rFonts w:cs="Arial"/>
        </w:rPr>
      </w:pPr>
      <w:r w:rsidRPr="00C60AD1">
        <w:rPr>
          <w:rFonts w:cs="Arial"/>
        </w:rPr>
        <w:t>Unquote</w:t>
      </w:r>
    </w:p>
    <w:p w:rsidR="00D5771F" w:rsidRDefault="00C34658">
      <w:pPr>
        <w:pStyle w:val="Heading3"/>
        <w:tabs>
          <w:tab w:val="clear" w:pos="720"/>
        </w:tabs>
        <w:spacing w:after="240"/>
        <w:ind w:left="993" w:hanging="993"/>
      </w:pPr>
      <w:r w:rsidRPr="00C60AD1">
        <w:t xml:space="preserve">As per Regulation 6.9 (2) (10) of UPERC (Terms and Conditions for Determination of Distribution Tariff), Regulations, Amendment No. 3 of 2012, the Commission may suitably modify / change the proposed formula / procedure or adopt a different formula / procedure for the assessment of fuel surcharge if it considers it to be more appropriate. In view of the same and above discussion the Commission </w:t>
      </w:r>
      <w:r>
        <w:t>in its Tariff Order dated June 18, 2</w:t>
      </w:r>
      <w:r w:rsidR="009D3636">
        <w:t>015</w:t>
      </w:r>
      <w:r>
        <w:t xml:space="preserve"> for FY 2015-16</w:t>
      </w:r>
      <w:r w:rsidRPr="00C60AD1">
        <w:t xml:space="preserve">approved the revised formula / procedure in respect to the applicability and recovery of Fuel and Power Purchase Cost Adjustment (FPPCA) as detailed in Regulation 6.9 below (the changes / modifications are underlined): </w:t>
      </w:r>
    </w:p>
    <w:p w:rsidR="00337C98" w:rsidRDefault="00C34658" w:rsidP="00337C98">
      <w:pPr>
        <w:ind w:left="709" w:firstLine="709"/>
        <w:rPr>
          <w:b/>
          <w:i/>
        </w:rPr>
      </w:pPr>
      <w:r w:rsidRPr="00C60AD1">
        <w:rPr>
          <w:b/>
          <w:i/>
        </w:rPr>
        <w:t>6.9 Fuel and Power Purchase Cost Adjustment (FPPCA):</w:t>
      </w:r>
    </w:p>
    <w:p w:rsidR="00337C98" w:rsidRDefault="00C34658" w:rsidP="00337C98">
      <w:pPr>
        <w:pStyle w:val="ListParagraph"/>
        <w:spacing w:after="200"/>
        <w:ind w:left="1418"/>
        <w:contextualSpacing/>
        <w:rPr>
          <w:b/>
          <w:i/>
        </w:rPr>
      </w:pPr>
      <w:r w:rsidRPr="00C60AD1">
        <w:rPr>
          <w:b/>
          <w:i/>
        </w:rPr>
        <w:t>1. Recovery Periodicity (Cycle):</w:t>
      </w:r>
    </w:p>
    <w:p w:rsidR="00337C98" w:rsidRDefault="00C34658" w:rsidP="00337C98">
      <w:pPr>
        <w:pStyle w:val="ListParagraph"/>
        <w:ind w:left="1429"/>
        <w:rPr>
          <w:i/>
        </w:rPr>
      </w:pPr>
      <w:r w:rsidRPr="00C60AD1">
        <w:rPr>
          <w:i/>
        </w:rPr>
        <w:t>The cycle will be quarterly. The FPPCA for the quarter ending March will be calculated in next quarter i.e. up to June when the data / bills from generators / suppliers and sale of energy data for the quarter under consideration are available and the same will be applicable to all categories w.e.f. July.</w:t>
      </w:r>
    </w:p>
    <w:p w:rsidR="00337C98" w:rsidRDefault="00337C98" w:rsidP="00337C98">
      <w:pPr>
        <w:pStyle w:val="ListParagraph"/>
        <w:ind w:left="1429"/>
        <w:rPr>
          <w:i/>
        </w:rPr>
      </w:pPr>
    </w:p>
    <w:p w:rsidR="00337C98" w:rsidRDefault="00C34658" w:rsidP="00337C98">
      <w:pPr>
        <w:pStyle w:val="ListParagraph"/>
        <w:spacing w:after="200"/>
        <w:ind w:left="1418"/>
        <w:contextualSpacing/>
        <w:rPr>
          <w:b/>
          <w:i/>
        </w:rPr>
      </w:pPr>
      <w:r w:rsidRPr="00C60AD1">
        <w:rPr>
          <w:b/>
          <w:i/>
        </w:rPr>
        <w:t>2. Fuel &amp; Power Purchase Cost Adjustment Formula (FPPCA):</w:t>
      </w:r>
    </w:p>
    <w:p w:rsidR="00337C98" w:rsidRDefault="00C34658" w:rsidP="00337C98">
      <w:pPr>
        <w:pStyle w:val="ListParagraph"/>
        <w:spacing w:after="200"/>
        <w:ind w:left="1418"/>
        <w:contextualSpacing/>
        <w:rPr>
          <w:i/>
        </w:rPr>
      </w:pPr>
      <w:r w:rsidRPr="00C60AD1">
        <w:rPr>
          <w:i/>
        </w:rPr>
        <w:t>1. The distribution licensee shall recover FPPCA amount with effect from a date which would be issued by a separate Commission’s order from all consumers. The formula is as follows:</w:t>
      </w:r>
    </w:p>
    <w:p w:rsidR="00337C98" w:rsidRDefault="00C34658" w:rsidP="00337C98">
      <w:pPr>
        <w:ind w:left="1418"/>
        <w:rPr>
          <w:b/>
          <w:i/>
        </w:rPr>
      </w:pPr>
      <w:r w:rsidRPr="00C60AD1">
        <w:rPr>
          <w:b/>
          <w:i/>
        </w:rPr>
        <w:t>Step (A) Determination of Difference between Actual and Approved Power Purchase Cost in a quarter</w:t>
      </w:r>
    </w:p>
    <w:p w:rsidR="00337C98" w:rsidRDefault="00C34658" w:rsidP="00337C98">
      <w:pPr>
        <w:pStyle w:val="ListParagraph"/>
        <w:ind w:left="1429"/>
        <w:rPr>
          <w:i/>
        </w:rPr>
      </w:pPr>
      <w:r w:rsidRPr="00C60AD1">
        <w:rPr>
          <w:i/>
        </w:rPr>
        <w:t>P</w:t>
      </w:r>
      <w:r w:rsidRPr="00C60AD1">
        <w:rPr>
          <w:i/>
          <w:vertAlign w:val="subscript"/>
        </w:rPr>
        <w:t xml:space="preserve">D </w:t>
      </w:r>
      <w:r w:rsidRPr="00C60AD1">
        <w:rPr>
          <w:i/>
        </w:rPr>
        <w:t xml:space="preserve">= (P </w:t>
      </w:r>
      <w:r w:rsidRPr="00C60AD1">
        <w:rPr>
          <w:i/>
          <w:vertAlign w:val="subscript"/>
        </w:rPr>
        <w:t xml:space="preserve">actual </w:t>
      </w:r>
      <w:r w:rsidRPr="00C60AD1">
        <w:rPr>
          <w:i/>
        </w:rPr>
        <w:t xml:space="preserve">- P </w:t>
      </w:r>
      <w:r w:rsidRPr="00C60AD1">
        <w:rPr>
          <w:i/>
          <w:vertAlign w:val="subscript"/>
        </w:rPr>
        <w:t>approved</w:t>
      </w:r>
      <w:r w:rsidRPr="00C60AD1">
        <w:rPr>
          <w:i/>
        </w:rPr>
        <w:t>)</w:t>
      </w:r>
    </w:p>
    <w:p w:rsidR="00337C98" w:rsidRDefault="00C34658" w:rsidP="00337C98">
      <w:pPr>
        <w:ind w:left="709" w:firstLine="720"/>
        <w:rPr>
          <w:i/>
        </w:rPr>
      </w:pPr>
      <w:r w:rsidRPr="00C60AD1">
        <w:rPr>
          <w:i/>
        </w:rPr>
        <w:t xml:space="preserve">Where, </w:t>
      </w:r>
    </w:p>
    <w:p w:rsidR="00337C98" w:rsidRDefault="00C34658" w:rsidP="00337C98">
      <w:pPr>
        <w:ind w:left="1429"/>
        <w:rPr>
          <w:i/>
        </w:rPr>
      </w:pPr>
      <w:r w:rsidRPr="00C60AD1">
        <w:rPr>
          <w:i/>
        </w:rPr>
        <w:lastRenderedPageBreak/>
        <w:t>P</w:t>
      </w:r>
      <w:r w:rsidRPr="00C60AD1">
        <w:rPr>
          <w:i/>
          <w:vertAlign w:val="subscript"/>
        </w:rPr>
        <w:t>D</w:t>
      </w:r>
      <w:r w:rsidRPr="00C60AD1">
        <w:rPr>
          <w:i/>
        </w:rPr>
        <w:tab/>
      </w:r>
      <w:r w:rsidRPr="00C60AD1">
        <w:rPr>
          <w:i/>
        </w:rPr>
        <w:tab/>
        <w:t>= Difference in Actual and Approved Power Purchase Cost (Rs. Crore)</w:t>
      </w:r>
    </w:p>
    <w:p w:rsidR="00337C98" w:rsidRDefault="00C34658" w:rsidP="00337C98">
      <w:pPr>
        <w:ind w:left="709" w:firstLine="720"/>
        <w:rPr>
          <w:i/>
        </w:rPr>
      </w:pPr>
      <w:r w:rsidRPr="00C60AD1">
        <w:rPr>
          <w:i/>
        </w:rPr>
        <w:t xml:space="preserve">P </w:t>
      </w:r>
      <w:r w:rsidRPr="00C60AD1">
        <w:rPr>
          <w:i/>
          <w:vertAlign w:val="subscript"/>
        </w:rPr>
        <w:t>actual</w:t>
      </w:r>
      <w:r w:rsidRPr="00C60AD1">
        <w:rPr>
          <w:i/>
          <w:vertAlign w:val="subscript"/>
        </w:rPr>
        <w:tab/>
      </w:r>
      <w:r w:rsidRPr="00C60AD1">
        <w:rPr>
          <w:i/>
          <w:vertAlign w:val="subscript"/>
        </w:rPr>
        <w:tab/>
      </w:r>
      <w:r w:rsidRPr="00C60AD1">
        <w:rPr>
          <w:i/>
        </w:rPr>
        <w:t>= Actual Cost of Power Purchase (Rs. Crore)</w:t>
      </w:r>
    </w:p>
    <w:p w:rsidR="00337C98" w:rsidRDefault="00C34658" w:rsidP="00337C98">
      <w:pPr>
        <w:ind w:left="709" w:firstLine="709"/>
        <w:rPr>
          <w:i/>
        </w:rPr>
      </w:pPr>
      <w:r w:rsidRPr="00C60AD1">
        <w:rPr>
          <w:i/>
        </w:rPr>
        <w:t xml:space="preserve">P </w:t>
      </w:r>
      <w:r w:rsidRPr="00C60AD1">
        <w:rPr>
          <w:i/>
          <w:vertAlign w:val="subscript"/>
        </w:rPr>
        <w:t>approved</w:t>
      </w:r>
      <w:r w:rsidRPr="00C60AD1">
        <w:rPr>
          <w:i/>
          <w:vertAlign w:val="subscript"/>
        </w:rPr>
        <w:tab/>
      </w:r>
      <w:r w:rsidRPr="00C60AD1">
        <w:rPr>
          <w:i/>
        </w:rPr>
        <w:t>= Approved Cost of Power Purchase (Rs. Crore)</w:t>
      </w:r>
    </w:p>
    <w:p w:rsidR="00337C98" w:rsidRDefault="00337C98" w:rsidP="00337C98">
      <w:pPr>
        <w:ind w:left="1418"/>
        <w:rPr>
          <w:b/>
          <w:i/>
        </w:rPr>
      </w:pPr>
    </w:p>
    <w:p w:rsidR="00337C98" w:rsidRDefault="00C34658" w:rsidP="00337C98">
      <w:pPr>
        <w:ind w:left="1418"/>
        <w:rPr>
          <w:b/>
          <w:i/>
        </w:rPr>
      </w:pPr>
      <w:r w:rsidRPr="00C60AD1">
        <w:rPr>
          <w:b/>
          <w:i/>
        </w:rPr>
        <w:t>Step (B) Determination of (E) Energy billed (in MUs) in a quarter after considering approved T&amp;D losses.</w:t>
      </w:r>
    </w:p>
    <w:p w:rsidR="00337C98" w:rsidRDefault="00C34658" w:rsidP="00337C98">
      <w:pPr>
        <w:pStyle w:val="ListParagraph"/>
        <w:ind w:left="1429"/>
        <w:rPr>
          <w:i/>
        </w:rPr>
      </w:pPr>
      <w:r w:rsidRPr="00C60AD1">
        <w:rPr>
          <w:i/>
        </w:rPr>
        <w:t>Actual power purchased during the quarter (MUs)</w:t>
      </w:r>
      <w:r w:rsidRPr="00C60AD1">
        <w:rPr>
          <w:i/>
        </w:rPr>
        <w:tab/>
        <w:t>:  X (MUs)</w:t>
      </w:r>
    </w:p>
    <w:p w:rsidR="00337C98" w:rsidRDefault="00C34658" w:rsidP="00337C98">
      <w:pPr>
        <w:pStyle w:val="ListParagraph"/>
        <w:ind w:left="1429"/>
        <w:rPr>
          <w:i/>
        </w:rPr>
      </w:pPr>
      <w:r w:rsidRPr="00C60AD1">
        <w:rPr>
          <w:i/>
        </w:rPr>
        <w:t>Approved T&amp;D losses</w:t>
      </w:r>
      <w:r w:rsidRPr="00C60AD1">
        <w:rPr>
          <w:i/>
        </w:rPr>
        <w:tab/>
      </w:r>
      <w:r w:rsidRPr="00C60AD1">
        <w:rPr>
          <w:i/>
        </w:rPr>
        <w:tab/>
      </w:r>
      <w:r w:rsidRPr="00C60AD1">
        <w:rPr>
          <w:i/>
        </w:rPr>
        <w:tab/>
      </w:r>
      <w:r w:rsidRPr="00C60AD1">
        <w:rPr>
          <w:i/>
        </w:rPr>
        <w:tab/>
      </w:r>
      <w:r w:rsidRPr="00C60AD1">
        <w:rPr>
          <w:i/>
        </w:rPr>
        <w:tab/>
        <w:t>:  Y%</w:t>
      </w:r>
    </w:p>
    <w:p w:rsidR="00337C98" w:rsidRDefault="00C34658" w:rsidP="00337C98">
      <w:pPr>
        <w:pStyle w:val="ListParagraph"/>
        <w:ind w:left="1429"/>
        <w:rPr>
          <w:i/>
        </w:rPr>
      </w:pPr>
      <w:r w:rsidRPr="00C60AD1">
        <w:rPr>
          <w:i/>
        </w:rPr>
        <w:t xml:space="preserve">Approved MUs billed after T&amp;D losses (E)  </w:t>
      </w:r>
      <w:r w:rsidRPr="00C60AD1">
        <w:rPr>
          <w:i/>
        </w:rPr>
        <w:tab/>
      </w:r>
      <w:r w:rsidRPr="00C60AD1">
        <w:rPr>
          <w:i/>
        </w:rPr>
        <w:tab/>
        <w:t>:  X * (1 - Y / 100)</w:t>
      </w:r>
    </w:p>
    <w:p w:rsidR="00337C98" w:rsidRDefault="00337C98" w:rsidP="00337C98">
      <w:pPr>
        <w:pStyle w:val="ListParagraph"/>
        <w:ind w:left="1418" w:hanging="1418"/>
        <w:rPr>
          <w:i/>
        </w:rPr>
      </w:pPr>
    </w:p>
    <w:p w:rsidR="00337C98" w:rsidRDefault="00C34658" w:rsidP="00337C98">
      <w:pPr>
        <w:pStyle w:val="ListParagraph"/>
        <w:ind w:left="1418"/>
        <w:rPr>
          <w:b/>
          <w:i/>
        </w:rPr>
      </w:pPr>
      <w:r w:rsidRPr="00C60AD1">
        <w:rPr>
          <w:b/>
          <w:i/>
        </w:rPr>
        <w:t xml:space="preserve">Step (C) </w:t>
      </w:r>
      <w:r w:rsidRPr="00C60AD1">
        <w:rPr>
          <w:b/>
          <w:i/>
          <w:u w:val="single"/>
        </w:rPr>
        <w:t>Determination of Category wise Fuel &amp; Power Purchase Cost Adjustment per unit based on approved T&amp;D losses to be charged from consumers each month of the quarter</w:t>
      </w:r>
    </w:p>
    <w:p w:rsidR="00337C98" w:rsidRDefault="00337C98" w:rsidP="00337C98">
      <w:pPr>
        <w:pStyle w:val="ListParagraph"/>
        <w:ind w:left="1429"/>
        <w:rPr>
          <w:b/>
          <w:i/>
        </w:rPr>
      </w:pPr>
    </w:p>
    <w:p w:rsidR="00337C98" w:rsidRDefault="00C34658" w:rsidP="00337C98">
      <w:pPr>
        <w:pStyle w:val="ListParagraph"/>
        <w:ind w:left="1429"/>
        <w:rPr>
          <w:b/>
          <w:i/>
          <w:u w:val="single"/>
        </w:rPr>
      </w:pPr>
      <w:r w:rsidRPr="00C60AD1">
        <w:rPr>
          <w:b/>
          <w:i/>
          <w:u w:val="single"/>
        </w:rPr>
        <w:t>Category wise FPPCA (Rs. / unit) = ABR</w:t>
      </w:r>
      <w:r w:rsidRPr="00C60AD1">
        <w:rPr>
          <w:b/>
          <w:i/>
          <w:u w:val="single"/>
          <w:vertAlign w:val="subscript"/>
        </w:rPr>
        <w:t xml:space="preserve">C </w:t>
      </w:r>
      <w:r w:rsidRPr="00C60AD1">
        <w:rPr>
          <w:b/>
          <w:i/>
          <w:u w:val="single"/>
        </w:rPr>
        <w:t>/ ABR</w:t>
      </w:r>
      <w:r w:rsidRPr="00C60AD1">
        <w:rPr>
          <w:b/>
          <w:i/>
          <w:u w:val="single"/>
          <w:vertAlign w:val="subscript"/>
        </w:rPr>
        <w:t>D</w:t>
      </w:r>
      <w:r w:rsidRPr="00C60AD1">
        <w:rPr>
          <w:b/>
          <w:i/>
          <w:u w:val="single"/>
        </w:rPr>
        <w:t xml:space="preserve"> *FPPCA</w:t>
      </w:r>
      <w:r w:rsidRPr="00C60AD1">
        <w:rPr>
          <w:b/>
          <w:i/>
          <w:u w:val="single"/>
          <w:vertAlign w:val="subscript"/>
        </w:rPr>
        <w:t>A</w:t>
      </w:r>
    </w:p>
    <w:p w:rsidR="00337C98" w:rsidRDefault="00337C98" w:rsidP="00337C98">
      <w:pPr>
        <w:pStyle w:val="ListParagraph"/>
        <w:ind w:left="1429"/>
        <w:rPr>
          <w:i/>
        </w:rPr>
      </w:pPr>
    </w:p>
    <w:p w:rsidR="00337C98" w:rsidRDefault="00C34658" w:rsidP="00337C98">
      <w:pPr>
        <w:ind w:left="709" w:firstLine="720"/>
        <w:rPr>
          <w:i/>
          <w:u w:val="single"/>
        </w:rPr>
      </w:pPr>
      <w:r w:rsidRPr="00C60AD1">
        <w:rPr>
          <w:i/>
          <w:u w:val="single"/>
        </w:rPr>
        <w:t>Where,</w:t>
      </w:r>
    </w:p>
    <w:p w:rsidR="00337C98" w:rsidRDefault="00C34658" w:rsidP="00337C98">
      <w:pPr>
        <w:ind w:left="1429"/>
        <w:rPr>
          <w:i/>
          <w:u w:val="single"/>
        </w:rPr>
      </w:pPr>
      <w:r w:rsidRPr="00C60AD1">
        <w:rPr>
          <w:b/>
          <w:i/>
          <w:u w:val="single"/>
        </w:rPr>
        <w:t>FPPCA</w:t>
      </w:r>
      <w:r w:rsidRPr="00C60AD1">
        <w:rPr>
          <w:b/>
          <w:i/>
          <w:u w:val="single"/>
          <w:vertAlign w:val="subscript"/>
        </w:rPr>
        <w:t xml:space="preserve">A is </w:t>
      </w:r>
      <w:r w:rsidRPr="00C60AD1">
        <w:rPr>
          <w:i/>
          <w:u w:val="single"/>
        </w:rPr>
        <w:t>Average Fuel and Power Purchase Cost Adjustment (in Rs. / kWh) = (P</w:t>
      </w:r>
      <w:r w:rsidRPr="00C60AD1">
        <w:rPr>
          <w:i/>
          <w:u w:val="single"/>
          <w:vertAlign w:val="subscript"/>
        </w:rPr>
        <w:t>D</w:t>
      </w:r>
      <w:r w:rsidRPr="00C60AD1">
        <w:rPr>
          <w:i/>
          <w:u w:val="single"/>
        </w:rPr>
        <w:t>/E)*10</w:t>
      </w:r>
    </w:p>
    <w:p w:rsidR="00337C98" w:rsidRDefault="00C34658" w:rsidP="00337C98">
      <w:pPr>
        <w:ind w:left="1429"/>
        <w:rPr>
          <w:i/>
          <w:u w:val="single"/>
        </w:rPr>
      </w:pPr>
      <w:r w:rsidRPr="00C60AD1">
        <w:rPr>
          <w:b/>
          <w:i/>
          <w:u w:val="single"/>
        </w:rPr>
        <w:t>ABR</w:t>
      </w:r>
      <w:r w:rsidRPr="00C60AD1">
        <w:rPr>
          <w:b/>
          <w:i/>
          <w:u w:val="single"/>
          <w:vertAlign w:val="subscript"/>
        </w:rPr>
        <w:t>C</w:t>
      </w:r>
      <w:r w:rsidRPr="00C60AD1">
        <w:rPr>
          <w:i/>
          <w:u w:val="single"/>
        </w:rPr>
        <w:t xml:space="preserve"> is Average Billing Rate or through rate of Consumer Category (in Rs. / kWh) as approved in Tariff Order for the year</w:t>
      </w:r>
    </w:p>
    <w:p w:rsidR="00337C98" w:rsidRDefault="00C34658" w:rsidP="00337C98">
      <w:pPr>
        <w:ind w:left="1418" w:firstLine="11"/>
        <w:rPr>
          <w:i/>
          <w:u w:val="single"/>
        </w:rPr>
      </w:pPr>
      <w:r w:rsidRPr="00C60AD1">
        <w:rPr>
          <w:b/>
          <w:i/>
          <w:u w:val="single"/>
        </w:rPr>
        <w:t>ABR</w:t>
      </w:r>
      <w:r w:rsidRPr="00C60AD1">
        <w:rPr>
          <w:b/>
          <w:i/>
          <w:u w:val="single"/>
          <w:vertAlign w:val="subscript"/>
        </w:rPr>
        <w:t>D</w:t>
      </w:r>
      <w:r w:rsidRPr="00C60AD1">
        <w:rPr>
          <w:i/>
          <w:u w:val="single"/>
        </w:rPr>
        <w:t xml:space="preserve"> is Average Billing Rate or through rate of Distribution Licensee (in Rs. / kWh) as approved in Tariff Order for the year</w:t>
      </w:r>
    </w:p>
    <w:p w:rsidR="00337C98" w:rsidRDefault="00337C98" w:rsidP="00337C98">
      <w:pPr>
        <w:ind w:left="709"/>
        <w:rPr>
          <w:i/>
        </w:rPr>
      </w:pPr>
    </w:p>
    <w:p w:rsidR="00337C98" w:rsidRDefault="00C34658" w:rsidP="00337C98">
      <w:pPr>
        <w:pStyle w:val="ListParagraph"/>
        <w:spacing w:after="200"/>
        <w:ind w:left="1418"/>
        <w:contextualSpacing/>
        <w:rPr>
          <w:i/>
          <w:strike/>
        </w:rPr>
      </w:pPr>
      <w:r w:rsidRPr="00C60AD1">
        <w:rPr>
          <w:i/>
        </w:rPr>
        <w:t>2. The variation in power purchase cost due to UI and other unapproved purchases from short term sources shall not be covered under FPPCA</w:t>
      </w:r>
      <w:r w:rsidRPr="00C60AD1">
        <w:rPr>
          <w:i/>
          <w:strike/>
        </w:rPr>
        <w:t>.</w:t>
      </w:r>
    </w:p>
    <w:p w:rsidR="00337C98" w:rsidRDefault="00337C98" w:rsidP="00337C98">
      <w:pPr>
        <w:pStyle w:val="ListParagraph"/>
        <w:ind w:left="1418"/>
        <w:rPr>
          <w:i/>
        </w:rPr>
      </w:pPr>
    </w:p>
    <w:p w:rsidR="00337C98" w:rsidRDefault="00C34658" w:rsidP="00337C98">
      <w:pPr>
        <w:pStyle w:val="ListParagraph"/>
        <w:spacing w:after="200"/>
        <w:ind w:left="1418"/>
        <w:contextualSpacing/>
        <w:rPr>
          <w:i/>
        </w:rPr>
      </w:pPr>
      <w:r w:rsidRPr="00C60AD1">
        <w:rPr>
          <w:i/>
        </w:rPr>
        <w:t xml:space="preserve">3. For the purpose of recovery of FPPCA, power purchase cost shall include all the bills received by the distribution licensee, from the suppliers of the power, during the previous FPPCA cycle irrespective of the period to which </w:t>
      </w:r>
      <w:r w:rsidRPr="00C60AD1">
        <w:rPr>
          <w:i/>
        </w:rPr>
        <w:lastRenderedPageBreak/>
        <w:t>they pertain. This shall include arrears and refunds, if any, not settled earlier.</w:t>
      </w:r>
    </w:p>
    <w:p w:rsidR="00337C98" w:rsidRDefault="00337C98" w:rsidP="00337C98">
      <w:pPr>
        <w:pStyle w:val="ListParagraph"/>
        <w:spacing w:after="200"/>
        <w:ind w:left="1418"/>
        <w:contextualSpacing/>
        <w:rPr>
          <w:i/>
        </w:rPr>
      </w:pPr>
    </w:p>
    <w:p w:rsidR="00337C98" w:rsidRDefault="00C34658" w:rsidP="00337C98">
      <w:pPr>
        <w:pStyle w:val="ListParagraph"/>
        <w:spacing w:after="200"/>
        <w:ind w:left="1418"/>
        <w:contextualSpacing/>
        <w:rPr>
          <w:i/>
        </w:rPr>
      </w:pPr>
      <w:r w:rsidRPr="00C60AD1">
        <w:rPr>
          <w:i/>
        </w:rPr>
        <w:t>4. The total FPPCA recoverable, as per the formula specified above, shall be recovered from the actual sales and in case of unmetered consumers, it shall be recoverable based on estimated sales to such consumers, calculated in accordance with such methodology / mechanism as may be stipulated by the Commission.</w:t>
      </w:r>
    </w:p>
    <w:p w:rsidR="00337C98" w:rsidRDefault="00337C98" w:rsidP="00337C98">
      <w:pPr>
        <w:pStyle w:val="ListParagraph"/>
        <w:spacing w:after="200"/>
        <w:ind w:left="1418"/>
        <w:contextualSpacing/>
        <w:rPr>
          <w:i/>
        </w:rPr>
      </w:pPr>
    </w:p>
    <w:p w:rsidR="00337C98" w:rsidRDefault="00C34658" w:rsidP="00337C98">
      <w:pPr>
        <w:pStyle w:val="ListParagraph"/>
        <w:spacing w:after="200"/>
        <w:ind w:left="1418"/>
        <w:contextualSpacing/>
        <w:rPr>
          <w:i/>
        </w:rPr>
      </w:pPr>
      <w:r w:rsidRPr="00C60AD1">
        <w:rPr>
          <w:i/>
        </w:rPr>
        <w:t>5. Per unit rate of FPPCA shall be worked out in paisa after rounding off to the unit place.</w:t>
      </w:r>
    </w:p>
    <w:p w:rsidR="00337C98" w:rsidRDefault="00337C98" w:rsidP="00337C98">
      <w:pPr>
        <w:pStyle w:val="ListParagraph"/>
        <w:ind w:left="1418"/>
        <w:rPr>
          <w:i/>
        </w:rPr>
      </w:pPr>
    </w:p>
    <w:p w:rsidR="00337C98" w:rsidRDefault="00C34658" w:rsidP="00337C98">
      <w:pPr>
        <w:pStyle w:val="ListParagraph"/>
        <w:spacing w:after="200"/>
        <w:ind w:left="1418"/>
        <w:contextualSpacing/>
        <w:rPr>
          <w:i/>
        </w:rPr>
      </w:pPr>
      <w:r w:rsidRPr="00C60AD1">
        <w:rPr>
          <w:i/>
        </w:rPr>
        <w:t>6. In case of negative FPPCA, the credit shall be given to the consumers under the FPPCA head, so that the base tariff determined by the Commission effectively remains the same.</w:t>
      </w:r>
    </w:p>
    <w:p w:rsidR="00337C98" w:rsidRDefault="00337C98" w:rsidP="00337C98">
      <w:pPr>
        <w:pStyle w:val="ListParagraph"/>
        <w:ind w:left="1429"/>
        <w:rPr>
          <w:i/>
        </w:rPr>
      </w:pPr>
    </w:p>
    <w:p w:rsidR="00337C98" w:rsidRDefault="00C34658" w:rsidP="00337C98">
      <w:pPr>
        <w:pStyle w:val="ListParagraph"/>
        <w:spacing w:after="200"/>
        <w:ind w:left="1418"/>
        <w:contextualSpacing/>
        <w:rPr>
          <w:i/>
        </w:rPr>
      </w:pPr>
      <w:r w:rsidRPr="00C60AD1">
        <w:rPr>
          <w:i/>
        </w:rPr>
        <w:t>7. The Distribution licensee shall submit details to the Commission on a quarterly basis towards the computation of the FPPCA, which shall include the source wise power purchase quantum, power purchase cost incurred and power purchase rate, details of the FPPCA incurred and the FPPCA chargeable from the consumers for each month in such quarter, along with the detailed computations and supporting documents as may be required for approval by the Commission.</w:t>
      </w:r>
    </w:p>
    <w:p w:rsidR="00337C98" w:rsidRDefault="00337C98" w:rsidP="00337C98">
      <w:pPr>
        <w:ind w:left="709"/>
        <w:rPr>
          <w:i/>
        </w:rPr>
      </w:pPr>
    </w:p>
    <w:p w:rsidR="00337C98" w:rsidRDefault="00C34658" w:rsidP="00337C98">
      <w:pPr>
        <w:pStyle w:val="ListParagraph"/>
        <w:ind w:left="1429"/>
        <w:rPr>
          <w:i/>
        </w:rPr>
      </w:pPr>
      <w:r w:rsidRPr="00C60AD1">
        <w:rPr>
          <w:i/>
        </w:rPr>
        <w:t>Provided that the above submission made to the Commission must be certified by a Chartered Accountant.</w:t>
      </w:r>
    </w:p>
    <w:p w:rsidR="00337C98" w:rsidRDefault="00337C98" w:rsidP="00337C98">
      <w:pPr>
        <w:pStyle w:val="ListParagraph"/>
        <w:ind w:left="1429"/>
        <w:rPr>
          <w:i/>
        </w:rPr>
      </w:pPr>
    </w:p>
    <w:p w:rsidR="00337C98" w:rsidRDefault="00C34658" w:rsidP="00337C98">
      <w:pPr>
        <w:pStyle w:val="ListParagraph"/>
        <w:ind w:left="1429"/>
        <w:rPr>
          <w:i/>
        </w:rPr>
      </w:pPr>
      <w:r w:rsidRPr="00C60AD1">
        <w:rPr>
          <w:i/>
        </w:rPr>
        <w:t>Provided further that the FPPCA applicable for each month shall be displayed prominently at the collection centres and the offices dealing with consumers and on the internet website of the Distribution Licensee.</w:t>
      </w:r>
    </w:p>
    <w:p w:rsidR="00337C98" w:rsidRDefault="00337C98" w:rsidP="00337C98">
      <w:pPr>
        <w:pStyle w:val="ListParagraph"/>
        <w:ind w:left="1429"/>
        <w:rPr>
          <w:i/>
        </w:rPr>
      </w:pPr>
    </w:p>
    <w:p w:rsidR="00337C98" w:rsidRDefault="00C34658" w:rsidP="00337C98">
      <w:pPr>
        <w:pStyle w:val="ListParagraph"/>
        <w:ind w:left="1429"/>
        <w:rPr>
          <w:i/>
        </w:rPr>
      </w:pPr>
      <w:r w:rsidRPr="00C60AD1">
        <w:rPr>
          <w:i/>
        </w:rPr>
        <w:t>Provided that the Distribution Licensee shall put up on his internet website such details of the FPPCA incurred and the FPPCA charged to all consumers for each month along with detailed computations.</w:t>
      </w:r>
    </w:p>
    <w:p w:rsidR="00337C98" w:rsidRDefault="00337C98" w:rsidP="00337C98">
      <w:pPr>
        <w:ind w:left="709"/>
        <w:rPr>
          <w:i/>
        </w:rPr>
      </w:pPr>
    </w:p>
    <w:p w:rsidR="00337C98" w:rsidRDefault="00C34658" w:rsidP="00337C98">
      <w:pPr>
        <w:pStyle w:val="ListParagraph"/>
        <w:spacing w:after="200"/>
        <w:ind w:left="1418"/>
        <w:contextualSpacing/>
        <w:rPr>
          <w:i/>
        </w:rPr>
      </w:pPr>
      <w:r w:rsidRPr="00C60AD1">
        <w:rPr>
          <w:i/>
        </w:rPr>
        <w:lastRenderedPageBreak/>
        <w:t>8. In case of Minimum Charges, FPPCA shall be charged only on actual units consumed by the consumer during the relevant month in addition to the Minimum Charges amount.</w:t>
      </w:r>
    </w:p>
    <w:p w:rsidR="00337C98" w:rsidRDefault="00337C98" w:rsidP="00337C98">
      <w:pPr>
        <w:pStyle w:val="ListParagraph"/>
        <w:ind w:left="1418"/>
        <w:rPr>
          <w:i/>
        </w:rPr>
      </w:pPr>
    </w:p>
    <w:p w:rsidR="00337C98" w:rsidRDefault="00C34658" w:rsidP="00337C98">
      <w:pPr>
        <w:pStyle w:val="ListParagraph"/>
        <w:spacing w:after="200"/>
        <w:ind w:left="1418"/>
        <w:contextualSpacing/>
        <w:rPr>
          <w:i/>
        </w:rPr>
      </w:pPr>
      <w:r w:rsidRPr="00C60AD1">
        <w:rPr>
          <w:i/>
        </w:rPr>
        <w:t>9. In case Government of Uttar Pradesh decided to provide subsidy on FPPCA to a particular consumer category then, it should do the same as per the provisions of Section 65 of Electricity Act 2003. It shall be the responsibility of the licensee to seek prior approval of the State Government in this regard and maintain appropriate record of the same.</w:t>
      </w:r>
    </w:p>
    <w:p w:rsidR="00337C98" w:rsidRDefault="00337C98" w:rsidP="00337C98">
      <w:pPr>
        <w:pStyle w:val="ListParagraph"/>
        <w:ind w:left="1429"/>
        <w:rPr>
          <w:i/>
        </w:rPr>
      </w:pPr>
    </w:p>
    <w:p w:rsidR="00337C98" w:rsidRDefault="00C34658" w:rsidP="00337C98">
      <w:pPr>
        <w:pStyle w:val="ListParagraph"/>
        <w:spacing w:after="200"/>
        <w:ind w:left="1418"/>
        <w:contextualSpacing/>
        <w:rPr>
          <w:rFonts w:cs="Arial"/>
        </w:rPr>
      </w:pPr>
      <w:r w:rsidRPr="00C60AD1">
        <w:rPr>
          <w:i/>
        </w:rPr>
        <w:t>10. The Commission may however suitably modify / change the proposed formula / procedure or adopt a different formula / procedure for the assessment of fuel surcharge if it considers it to be more appropriate.</w:t>
      </w:r>
    </w:p>
    <w:p w:rsidR="00D5771F" w:rsidRDefault="00C34658">
      <w:pPr>
        <w:pStyle w:val="Heading3"/>
        <w:tabs>
          <w:tab w:val="clear" w:pos="720"/>
        </w:tabs>
        <w:spacing w:after="240"/>
        <w:ind w:left="993" w:hanging="993"/>
      </w:pPr>
      <w:r w:rsidRPr="00C60AD1">
        <w:t xml:space="preserve">For the purpose of Fuel &amp; Power Purchase Cost Adjustment (FPPCA) as per above mentioned formula, the projected monthly power purchase requirement is </w:t>
      </w:r>
      <w:r w:rsidR="00F35D73">
        <w:t>annexed to</w:t>
      </w:r>
      <w:r w:rsidRPr="00C60AD1">
        <w:t xml:space="preserve"> this Order, which is derived from the monthly power purchase submitted by the Licensees. </w:t>
      </w:r>
    </w:p>
    <w:p w:rsidR="00D5771F" w:rsidRDefault="00C34658">
      <w:pPr>
        <w:pStyle w:val="Heading3"/>
        <w:tabs>
          <w:tab w:val="clear" w:pos="720"/>
        </w:tabs>
        <w:spacing w:after="240"/>
        <w:ind w:left="993" w:hanging="993"/>
      </w:pPr>
      <w:r w:rsidRPr="00C60AD1">
        <w:t xml:space="preserve">Further, the Commission in its previous Orders has time and again directed the Licensees to file submissions in respect of FPPCA in a timely and regular manner as specified under the Regulations. However, the Licensees have not complied with the directions of the Commission in this regard. </w:t>
      </w:r>
    </w:p>
    <w:p w:rsidR="00D5771F" w:rsidRDefault="00C34658">
      <w:pPr>
        <w:pStyle w:val="Heading3"/>
        <w:tabs>
          <w:tab w:val="clear" w:pos="720"/>
        </w:tabs>
        <w:spacing w:after="240"/>
        <w:ind w:left="993" w:hanging="993"/>
      </w:pPr>
      <w:r w:rsidRPr="00C60AD1">
        <w:t>It is to be noted that the power purchase expenses being an uncontrollable expense, is pass-through to the consumers, however, the difference between the actual cost of power procurement and the approved power purchase expenses, is being recovered by the Distribution Licensee at the time of truing up. The time lag in recovery of the variation in power purchase expenses adversely affects the financial position of the Distribution Licensee and also puts additional burden on consumers on account of Carrying Cost.</w:t>
      </w:r>
    </w:p>
    <w:p w:rsidR="00D5771F" w:rsidRDefault="00C34658">
      <w:pPr>
        <w:pStyle w:val="Heading3"/>
        <w:tabs>
          <w:tab w:val="clear" w:pos="720"/>
        </w:tabs>
        <w:spacing w:after="240"/>
        <w:ind w:left="993" w:hanging="993"/>
      </w:pPr>
      <w:r w:rsidRPr="00C60AD1">
        <w:t xml:space="preserve">Failure to file FPPCA in a timely manner has many repercussions such as higher accumulated Aggregate Revenue Requirement (ARR) on account of variation in Power Purchase Expenses and the carrying cost, higher increase in Tariff or allowance in the form of Regulatory Surcharge, leading to Tariff shock. Further, the delayed filing of the FPPCA and claiming of the additional power purchase expenses during the Truing-up process also put the burden of </w:t>
      </w:r>
      <w:r w:rsidRPr="00C60AD1">
        <w:lastRenderedPageBreak/>
        <w:t>such additional power purchase expenses on the new consumers, who may not have been consumers during the respective year.</w:t>
      </w:r>
    </w:p>
    <w:p w:rsidR="00D5771F" w:rsidRDefault="00C34658">
      <w:pPr>
        <w:pStyle w:val="Heading3"/>
        <w:tabs>
          <w:tab w:val="clear" w:pos="720"/>
        </w:tabs>
        <w:spacing w:after="240"/>
        <w:ind w:left="993" w:hanging="993"/>
      </w:pPr>
      <w:r w:rsidRPr="00C60AD1">
        <w:rPr>
          <w:b/>
        </w:rPr>
        <w:t>The Commission once again directs the licensees that they should file FPPCA in a timely and regular manner failing which the Commission may have to resort to take strict action against the Licensees like disallowance of additional power purchase expenses and the associated carrying cost on account of additional Power Purchase expenses or any other action that the Commission may deem fit while doing the Truing up</w:t>
      </w:r>
      <w:r w:rsidRPr="00C60AD1">
        <w:t>.</w:t>
      </w:r>
    </w:p>
    <w:p w:rsidR="00C34658" w:rsidRPr="00C60AD1" w:rsidRDefault="00C34658" w:rsidP="00C34658">
      <w:pPr>
        <w:pStyle w:val="Heading2"/>
        <w:numPr>
          <w:ilvl w:val="1"/>
          <w:numId w:val="16"/>
        </w:numPr>
      </w:pPr>
      <w:bookmarkStart w:id="720" w:name="_Toc420193398"/>
      <w:bookmarkStart w:id="721" w:name="_Toc420193537"/>
      <w:bookmarkStart w:id="722" w:name="_Toc420196279"/>
      <w:bookmarkStart w:id="723" w:name="_Toc420197533"/>
      <w:bookmarkStart w:id="724" w:name="_Toc325475523"/>
      <w:bookmarkStart w:id="725" w:name="_Toc356322593"/>
      <w:bookmarkStart w:id="726" w:name="_Toc357720874"/>
      <w:bookmarkStart w:id="727" w:name="_Toc396573833"/>
      <w:bookmarkStart w:id="728" w:name="_Toc399623731"/>
      <w:bookmarkStart w:id="729" w:name="_Toc453367610"/>
      <w:bookmarkStart w:id="730" w:name="_Toc457603947"/>
      <w:bookmarkEnd w:id="720"/>
      <w:bookmarkEnd w:id="721"/>
      <w:bookmarkEnd w:id="722"/>
      <w:bookmarkEnd w:id="723"/>
      <w:r w:rsidRPr="00C60AD1">
        <w:t>SUMMARY OF POWER PURCHASE</w:t>
      </w:r>
      <w:bookmarkEnd w:id="724"/>
      <w:bookmarkEnd w:id="725"/>
      <w:bookmarkEnd w:id="726"/>
      <w:bookmarkEnd w:id="727"/>
      <w:bookmarkEnd w:id="728"/>
      <w:bookmarkEnd w:id="729"/>
      <w:bookmarkEnd w:id="730"/>
    </w:p>
    <w:p w:rsidR="00D5771F" w:rsidRDefault="00C34658">
      <w:pPr>
        <w:pStyle w:val="Heading3"/>
        <w:tabs>
          <w:tab w:val="clear" w:pos="720"/>
        </w:tabs>
        <w:spacing w:after="240"/>
        <w:ind w:left="993" w:hanging="993"/>
      </w:pPr>
      <w:bookmarkStart w:id="731" w:name="_Toc357349069"/>
      <w:bookmarkStart w:id="732" w:name="_Toc357356122"/>
      <w:r w:rsidRPr="00C60AD1">
        <w:t xml:space="preserve">The total power purchase quantum available from State owned generating stations, central generating stations and other sources along with the quantum and cost as submitted by Licensees and approved by Commission for FY </w:t>
      </w:r>
      <w:r>
        <w:t>2016-17</w:t>
      </w:r>
      <w:r w:rsidRPr="00C60AD1">
        <w:t xml:space="preserve"> is presented in the Tables below</w:t>
      </w:r>
      <w:bookmarkStart w:id="733" w:name="_Ref322641287"/>
      <w:bookmarkStart w:id="734" w:name="_Toc325475683"/>
      <w:bookmarkStart w:id="735" w:name="_Toc338310698"/>
      <w:bookmarkStart w:id="736" w:name="_Toc338419528"/>
      <w:bookmarkEnd w:id="731"/>
      <w:r w:rsidRPr="00C60AD1">
        <w:t>:</w:t>
      </w:r>
      <w:bookmarkEnd w:id="732"/>
    </w:p>
    <w:p w:rsidR="006C63AF" w:rsidRDefault="006C63AF" w:rsidP="006C63AF">
      <w:pPr>
        <w:pStyle w:val="Heading3"/>
        <w:numPr>
          <w:ilvl w:val="0"/>
          <w:numId w:val="0"/>
        </w:numPr>
        <w:tabs>
          <w:tab w:val="clear" w:pos="720"/>
        </w:tabs>
        <w:spacing w:before="0"/>
      </w:pPr>
    </w:p>
    <w:p w:rsidR="00C34658" w:rsidRPr="00C60AD1" w:rsidRDefault="00C34658" w:rsidP="00C34658">
      <w:pPr>
        <w:spacing w:before="0"/>
        <w:jc w:val="center"/>
        <w:rPr>
          <w:rFonts w:cs="Calibri"/>
          <w:b/>
          <w:sz w:val="22"/>
          <w:szCs w:val="22"/>
          <w:lang w:val="en-US"/>
        </w:rPr>
      </w:pPr>
      <w:bookmarkStart w:id="737" w:name="_Toc357721121"/>
      <w:bookmarkStart w:id="738" w:name="_Toc395657962"/>
      <w:bookmarkStart w:id="739" w:name="_Toc396574013"/>
      <w:bookmarkStart w:id="740" w:name="_Toc399624114"/>
      <w:bookmarkStart w:id="741" w:name="_Toc453367691"/>
      <w:bookmarkStart w:id="742" w:name="_Toc457604062"/>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46</w:t>
      </w:r>
      <w:r w:rsidR="009741CA" w:rsidRPr="00C60AD1">
        <w:rPr>
          <w:rFonts w:cs="Calibri"/>
          <w:b/>
          <w:sz w:val="22"/>
          <w:szCs w:val="22"/>
          <w:lang w:val="en-US"/>
        </w:rPr>
        <w:fldChar w:fldCharType="end"/>
      </w:r>
      <w:r w:rsidRPr="00C60AD1">
        <w:rPr>
          <w:rFonts w:cs="Calibri"/>
          <w:b/>
          <w:sz w:val="22"/>
          <w:szCs w:val="22"/>
          <w:lang w:val="en-US"/>
        </w:rPr>
        <w:t xml:space="preserve">: </w:t>
      </w:r>
      <w:bookmarkEnd w:id="733"/>
      <w:r w:rsidRPr="00C60AD1">
        <w:rPr>
          <w:rFonts w:cs="Calibri"/>
          <w:b/>
          <w:sz w:val="22"/>
          <w:szCs w:val="22"/>
          <w:lang w:val="en-US"/>
        </w:rPr>
        <w:t xml:space="preserve">SUMMARY OF POWER PURCHASE COST </w:t>
      </w:r>
      <w:r>
        <w:rPr>
          <w:rFonts w:cs="Calibri"/>
          <w:b/>
          <w:sz w:val="22"/>
          <w:szCs w:val="22"/>
          <w:lang w:val="en-US"/>
        </w:rPr>
        <w:t xml:space="preserve">FOR FY 2016-17 </w:t>
      </w:r>
      <w:r w:rsidRPr="00C60AD1">
        <w:rPr>
          <w:rFonts w:cs="Calibri"/>
          <w:b/>
          <w:sz w:val="22"/>
          <w:szCs w:val="22"/>
          <w:lang w:val="en-US"/>
        </w:rPr>
        <w:t xml:space="preserve">AS SUBMITTED BY THE DISTRIBUTION </w:t>
      </w:r>
      <w:bookmarkEnd w:id="734"/>
      <w:bookmarkEnd w:id="735"/>
      <w:bookmarkEnd w:id="736"/>
      <w:bookmarkEnd w:id="737"/>
      <w:r w:rsidRPr="00C60AD1">
        <w:rPr>
          <w:rFonts w:cs="Calibri"/>
          <w:b/>
          <w:sz w:val="22"/>
          <w:szCs w:val="22"/>
          <w:lang w:val="en-US"/>
        </w:rPr>
        <w:t>LICENSEES</w:t>
      </w:r>
      <w:bookmarkEnd w:id="738"/>
      <w:bookmarkEnd w:id="739"/>
      <w:bookmarkEnd w:id="740"/>
      <w:r>
        <w:rPr>
          <w:rFonts w:cs="Calibri"/>
          <w:b/>
          <w:sz w:val="22"/>
          <w:szCs w:val="22"/>
          <w:lang w:val="en-US"/>
        </w:rPr>
        <w:t xml:space="preserve"> FOR FY 2016-17</w:t>
      </w:r>
      <w:bookmarkEnd w:id="741"/>
      <w:bookmarkEnd w:id="742"/>
    </w:p>
    <w:p w:rsidR="00C34658" w:rsidRPr="00C60AD1" w:rsidRDefault="00C34658" w:rsidP="00C34658">
      <w:pPr>
        <w:spacing w:before="0" w:line="240" w:lineRule="auto"/>
        <w:jc w:val="left"/>
        <w:rPr>
          <w:rFonts w:cs="Calibri"/>
          <w:b/>
          <w:sz w:val="22"/>
          <w:szCs w:val="22"/>
          <w:lang w:val="en-US"/>
        </w:rPr>
      </w:pPr>
      <w:bookmarkStart w:id="743" w:name="_Ref395737670"/>
      <w:bookmarkStart w:id="744" w:name="_Ref325471137"/>
      <w:bookmarkStart w:id="745" w:name="_Toc325475684"/>
      <w:bookmarkStart w:id="746" w:name="_Toc338310699"/>
      <w:bookmarkStart w:id="747" w:name="_Toc338419529"/>
      <w:bookmarkStart w:id="748" w:name="_Toc357721122"/>
      <w:bookmarkStart w:id="749" w:name="_Toc395657963"/>
      <w:bookmarkStart w:id="750" w:name="_Toc396574014"/>
      <w:bookmarkStart w:id="751" w:name="_Toc399624115"/>
    </w:p>
    <w:tbl>
      <w:tblPr>
        <w:tblW w:w="104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830"/>
        <w:gridCol w:w="1062"/>
        <w:gridCol w:w="886"/>
        <w:gridCol w:w="839"/>
        <w:gridCol w:w="1120"/>
        <w:gridCol w:w="827"/>
        <w:gridCol w:w="1001"/>
        <w:gridCol w:w="804"/>
        <w:gridCol w:w="1113"/>
        <w:gridCol w:w="967"/>
      </w:tblGrid>
      <w:tr w:rsidR="00C34658" w:rsidRPr="007E60B6" w:rsidTr="00D55642">
        <w:trPr>
          <w:trHeight w:val="600"/>
          <w:tblHeader/>
          <w:jc w:val="center"/>
        </w:trPr>
        <w:tc>
          <w:tcPr>
            <w:tcW w:w="1652" w:type="dxa"/>
            <w:vMerge w:val="restart"/>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Source of Power</w:t>
            </w:r>
          </w:p>
        </w:tc>
        <w:tc>
          <w:tcPr>
            <w:tcW w:w="1062" w:type="dxa"/>
            <w:vMerge w:val="restart"/>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MW Available</w:t>
            </w:r>
          </w:p>
        </w:tc>
        <w:tc>
          <w:tcPr>
            <w:tcW w:w="886" w:type="dxa"/>
            <w:vMerge w:val="restart"/>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MU</w:t>
            </w:r>
          </w:p>
        </w:tc>
        <w:tc>
          <w:tcPr>
            <w:tcW w:w="1960" w:type="dxa"/>
            <w:gridSpan w:val="2"/>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Fixed Cost</w:t>
            </w:r>
          </w:p>
        </w:tc>
        <w:tc>
          <w:tcPr>
            <w:tcW w:w="1709" w:type="dxa"/>
            <w:gridSpan w:val="2"/>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Variable Cost</w:t>
            </w:r>
          </w:p>
        </w:tc>
        <w:tc>
          <w:tcPr>
            <w:tcW w:w="2212" w:type="dxa"/>
            <w:gridSpan w:val="2"/>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Total Cost</w:t>
            </w:r>
          </w:p>
        </w:tc>
        <w:tc>
          <w:tcPr>
            <w:tcW w:w="967" w:type="dxa"/>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Average Cost</w:t>
            </w:r>
          </w:p>
        </w:tc>
      </w:tr>
      <w:tr w:rsidR="00C34658" w:rsidRPr="007E60B6" w:rsidTr="00D55642">
        <w:trPr>
          <w:trHeight w:val="600"/>
          <w:tblHeader/>
          <w:jc w:val="center"/>
        </w:trPr>
        <w:tc>
          <w:tcPr>
            <w:tcW w:w="1652" w:type="dxa"/>
            <w:vMerge/>
            <w:hideMark/>
          </w:tcPr>
          <w:p w:rsidR="00C34658" w:rsidRPr="008B0C65" w:rsidRDefault="00C34658" w:rsidP="00D55642">
            <w:pPr>
              <w:spacing w:before="0" w:line="240" w:lineRule="auto"/>
              <w:jc w:val="center"/>
              <w:rPr>
                <w:rFonts w:asciiTheme="minorHAnsi" w:hAnsiTheme="minorHAnsi"/>
                <w:b/>
                <w:bCs/>
                <w:sz w:val="22"/>
                <w:szCs w:val="22"/>
              </w:rPr>
            </w:pPr>
          </w:p>
        </w:tc>
        <w:tc>
          <w:tcPr>
            <w:tcW w:w="1062" w:type="dxa"/>
            <w:vMerge/>
            <w:hideMark/>
          </w:tcPr>
          <w:p w:rsidR="00C34658" w:rsidRPr="008B0C65" w:rsidRDefault="00C34658" w:rsidP="00D55642">
            <w:pPr>
              <w:spacing w:before="0" w:line="240" w:lineRule="auto"/>
              <w:jc w:val="center"/>
              <w:rPr>
                <w:rFonts w:asciiTheme="minorHAnsi" w:hAnsiTheme="minorHAnsi"/>
                <w:b/>
                <w:bCs/>
                <w:sz w:val="22"/>
                <w:szCs w:val="22"/>
              </w:rPr>
            </w:pPr>
          </w:p>
        </w:tc>
        <w:tc>
          <w:tcPr>
            <w:tcW w:w="886" w:type="dxa"/>
            <w:vMerge/>
            <w:hideMark/>
          </w:tcPr>
          <w:p w:rsidR="00C34658" w:rsidRPr="008B0C65" w:rsidRDefault="00C34658" w:rsidP="00D55642">
            <w:pPr>
              <w:spacing w:before="0" w:line="240" w:lineRule="auto"/>
              <w:jc w:val="center"/>
              <w:rPr>
                <w:rFonts w:asciiTheme="minorHAnsi" w:hAnsiTheme="minorHAnsi"/>
                <w:b/>
                <w:bCs/>
                <w:sz w:val="22"/>
                <w:szCs w:val="22"/>
              </w:rPr>
            </w:pPr>
          </w:p>
        </w:tc>
        <w:tc>
          <w:tcPr>
            <w:tcW w:w="840" w:type="dxa"/>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(Rs. / kWh)</w:t>
            </w:r>
          </w:p>
        </w:tc>
        <w:tc>
          <w:tcPr>
            <w:tcW w:w="1120" w:type="dxa"/>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Pr>
                <w:rFonts w:asciiTheme="minorHAnsi" w:hAnsiTheme="minorHAnsi"/>
                <w:b/>
                <w:bCs/>
                <w:sz w:val="22"/>
                <w:szCs w:val="22"/>
              </w:rPr>
              <w:t>(Rs. Cr.</w:t>
            </w:r>
            <w:r w:rsidRPr="008B0C65">
              <w:rPr>
                <w:rFonts w:asciiTheme="minorHAnsi" w:hAnsiTheme="minorHAnsi"/>
                <w:b/>
                <w:bCs/>
                <w:sz w:val="22"/>
                <w:szCs w:val="22"/>
              </w:rPr>
              <w:t>)</w:t>
            </w:r>
          </w:p>
        </w:tc>
        <w:tc>
          <w:tcPr>
            <w:tcW w:w="1020" w:type="dxa"/>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(Rs. / kWh)</w:t>
            </w:r>
          </w:p>
        </w:tc>
        <w:tc>
          <w:tcPr>
            <w:tcW w:w="689" w:type="dxa"/>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(Rs. Cr.)</w:t>
            </w:r>
          </w:p>
        </w:tc>
        <w:tc>
          <w:tcPr>
            <w:tcW w:w="1099" w:type="dxa"/>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(Rs. / kWh)</w:t>
            </w:r>
          </w:p>
        </w:tc>
        <w:tc>
          <w:tcPr>
            <w:tcW w:w="1113" w:type="dxa"/>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(Rs. Cr.)</w:t>
            </w:r>
          </w:p>
        </w:tc>
        <w:tc>
          <w:tcPr>
            <w:tcW w:w="967" w:type="dxa"/>
            <w:shd w:val="clear" w:color="000000" w:fill="DBE5F1"/>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(Rs. / kWh)</w:t>
            </w:r>
          </w:p>
        </w:tc>
      </w:tr>
      <w:tr w:rsidR="00C34658" w:rsidRPr="007E60B6" w:rsidTr="00D55642">
        <w:trPr>
          <w:trHeight w:val="300"/>
          <w:jc w:val="center"/>
        </w:trPr>
        <w:tc>
          <w:tcPr>
            <w:tcW w:w="10448" w:type="dxa"/>
            <w:gridSpan w:val="10"/>
            <w:shd w:val="clear" w:color="auto" w:fill="auto"/>
            <w:noWrap/>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Procurement of power from State Sector Generating Stations</w:t>
            </w:r>
          </w:p>
        </w:tc>
      </w:tr>
      <w:tr w:rsidR="00C34658" w:rsidRPr="007E60B6" w:rsidTr="00D55642">
        <w:trPr>
          <w:trHeight w:val="300"/>
          <w:jc w:val="center"/>
        </w:trPr>
        <w:tc>
          <w:tcPr>
            <w:tcW w:w="10448" w:type="dxa"/>
            <w:gridSpan w:val="10"/>
            <w:shd w:val="clear" w:color="auto" w:fill="auto"/>
            <w:noWrap/>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Thermal Stations</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Anpara 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630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3,852</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0.75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289</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2.12</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816</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1,104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2.87</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Anpara B</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1,000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7,194</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1.11</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801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1.95</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1,404</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3.07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2,206</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3.07</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Harduagunj</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165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300</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1.58</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47</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3.66</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110</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5.23</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157</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5.23</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Obra 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288</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533</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67</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2.55</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136</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3.81</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203</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3.81</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Obra B</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1,000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3,955</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0.71</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2.40</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951</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3.11</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1,232</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3.11</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Panki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646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1.46</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94</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4.54</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293</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6.00</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387</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6.00</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Parichha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425</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1.06</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45</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4.39</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187</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5.45</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232</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5.45</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ParichhaExtn.</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420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2,252</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1.44</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325</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3.60</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810</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5.04</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1,135</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5.04</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ParichhaExtn. Stage 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500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3,388</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1.84</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625</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3.59</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1,216</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5.43</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1,841</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5.43</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Harduaganj Ext.</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500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3,388</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2.01</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681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2.83</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959</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4.84</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1,640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4.84</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Anpara D</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1,000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6,192</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1.66</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1,027</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1.77</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1,094</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3.43</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2,121</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3.43</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 xml:space="preserve">Sub total </w:t>
            </w:r>
            <w:r w:rsidR="008334E8">
              <w:rPr>
                <w:rFonts w:asciiTheme="minorHAnsi" w:hAnsiTheme="minorHAnsi"/>
                <w:b/>
                <w:bCs/>
                <w:sz w:val="22"/>
                <w:szCs w:val="22"/>
              </w:rPr>
              <w:t>–</w:t>
            </w:r>
            <w:r w:rsidRPr="008B0C65">
              <w:rPr>
                <w:rFonts w:asciiTheme="minorHAnsi" w:hAnsiTheme="minorHAnsi"/>
                <w:b/>
                <w:bCs/>
                <w:sz w:val="22"/>
                <w:szCs w:val="22"/>
              </w:rPr>
              <w:t xml:space="preserve"> Thermal</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5933</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32126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4283</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7976</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12259</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3.82</w:t>
            </w:r>
          </w:p>
        </w:tc>
      </w:tr>
      <w:tr w:rsidR="00C34658" w:rsidRPr="007E60B6" w:rsidTr="00D55642">
        <w:trPr>
          <w:trHeight w:val="300"/>
          <w:jc w:val="center"/>
        </w:trPr>
        <w:tc>
          <w:tcPr>
            <w:tcW w:w="8368" w:type="dxa"/>
            <w:gridSpan w:val="8"/>
            <w:shd w:val="clear" w:color="auto" w:fill="auto"/>
            <w:noWrap/>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lastRenderedPageBreak/>
              <w:t>Per unit Avg Rate of Thermal Generation</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3.82</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r>
      <w:tr w:rsidR="00C34658" w:rsidRPr="007E60B6" w:rsidTr="00D55642">
        <w:trPr>
          <w:trHeight w:val="300"/>
          <w:jc w:val="center"/>
        </w:trPr>
        <w:tc>
          <w:tcPr>
            <w:tcW w:w="10448" w:type="dxa"/>
            <w:gridSpan w:val="10"/>
            <w:shd w:val="clear" w:color="000000" w:fill="D8D8D8"/>
            <w:noWrap/>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Hydro Stations</w:t>
            </w:r>
          </w:p>
        </w:tc>
      </w:tr>
      <w:tr w:rsidR="00C34658" w:rsidRPr="007E60B6" w:rsidTr="00D55642">
        <w:trPr>
          <w:trHeight w:val="300"/>
          <w:jc w:val="center"/>
        </w:trPr>
        <w:tc>
          <w:tcPr>
            <w:tcW w:w="1652" w:type="dxa"/>
            <w:shd w:val="clear" w:color="auto" w:fill="auto"/>
            <w:noWrap/>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Khara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58</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151</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0.78</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0.78</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0.78</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Matatila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53</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0.70</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0.70</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0.70</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Obra (Hydel)</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99</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260</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0.68</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0.68</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0.68</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Rihand</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670</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0.59</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40</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0.59</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0.59</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UGC Power Stations</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2.30</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2.30</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2.30</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Belka&amp;Babail</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2.43</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2.43</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2.43</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Sheetla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2.95</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2.95</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Sub total - Hydro</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455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1195</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88.00</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0.00</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88.00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0.74</w:t>
            </w:r>
          </w:p>
        </w:tc>
      </w:tr>
      <w:tr w:rsidR="00C34658" w:rsidRPr="007E60B6" w:rsidTr="00D55642">
        <w:trPr>
          <w:trHeight w:val="300"/>
          <w:jc w:val="center"/>
        </w:trPr>
        <w:tc>
          <w:tcPr>
            <w:tcW w:w="8368" w:type="dxa"/>
            <w:gridSpan w:val="8"/>
            <w:shd w:val="clear" w:color="auto" w:fill="auto"/>
            <w:noWrap/>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Purchase Per unit Avg Rate from hydro generating stations</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0.74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Sub-Total Own generation</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6388</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33321</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4,370.72</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7,975.92</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12,346.64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3.71</w:t>
            </w:r>
          </w:p>
        </w:tc>
      </w:tr>
      <w:tr w:rsidR="00C34658" w:rsidRPr="007E60B6" w:rsidTr="00D55642">
        <w:trPr>
          <w:trHeight w:val="300"/>
          <w:jc w:val="center"/>
        </w:trPr>
        <w:tc>
          <w:tcPr>
            <w:tcW w:w="10448" w:type="dxa"/>
            <w:gridSpan w:val="10"/>
            <w:shd w:val="clear" w:color="000000" w:fill="D8D8D8"/>
            <w:noWrap/>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Procurement of power from Central Sector Generating Stations</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Anta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119</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626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0.73</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46</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4.62</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289</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5.36</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335</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5.36</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Auriya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243</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1,279</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0.55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5.03</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643</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5.58</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714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5.58</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Dadri Thermal</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84</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613</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0.86</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52</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4.13</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253</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4.98</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305</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4.98</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Dadri Gas</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271</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1,427</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0.57</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4.56</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651</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5.13</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732</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5.13</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Dadri Extension</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148</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1,055</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1.61</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170</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3.68</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388</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5.29</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559</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5.29</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Rihand-I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372</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2,697</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0.81</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220</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2.08</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560</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2.89</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780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2.89</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Rihand-II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346</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2,791</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0.95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264</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1.95</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543</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2.89</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807</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2.89</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Singrauli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846</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6,687</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0.54</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1.33</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891</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1,252</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1.87</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Tanda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440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3,255</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343</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3.69</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1,201</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4.74</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1,544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4.74</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Unchahar-I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257</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2,009</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0.86</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174</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2.93</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589</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3.80</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763</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3.80</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Unchahar-II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152</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1,166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0.89</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104</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2.90</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338</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3.80</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443</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3.80</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Unchahar-III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74</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577</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1.37</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79</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2.43</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140</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3.80</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219</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3.80</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Farakka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33</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202</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0.85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2.86</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58</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3.71</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75</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3.71</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Kahalgaon St. 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77</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552</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0.96</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53</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2.61</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144</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3.57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197</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3.57</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KahalgaonSt.IIPh.I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251</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1,807</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1.22</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2.35</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424</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3.57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645</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3.57</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Koldam (Hydro)</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361</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1.56</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56</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2.41</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87</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3.97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143</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3.97</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Rihand-III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1,980</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1.32</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261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1.57</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311</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2.89</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572</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2.89</w:t>
            </w:r>
          </w:p>
        </w:tc>
      </w:tr>
      <w:tr w:rsidR="00C34658" w:rsidRPr="007E60B6" w:rsidTr="00D55642">
        <w:trPr>
          <w:trHeight w:val="300"/>
          <w:jc w:val="center"/>
        </w:trPr>
        <w:tc>
          <w:tcPr>
            <w:tcW w:w="1652" w:type="dxa"/>
            <w:shd w:val="clear" w:color="000000" w:fill="D8D8D8"/>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Sub-Total NTPC</w:t>
            </w:r>
          </w:p>
        </w:tc>
        <w:tc>
          <w:tcPr>
            <w:tcW w:w="1062"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4184</w:t>
            </w:r>
          </w:p>
        </w:tc>
        <w:tc>
          <w:tcPr>
            <w:tcW w:w="886"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29083</w:t>
            </w:r>
          </w:p>
        </w:tc>
        <w:tc>
          <w:tcPr>
            <w:tcW w:w="84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2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2573</w:t>
            </w:r>
          </w:p>
        </w:tc>
        <w:tc>
          <w:tcPr>
            <w:tcW w:w="102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689"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7510</w:t>
            </w:r>
          </w:p>
        </w:tc>
        <w:tc>
          <w:tcPr>
            <w:tcW w:w="1099"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13"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10084</w:t>
            </w:r>
          </w:p>
        </w:tc>
        <w:tc>
          <w:tcPr>
            <w:tcW w:w="967"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3.47</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Chamera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109</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336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0.60</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0.85</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1.46</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49</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1.46</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Chamera-II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86</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392</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1.34</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52</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1.04</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41</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93</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2.37</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lastRenderedPageBreak/>
              <w:t>Chamera-III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62</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282</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1.81</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1.86</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53</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103</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3.67</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Dhauliganga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281</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1.10</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1.27</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67</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2.37</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Salal I&amp;II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48</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252</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0.60</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0.38</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0.98</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0.98</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Tanakpur</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103</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1.70</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1.22</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2.92</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2.92</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Uri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96</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497</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52</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0.89</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44</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1.94</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96</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1.94</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Dulhasti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111</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516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2.82</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145</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2.30</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118</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5.12</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264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5.12</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Sewa-II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1.89</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26</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1.81</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3.70</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3.70</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Uri-II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111</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4.98</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55</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0.45</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5.43</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5.43</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Parbati ST-III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104</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383</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1.41</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3.74</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143</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5.15</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197</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5.15</w:t>
            </w:r>
          </w:p>
        </w:tc>
      </w:tr>
      <w:tr w:rsidR="00C34658" w:rsidRPr="007E60B6" w:rsidTr="00D55642">
        <w:trPr>
          <w:trHeight w:val="300"/>
          <w:jc w:val="center"/>
        </w:trPr>
        <w:tc>
          <w:tcPr>
            <w:tcW w:w="1652" w:type="dxa"/>
            <w:shd w:val="clear" w:color="000000" w:fill="D8D8D8"/>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Sub-Total NHPC</w:t>
            </w:r>
          </w:p>
        </w:tc>
        <w:tc>
          <w:tcPr>
            <w:tcW w:w="1062"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773</w:t>
            </w:r>
          </w:p>
        </w:tc>
        <w:tc>
          <w:tcPr>
            <w:tcW w:w="886"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3287</w:t>
            </w:r>
          </w:p>
        </w:tc>
        <w:tc>
          <w:tcPr>
            <w:tcW w:w="84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2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519.58</w:t>
            </w:r>
          </w:p>
        </w:tc>
        <w:tc>
          <w:tcPr>
            <w:tcW w:w="102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689"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514.80</w:t>
            </w:r>
          </w:p>
        </w:tc>
        <w:tc>
          <w:tcPr>
            <w:tcW w:w="1099"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13"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1,034.38</w:t>
            </w:r>
          </w:p>
        </w:tc>
        <w:tc>
          <w:tcPr>
            <w:tcW w:w="967"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3.15</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NAPP</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166</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935</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2.59</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242</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2.59</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242</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2.59</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RAPP #3&amp;4</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604</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3.08</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186</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3.08</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186</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3.08</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RAPP#5&amp;6</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799</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3.67</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293</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293</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3.67</w:t>
            </w:r>
          </w:p>
        </w:tc>
      </w:tr>
      <w:tr w:rsidR="00C34658" w:rsidRPr="007E60B6" w:rsidTr="00D55642">
        <w:trPr>
          <w:trHeight w:val="300"/>
          <w:jc w:val="center"/>
        </w:trPr>
        <w:tc>
          <w:tcPr>
            <w:tcW w:w="1652" w:type="dxa"/>
            <w:shd w:val="clear" w:color="000000" w:fill="D8D8D8"/>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Sub-Total NPCIL</w:t>
            </w:r>
          </w:p>
        </w:tc>
        <w:tc>
          <w:tcPr>
            <w:tcW w:w="1062"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361</w:t>
            </w:r>
          </w:p>
        </w:tc>
        <w:tc>
          <w:tcPr>
            <w:tcW w:w="886"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2339</w:t>
            </w:r>
          </w:p>
        </w:tc>
        <w:tc>
          <w:tcPr>
            <w:tcW w:w="84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2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02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689"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721.55</w:t>
            </w:r>
          </w:p>
        </w:tc>
        <w:tc>
          <w:tcPr>
            <w:tcW w:w="1099"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13"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721.55</w:t>
            </w:r>
          </w:p>
        </w:tc>
        <w:tc>
          <w:tcPr>
            <w:tcW w:w="967"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3.09</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NATHPA JHAKRI HPS</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287</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1,383</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1.60</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1.51</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209</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3.11</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430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3.11</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TALA POWER</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181</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2.22</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40</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2.22</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2.22</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Koteshwar</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173</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569</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2.02</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115</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1.87</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107</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3.89</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221</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3.89</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Srinagar</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519</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4.16</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216</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4.16</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216</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4.16</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Sasan</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495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2,081</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0.27</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56</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1.20</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249</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1.46</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305</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1.46</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Case-1</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2,175</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10,186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2.19</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2,227</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1.52</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1,553</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3.71</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3,780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3.71</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Karcham-Wangtoo</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200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158</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3.12</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49</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3.12</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49</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3.12</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VISHNUPRAYAG</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352</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1,623</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0.92</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149</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1.30</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212</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2.22</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361</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2.22</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TEHRI STAGE-I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418</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1,809</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1.88</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340</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3.56</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644</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5.44</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984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5.44</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Rosa Power Project</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600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3,946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689</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3.72</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1,469</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2,158</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5.47</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Rosa Power Project</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600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3,946</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689</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3.75</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1,481</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5.50</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2,171</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5.50</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Bara</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1,782</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7,395</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1.18</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874</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3.14</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2,323</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4.32</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3,197</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4.32</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Anpara 'C'</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1,100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7,015</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1.77</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1,241</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2.58</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1,809</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4.35</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3,050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4.35</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IGSTPP, Jhajhjhar</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51</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354</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1.61</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57</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4.36</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154</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5.97</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211</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5.97</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Bajaj Hindusthan</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450</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2,807</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2.25</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632</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4.57</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1,281</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6.82</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1,913</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6.82</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Lalitpur</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1,782</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10,108</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1.88</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1,900</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2.95</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2,982</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4.83</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4,882</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4.83</w:t>
            </w:r>
          </w:p>
        </w:tc>
      </w:tr>
      <w:tr w:rsidR="00C34658" w:rsidRPr="007E60B6" w:rsidTr="00D55642">
        <w:trPr>
          <w:trHeight w:val="600"/>
          <w:jc w:val="center"/>
        </w:trPr>
        <w:tc>
          <w:tcPr>
            <w:tcW w:w="1652" w:type="dxa"/>
            <w:shd w:val="clear" w:color="000000" w:fill="D8D8D8"/>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lastRenderedPageBreak/>
              <w:t>Sub-Total IPP/JV</w:t>
            </w:r>
          </w:p>
        </w:tc>
        <w:tc>
          <w:tcPr>
            <w:tcW w:w="1062"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10799</w:t>
            </w:r>
          </w:p>
        </w:tc>
        <w:tc>
          <w:tcPr>
            <w:tcW w:w="886"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54080</w:t>
            </w:r>
          </w:p>
        </w:tc>
        <w:tc>
          <w:tcPr>
            <w:tcW w:w="84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2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9190</w:t>
            </w:r>
          </w:p>
        </w:tc>
        <w:tc>
          <w:tcPr>
            <w:tcW w:w="102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689"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14779</w:t>
            </w:r>
          </w:p>
        </w:tc>
        <w:tc>
          <w:tcPr>
            <w:tcW w:w="1099"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13"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23969</w:t>
            </w:r>
          </w:p>
        </w:tc>
        <w:tc>
          <w:tcPr>
            <w:tcW w:w="967"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4.43</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Captive and Cogen</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2,865</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4.79</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1,374</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4.79</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1,374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4.79</w:t>
            </w:r>
          </w:p>
        </w:tc>
      </w:tr>
      <w:tr w:rsidR="00C34658" w:rsidRPr="007E60B6" w:rsidTr="00D55642">
        <w:trPr>
          <w:trHeight w:val="12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Inter system exchange (Bilateral &amp; PXIL, IEX) / UI</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217</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5.30</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115</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5.30</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115</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5.30</w:t>
            </w:r>
          </w:p>
        </w:tc>
      </w:tr>
      <w:tr w:rsidR="00C34658" w:rsidRPr="007E60B6" w:rsidTr="00D55642">
        <w:trPr>
          <w:trHeight w:val="3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Solar Energy</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84</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10.76</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90</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10.76</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90</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10.76</w:t>
            </w:r>
          </w:p>
        </w:tc>
      </w:tr>
      <w:tr w:rsidR="00C34658" w:rsidRPr="007E60B6" w:rsidTr="00D55642">
        <w:trPr>
          <w:trHeight w:val="600"/>
          <w:jc w:val="center"/>
        </w:trPr>
        <w:tc>
          <w:tcPr>
            <w:tcW w:w="1652" w:type="dxa"/>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NVVN Coal Power</w:t>
            </w:r>
          </w:p>
        </w:tc>
        <w:tc>
          <w:tcPr>
            <w:tcW w:w="1062"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886"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352</w:t>
            </w:r>
          </w:p>
        </w:tc>
        <w:tc>
          <w:tcPr>
            <w:tcW w:w="84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1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w:t>
            </w:r>
          </w:p>
        </w:tc>
        <w:tc>
          <w:tcPr>
            <w:tcW w:w="1020"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3.26</w:t>
            </w:r>
          </w:p>
        </w:tc>
        <w:tc>
          <w:tcPr>
            <w:tcW w:w="68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114</w:t>
            </w:r>
          </w:p>
        </w:tc>
        <w:tc>
          <w:tcPr>
            <w:tcW w:w="1099"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3.26</w:t>
            </w:r>
          </w:p>
        </w:tc>
        <w:tc>
          <w:tcPr>
            <w:tcW w:w="1113"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114</w:t>
            </w:r>
          </w:p>
        </w:tc>
        <w:tc>
          <w:tcPr>
            <w:tcW w:w="967" w:type="dxa"/>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hAnsiTheme="minorHAnsi"/>
                <w:sz w:val="22"/>
                <w:szCs w:val="22"/>
              </w:rPr>
              <w:t>3.26</w:t>
            </w:r>
          </w:p>
        </w:tc>
      </w:tr>
      <w:tr w:rsidR="00C34658" w:rsidRPr="007E60B6" w:rsidTr="00D55642">
        <w:trPr>
          <w:trHeight w:val="900"/>
          <w:jc w:val="center"/>
        </w:trPr>
        <w:tc>
          <w:tcPr>
            <w:tcW w:w="1652" w:type="dxa"/>
            <w:shd w:val="clear" w:color="000000" w:fill="D8D8D8"/>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Sub-Total : Co-Generation &amp; Other Sources</w:t>
            </w:r>
          </w:p>
        </w:tc>
        <w:tc>
          <w:tcPr>
            <w:tcW w:w="1062"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w:t>
            </w:r>
          </w:p>
        </w:tc>
        <w:tc>
          <w:tcPr>
            <w:tcW w:w="886"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3518</w:t>
            </w:r>
          </w:p>
        </w:tc>
        <w:tc>
          <w:tcPr>
            <w:tcW w:w="84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2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020"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689"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1,693.45</w:t>
            </w:r>
          </w:p>
        </w:tc>
        <w:tc>
          <w:tcPr>
            <w:tcW w:w="1099"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13"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1,693.45</w:t>
            </w:r>
          </w:p>
        </w:tc>
        <w:tc>
          <w:tcPr>
            <w:tcW w:w="967" w:type="dxa"/>
            <w:shd w:val="clear" w:color="000000" w:fill="D8D8D8"/>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4.81</w:t>
            </w:r>
          </w:p>
        </w:tc>
      </w:tr>
      <w:tr w:rsidR="00C34658" w:rsidRPr="007E60B6" w:rsidTr="00D55642">
        <w:trPr>
          <w:trHeight w:val="900"/>
          <w:jc w:val="center"/>
        </w:trPr>
        <w:tc>
          <w:tcPr>
            <w:tcW w:w="1652" w:type="dxa"/>
            <w:shd w:val="clear" w:color="000000" w:fill="DBE5F1"/>
            <w:vAlign w:val="center"/>
            <w:hideMark/>
          </w:tcPr>
          <w:p w:rsidR="00C34658" w:rsidRPr="008B0C65" w:rsidRDefault="00C34658" w:rsidP="00D55642">
            <w:pPr>
              <w:spacing w:before="0" w:line="240" w:lineRule="auto"/>
              <w:jc w:val="left"/>
              <w:rPr>
                <w:rFonts w:asciiTheme="minorHAnsi" w:hAnsiTheme="minorHAnsi"/>
                <w:b/>
                <w:bCs/>
                <w:sz w:val="22"/>
                <w:szCs w:val="22"/>
              </w:rPr>
            </w:pPr>
            <w:r w:rsidRPr="008B0C65">
              <w:rPr>
                <w:rFonts w:asciiTheme="minorHAnsi" w:hAnsiTheme="minorHAnsi"/>
                <w:b/>
                <w:bCs/>
                <w:sz w:val="22"/>
                <w:szCs w:val="22"/>
              </w:rPr>
              <w:t>Grand Total of Power Purchase</w:t>
            </w:r>
          </w:p>
        </w:tc>
        <w:tc>
          <w:tcPr>
            <w:tcW w:w="1062" w:type="dxa"/>
            <w:shd w:val="clear" w:color="000000" w:fill="DBE5F1"/>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22505</w:t>
            </w:r>
          </w:p>
        </w:tc>
        <w:tc>
          <w:tcPr>
            <w:tcW w:w="886" w:type="dxa"/>
            <w:shd w:val="clear" w:color="000000" w:fill="DBE5F1"/>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125627</w:t>
            </w:r>
          </w:p>
        </w:tc>
        <w:tc>
          <w:tcPr>
            <w:tcW w:w="840" w:type="dxa"/>
            <w:shd w:val="clear" w:color="000000" w:fill="DBE5F1"/>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20" w:type="dxa"/>
            <w:shd w:val="clear" w:color="000000" w:fill="DBE5F1"/>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16,653.47</w:t>
            </w:r>
          </w:p>
        </w:tc>
        <w:tc>
          <w:tcPr>
            <w:tcW w:w="1020" w:type="dxa"/>
            <w:shd w:val="clear" w:color="000000" w:fill="DBE5F1"/>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689" w:type="dxa"/>
            <w:shd w:val="clear" w:color="000000" w:fill="DBE5F1"/>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33,194.7</w:t>
            </w:r>
          </w:p>
        </w:tc>
        <w:tc>
          <w:tcPr>
            <w:tcW w:w="1099" w:type="dxa"/>
            <w:shd w:val="clear" w:color="000000" w:fill="DBE5F1"/>
            <w:vAlign w:val="center"/>
            <w:hideMark/>
          </w:tcPr>
          <w:p w:rsidR="00C34658" w:rsidRPr="008B0C65" w:rsidRDefault="00C34658" w:rsidP="00D55642">
            <w:pPr>
              <w:spacing w:before="0" w:line="240" w:lineRule="auto"/>
              <w:jc w:val="center"/>
              <w:rPr>
                <w:rFonts w:asciiTheme="minorHAnsi" w:hAnsiTheme="minorHAnsi"/>
                <w:b/>
                <w:bCs/>
                <w:sz w:val="22"/>
                <w:szCs w:val="22"/>
              </w:rPr>
            </w:pPr>
          </w:p>
        </w:tc>
        <w:tc>
          <w:tcPr>
            <w:tcW w:w="1113" w:type="dxa"/>
            <w:shd w:val="clear" w:color="000000" w:fill="DBE5F1"/>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49,848.13</w:t>
            </w:r>
          </w:p>
        </w:tc>
        <w:tc>
          <w:tcPr>
            <w:tcW w:w="967" w:type="dxa"/>
            <w:shd w:val="clear" w:color="000000" w:fill="DBE5F1"/>
            <w:vAlign w:val="center"/>
            <w:hideMark/>
          </w:tcPr>
          <w:p w:rsidR="00C34658" w:rsidRPr="008B0C65" w:rsidRDefault="00C34658" w:rsidP="00D55642">
            <w:pPr>
              <w:spacing w:before="0" w:line="240" w:lineRule="auto"/>
              <w:jc w:val="center"/>
              <w:rPr>
                <w:rFonts w:asciiTheme="minorHAnsi" w:hAnsiTheme="minorHAnsi"/>
                <w:b/>
                <w:bCs/>
                <w:sz w:val="22"/>
                <w:szCs w:val="22"/>
              </w:rPr>
            </w:pPr>
            <w:r w:rsidRPr="008B0C65">
              <w:rPr>
                <w:rFonts w:asciiTheme="minorHAnsi" w:hAnsiTheme="minorHAnsi"/>
                <w:b/>
                <w:bCs/>
                <w:sz w:val="22"/>
                <w:szCs w:val="22"/>
              </w:rPr>
              <w:t>3.97</w:t>
            </w:r>
          </w:p>
        </w:tc>
      </w:tr>
    </w:tbl>
    <w:p w:rsidR="00C34658" w:rsidRPr="00C60AD1" w:rsidRDefault="00C34658" w:rsidP="00C34658">
      <w:pPr>
        <w:spacing w:before="0" w:line="240" w:lineRule="auto"/>
        <w:jc w:val="left"/>
        <w:rPr>
          <w:rFonts w:cs="Calibri"/>
          <w:b/>
          <w:sz w:val="22"/>
          <w:szCs w:val="22"/>
          <w:lang w:val="en-US"/>
        </w:rPr>
      </w:pPr>
    </w:p>
    <w:p w:rsidR="00C34658" w:rsidRDefault="00C34658" w:rsidP="00C34658">
      <w:pPr>
        <w:spacing w:before="0"/>
        <w:jc w:val="center"/>
        <w:rPr>
          <w:rFonts w:cs="Calibri"/>
          <w:b/>
          <w:sz w:val="22"/>
          <w:szCs w:val="22"/>
          <w:lang w:val="en-US"/>
        </w:rPr>
      </w:pPr>
    </w:p>
    <w:p w:rsidR="00C34658" w:rsidRDefault="00C34658" w:rsidP="00C34658">
      <w:pPr>
        <w:spacing w:before="0"/>
        <w:jc w:val="center"/>
        <w:rPr>
          <w:rFonts w:cs="Calibri"/>
          <w:b/>
          <w:sz w:val="22"/>
          <w:szCs w:val="22"/>
          <w:lang w:val="en-US"/>
        </w:rPr>
      </w:pPr>
    </w:p>
    <w:p w:rsidR="00C34658" w:rsidRPr="00C60AD1" w:rsidRDefault="00C34658" w:rsidP="00C34658">
      <w:pPr>
        <w:spacing w:before="0"/>
        <w:jc w:val="center"/>
      </w:pPr>
      <w:bookmarkStart w:id="752" w:name="_Toc453367692"/>
      <w:bookmarkStart w:id="753" w:name="_Toc457604063"/>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47</w:t>
      </w:r>
      <w:r w:rsidR="009741CA" w:rsidRPr="00C60AD1">
        <w:rPr>
          <w:rFonts w:cs="Calibri"/>
          <w:b/>
          <w:sz w:val="22"/>
          <w:szCs w:val="22"/>
          <w:lang w:val="en-US"/>
        </w:rPr>
        <w:fldChar w:fldCharType="end"/>
      </w:r>
      <w:bookmarkEnd w:id="743"/>
      <w:r w:rsidRPr="00C60AD1">
        <w:rPr>
          <w:rFonts w:cs="Calibri"/>
          <w:b/>
          <w:sz w:val="22"/>
          <w:szCs w:val="22"/>
          <w:lang w:val="en-US"/>
        </w:rPr>
        <w:t xml:space="preserve">: </w:t>
      </w:r>
      <w:bookmarkEnd w:id="744"/>
      <w:r w:rsidRPr="00C60AD1">
        <w:rPr>
          <w:rFonts w:cs="Calibri"/>
          <w:b/>
          <w:sz w:val="22"/>
          <w:szCs w:val="22"/>
          <w:lang w:val="en-US"/>
        </w:rPr>
        <w:t xml:space="preserve">SUMMARY OF APPROVED POWER PURCHASE COST </w:t>
      </w:r>
      <w:bookmarkEnd w:id="745"/>
      <w:bookmarkEnd w:id="746"/>
      <w:bookmarkEnd w:id="747"/>
      <w:r w:rsidRPr="00C60AD1">
        <w:rPr>
          <w:rFonts w:cs="Calibri"/>
          <w:b/>
          <w:sz w:val="22"/>
          <w:szCs w:val="22"/>
          <w:lang w:val="en-US"/>
        </w:rPr>
        <w:t xml:space="preserve">FOR FY </w:t>
      </w:r>
      <w:bookmarkEnd w:id="748"/>
      <w:bookmarkEnd w:id="749"/>
      <w:bookmarkEnd w:id="750"/>
      <w:bookmarkEnd w:id="751"/>
      <w:r>
        <w:rPr>
          <w:rFonts w:cs="Calibri"/>
          <w:b/>
          <w:sz w:val="22"/>
          <w:szCs w:val="22"/>
          <w:lang w:val="en-US"/>
        </w:rPr>
        <w:t>2016-17</w:t>
      </w:r>
      <w:bookmarkEnd w:id="752"/>
      <w:bookmarkEnd w:id="753"/>
    </w:p>
    <w:tbl>
      <w:tblPr>
        <w:tblStyle w:val="TableGrid5"/>
        <w:tblW w:w="10773" w:type="dxa"/>
        <w:tblInd w:w="-1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710"/>
        <w:gridCol w:w="1080"/>
        <w:gridCol w:w="1080"/>
        <w:gridCol w:w="90"/>
        <w:gridCol w:w="720"/>
        <w:gridCol w:w="1080"/>
        <w:gridCol w:w="810"/>
        <w:gridCol w:w="349"/>
        <w:gridCol w:w="927"/>
        <w:gridCol w:w="741"/>
        <w:gridCol w:w="1223"/>
        <w:gridCol w:w="963"/>
      </w:tblGrid>
      <w:tr w:rsidR="00C34658" w:rsidRPr="00C822B4" w:rsidTr="00D55642">
        <w:trPr>
          <w:trHeight w:val="600"/>
          <w:tblHeader/>
        </w:trPr>
        <w:tc>
          <w:tcPr>
            <w:tcW w:w="1710" w:type="dxa"/>
            <w:vMerge w:val="restart"/>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Source of Power</w:t>
            </w:r>
          </w:p>
        </w:tc>
        <w:tc>
          <w:tcPr>
            <w:tcW w:w="1080" w:type="dxa"/>
            <w:vMerge w:val="restart"/>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MW Available</w:t>
            </w:r>
          </w:p>
        </w:tc>
        <w:tc>
          <w:tcPr>
            <w:tcW w:w="1080" w:type="dxa"/>
            <w:vMerge w:val="restart"/>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MU</w:t>
            </w:r>
          </w:p>
        </w:tc>
        <w:tc>
          <w:tcPr>
            <w:tcW w:w="1890" w:type="dxa"/>
            <w:gridSpan w:val="3"/>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Fixed Cost</w:t>
            </w:r>
          </w:p>
        </w:tc>
        <w:tc>
          <w:tcPr>
            <w:tcW w:w="2086" w:type="dxa"/>
            <w:gridSpan w:val="3"/>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Variable Cost</w:t>
            </w:r>
          </w:p>
        </w:tc>
        <w:tc>
          <w:tcPr>
            <w:tcW w:w="1964" w:type="dxa"/>
            <w:gridSpan w:val="2"/>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Total Cost</w:t>
            </w:r>
          </w:p>
        </w:tc>
        <w:tc>
          <w:tcPr>
            <w:tcW w:w="963" w:type="dxa"/>
            <w:shd w:val="clear" w:color="auto" w:fill="C6D9F1"/>
            <w:vAlign w:val="center"/>
            <w:hideMark/>
          </w:tcPr>
          <w:p w:rsidR="00C34658" w:rsidRPr="00C822B4" w:rsidRDefault="00C34658" w:rsidP="00D55642">
            <w:pPr>
              <w:spacing w:before="0" w:line="240" w:lineRule="auto"/>
              <w:jc w:val="center"/>
              <w:rPr>
                <w:b/>
                <w:bCs/>
                <w:lang w:val="en-US"/>
              </w:rPr>
            </w:pPr>
            <w:r w:rsidRPr="00C822B4">
              <w:rPr>
                <w:b/>
                <w:bCs/>
                <w:lang w:val="en-US"/>
              </w:rPr>
              <w:t>Average Cost</w:t>
            </w:r>
          </w:p>
        </w:tc>
      </w:tr>
      <w:tr w:rsidR="00C34658" w:rsidRPr="00C822B4" w:rsidTr="00D55642">
        <w:trPr>
          <w:trHeight w:val="300"/>
          <w:tblHeader/>
        </w:trPr>
        <w:tc>
          <w:tcPr>
            <w:tcW w:w="1710" w:type="dxa"/>
            <w:vMerge/>
            <w:shd w:val="clear" w:color="auto" w:fill="C6D9F1"/>
            <w:vAlign w:val="center"/>
            <w:hideMark/>
          </w:tcPr>
          <w:p w:rsidR="00C34658" w:rsidRPr="00C822B4" w:rsidRDefault="00C34658" w:rsidP="00D55642">
            <w:pPr>
              <w:spacing w:before="0" w:line="240" w:lineRule="auto"/>
              <w:jc w:val="center"/>
              <w:rPr>
                <w:b/>
                <w:bCs/>
                <w:lang w:val="en-US"/>
              </w:rPr>
            </w:pPr>
          </w:p>
        </w:tc>
        <w:tc>
          <w:tcPr>
            <w:tcW w:w="1080" w:type="dxa"/>
            <w:vMerge/>
            <w:shd w:val="clear" w:color="auto" w:fill="C6D9F1"/>
            <w:noWrap/>
            <w:vAlign w:val="center"/>
            <w:hideMark/>
          </w:tcPr>
          <w:p w:rsidR="00C34658" w:rsidRPr="00C822B4" w:rsidRDefault="00C34658" w:rsidP="00D55642">
            <w:pPr>
              <w:spacing w:before="0" w:line="240" w:lineRule="auto"/>
              <w:jc w:val="center"/>
              <w:rPr>
                <w:b/>
                <w:bCs/>
                <w:lang w:val="en-US"/>
              </w:rPr>
            </w:pPr>
          </w:p>
        </w:tc>
        <w:tc>
          <w:tcPr>
            <w:tcW w:w="1080" w:type="dxa"/>
            <w:vMerge/>
            <w:shd w:val="clear" w:color="auto" w:fill="C6D9F1"/>
            <w:vAlign w:val="center"/>
            <w:hideMark/>
          </w:tcPr>
          <w:p w:rsidR="00C34658" w:rsidRPr="00C822B4" w:rsidRDefault="00C34658" w:rsidP="00D55642">
            <w:pPr>
              <w:spacing w:before="0" w:line="240" w:lineRule="auto"/>
              <w:jc w:val="center"/>
              <w:rPr>
                <w:b/>
                <w:bCs/>
                <w:lang w:val="en-US"/>
              </w:rPr>
            </w:pPr>
          </w:p>
        </w:tc>
        <w:tc>
          <w:tcPr>
            <w:tcW w:w="810" w:type="dxa"/>
            <w:gridSpan w:val="2"/>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(Rs. / kWh)</w:t>
            </w:r>
          </w:p>
        </w:tc>
        <w:tc>
          <w:tcPr>
            <w:tcW w:w="1080" w:type="dxa"/>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(Rs. Cr.)</w:t>
            </w:r>
          </w:p>
        </w:tc>
        <w:tc>
          <w:tcPr>
            <w:tcW w:w="1159" w:type="dxa"/>
            <w:gridSpan w:val="2"/>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(Rs. / kWh)</w:t>
            </w:r>
          </w:p>
        </w:tc>
        <w:tc>
          <w:tcPr>
            <w:tcW w:w="927" w:type="dxa"/>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(Rs. Cr.)</w:t>
            </w:r>
          </w:p>
        </w:tc>
        <w:tc>
          <w:tcPr>
            <w:tcW w:w="741" w:type="dxa"/>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(Rs. / kWh)</w:t>
            </w:r>
          </w:p>
        </w:tc>
        <w:tc>
          <w:tcPr>
            <w:tcW w:w="1223" w:type="dxa"/>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(Rs. Cr.)</w:t>
            </w:r>
          </w:p>
        </w:tc>
        <w:tc>
          <w:tcPr>
            <w:tcW w:w="963" w:type="dxa"/>
            <w:shd w:val="clear" w:color="auto" w:fill="C6D9F1"/>
            <w:noWrap/>
            <w:vAlign w:val="center"/>
            <w:hideMark/>
          </w:tcPr>
          <w:p w:rsidR="00C34658" w:rsidRPr="00C822B4" w:rsidRDefault="00C34658" w:rsidP="00D55642">
            <w:pPr>
              <w:spacing w:before="0" w:line="240" w:lineRule="auto"/>
              <w:jc w:val="center"/>
              <w:rPr>
                <w:b/>
                <w:bCs/>
                <w:lang w:val="en-US"/>
              </w:rPr>
            </w:pPr>
            <w:r w:rsidRPr="00C822B4">
              <w:rPr>
                <w:b/>
                <w:bCs/>
                <w:lang w:val="en-US"/>
              </w:rPr>
              <w:t>(Rs. / kWh)</w:t>
            </w:r>
          </w:p>
        </w:tc>
      </w:tr>
      <w:tr w:rsidR="00C34658" w:rsidRPr="00C822B4" w:rsidTr="00D55642">
        <w:trPr>
          <w:trHeight w:val="300"/>
        </w:trPr>
        <w:tc>
          <w:tcPr>
            <w:tcW w:w="10773" w:type="dxa"/>
            <w:gridSpan w:val="12"/>
            <w:noWrap/>
            <w:hideMark/>
          </w:tcPr>
          <w:p w:rsidR="00C34658" w:rsidRPr="00C822B4" w:rsidRDefault="00C34658" w:rsidP="00D55642">
            <w:pPr>
              <w:spacing w:before="0" w:line="240" w:lineRule="auto"/>
              <w:jc w:val="center"/>
              <w:rPr>
                <w:b/>
                <w:bCs/>
                <w:lang w:val="en-US"/>
              </w:rPr>
            </w:pPr>
            <w:r w:rsidRPr="00C822B4">
              <w:rPr>
                <w:b/>
                <w:bCs/>
                <w:lang w:val="en-US"/>
              </w:rPr>
              <w:t>State Thermal Generating Stations</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Anpara 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630.00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4292.25</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0.72</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309.20</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1.87</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802.65</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2.59</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1111.85</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2.59</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Anpara B</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1000.00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7055.09</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0.65</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459.88</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1.62</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1142.92</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2.27</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1602.80</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2.27</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Harduaganj</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165.00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840.86</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1.47</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123.42</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3.47</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291.78</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4.94</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415.20</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4.94</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 xml:space="preserve">Obra A </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288.00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1070.65</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1.81</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194.07</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1.60</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171.30</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3.41</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365.37</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3.41</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Obra B</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1000.00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6328.22</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0.69</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436.17</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1.52</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961.89</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2.21</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1398.06</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2.21</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Panki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210.00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1161.52</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1.44</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167.70</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3.45</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400.72</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4.89</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568.42</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4.89</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Parichha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220.00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1290.74</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1.06</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136.82</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3.90</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503.39</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4.96</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640.21</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4.96</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Parichha Extension</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420.00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2845.86</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1.35</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384.40</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3.21</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913.52</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4.56</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1297.92</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4.56</w:t>
            </w:r>
          </w:p>
        </w:tc>
      </w:tr>
      <w:tr w:rsidR="00C34658" w:rsidRPr="00C822B4" w:rsidTr="00D55642">
        <w:trPr>
          <w:trHeight w:val="600"/>
        </w:trPr>
        <w:tc>
          <w:tcPr>
            <w:tcW w:w="1710" w:type="dxa"/>
            <w:hideMark/>
          </w:tcPr>
          <w:p w:rsidR="00C34658" w:rsidRPr="00C822B4" w:rsidRDefault="00C34658" w:rsidP="00D55642">
            <w:pPr>
              <w:spacing w:before="0" w:line="240" w:lineRule="auto"/>
              <w:jc w:val="left"/>
              <w:rPr>
                <w:lang w:val="en-US"/>
              </w:rPr>
            </w:pPr>
            <w:r w:rsidRPr="00C822B4">
              <w:rPr>
                <w:lang w:val="en-US"/>
              </w:rPr>
              <w:t>Parichha Extension St.II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500.00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3387.93</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1.84</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624.00</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3.21</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1087.53</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5.05</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1711.53</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5.05</w:t>
            </w:r>
          </w:p>
        </w:tc>
      </w:tr>
      <w:tr w:rsidR="00C34658" w:rsidRPr="00C822B4" w:rsidTr="00D55642">
        <w:trPr>
          <w:trHeight w:val="600"/>
        </w:trPr>
        <w:tc>
          <w:tcPr>
            <w:tcW w:w="1710" w:type="dxa"/>
            <w:hideMark/>
          </w:tcPr>
          <w:p w:rsidR="00C34658" w:rsidRPr="00C822B4" w:rsidRDefault="00C34658" w:rsidP="00D55642">
            <w:pPr>
              <w:spacing w:before="0" w:line="240" w:lineRule="auto"/>
              <w:jc w:val="left"/>
              <w:rPr>
                <w:lang w:val="en-US"/>
              </w:rPr>
            </w:pPr>
            <w:r w:rsidRPr="00C822B4">
              <w:rPr>
                <w:lang w:val="en-US"/>
              </w:rPr>
              <w:lastRenderedPageBreak/>
              <w:t>Harduaganj Extension</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500.00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3387.93</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1.99</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672.96</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2.67</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904.58</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4.66</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1577.54</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4.66</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Anpara D</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1000.00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7000.11</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1.89</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1323.02</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1.44</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1008.02</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3.33</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2331.04</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3.33</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b/>
                <w:lang w:val="en-US"/>
              </w:rPr>
            </w:pPr>
            <w:r w:rsidRPr="00C822B4">
              <w:rPr>
                <w:b/>
                <w:lang w:val="en-US"/>
              </w:rPr>
              <w:t>Total</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5933.00</w:t>
            </w:r>
          </w:p>
        </w:tc>
        <w:tc>
          <w:tcPr>
            <w:tcW w:w="1170" w:type="dxa"/>
            <w:gridSpan w:val="2"/>
            <w:hideMark/>
          </w:tcPr>
          <w:p w:rsidR="00C34658" w:rsidRPr="00C822B4" w:rsidRDefault="00C34658" w:rsidP="00D55642">
            <w:pPr>
              <w:spacing w:before="0" w:line="240" w:lineRule="auto"/>
              <w:jc w:val="center"/>
              <w:rPr>
                <w:b/>
                <w:color w:val="000000"/>
                <w:lang w:val="en-US"/>
              </w:rPr>
            </w:pPr>
            <w:r w:rsidRPr="00C822B4">
              <w:rPr>
                <w:b/>
                <w:color w:val="000000"/>
                <w:lang w:val="en-US"/>
              </w:rPr>
              <w:t>38661.16</w:t>
            </w:r>
          </w:p>
        </w:tc>
        <w:tc>
          <w:tcPr>
            <w:tcW w:w="720" w:type="dxa"/>
            <w:hideMark/>
          </w:tcPr>
          <w:p w:rsidR="00C34658" w:rsidRPr="00C822B4" w:rsidRDefault="00C34658" w:rsidP="00D55642">
            <w:pPr>
              <w:spacing w:before="0" w:line="240" w:lineRule="auto"/>
              <w:jc w:val="center"/>
              <w:rPr>
                <w:b/>
                <w:color w:val="000000"/>
                <w:lang w:val="en-US"/>
              </w:rPr>
            </w:pPr>
            <w:r w:rsidRPr="00C822B4">
              <w:rPr>
                <w:b/>
                <w:color w:val="000000"/>
                <w:lang w:val="en-US"/>
              </w:rPr>
              <w:t>1.25</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4831.64</w:t>
            </w:r>
          </w:p>
        </w:tc>
        <w:tc>
          <w:tcPr>
            <w:tcW w:w="810" w:type="dxa"/>
            <w:hideMark/>
          </w:tcPr>
          <w:p w:rsidR="00C34658" w:rsidRPr="00C822B4" w:rsidRDefault="00C34658" w:rsidP="00D55642">
            <w:pPr>
              <w:spacing w:before="0" w:line="240" w:lineRule="auto"/>
              <w:jc w:val="center"/>
              <w:rPr>
                <w:b/>
                <w:color w:val="000000"/>
                <w:lang w:val="en-US"/>
              </w:rPr>
            </w:pPr>
            <w:r w:rsidRPr="00C822B4">
              <w:rPr>
                <w:b/>
                <w:color w:val="000000"/>
                <w:lang w:val="en-US"/>
              </w:rPr>
              <w:t>2.12</w:t>
            </w:r>
          </w:p>
        </w:tc>
        <w:tc>
          <w:tcPr>
            <w:tcW w:w="1276" w:type="dxa"/>
            <w:gridSpan w:val="2"/>
            <w:hideMark/>
          </w:tcPr>
          <w:p w:rsidR="00C34658" w:rsidRPr="00C822B4" w:rsidRDefault="00C34658" w:rsidP="00D55642">
            <w:pPr>
              <w:spacing w:before="0" w:line="240" w:lineRule="auto"/>
              <w:jc w:val="center"/>
              <w:rPr>
                <w:b/>
                <w:color w:val="000000"/>
                <w:lang w:val="en-US"/>
              </w:rPr>
            </w:pPr>
            <w:r w:rsidRPr="00C822B4">
              <w:rPr>
                <w:b/>
                <w:color w:val="000000"/>
                <w:lang w:val="en-US"/>
              </w:rPr>
              <w:t>8188.30</w:t>
            </w:r>
          </w:p>
        </w:tc>
        <w:tc>
          <w:tcPr>
            <w:tcW w:w="741" w:type="dxa"/>
            <w:hideMark/>
          </w:tcPr>
          <w:p w:rsidR="00C34658" w:rsidRPr="00C822B4" w:rsidRDefault="00C34658" w:rsidP="00D55642">
            <w:pPr>
              <w:spacing w:before="0" w:line="240" w:lineRule="auto"/>
              <w:jc w:val="center"/>
              <w:rPr>
                <w:b/>
                <w:color w:val="000000"/>
                <w:lang w:val="en-US"/>
              </w:rPr>
            </w:pPr>
            <w:r w:rsidRPr="00C822B4">
              <w:rPr>
                <w:b/>
                <w:color w:val="000000"/>
                <w:lang w:val="en-US"/>
              </w:rPr>
              <w:t>3.37</w:t>
            </w:r>
          </w:p>
        </w:tc>
        <w:tc>
          <w:tcPr>
            <w:tcW w:w="1223" w:type="dxa"/>
            <w:hideMark/>
          </w:tcPr>
          <w:p w:rsidR="00C34658" w:rsidRPr="00C822B4" w:rsidRDefault="00C34658" w:rsidP="00D55642">
            <w:pPr>
              <w:spacing w:before="0" w:line="240" w:lineRule="auto"/>
              <w:jc w:val="center"/>
              <w:rPr>
                <w:b/>
                <w:color w:val="000000"/>
                <w:lang w:val="en-US"/>
              </w:rPr>
            </w:pPr>
            <w:r w:rsidRPr="00C822B4">
              <w:rPr>
                <w:b/>
                <w:color w:val="000000"/>
                <w:lang w:val="en-US"/>
              </w:rPr>
              <w:t>13019.94</w:t>
            </w:r>
          </w:p>
        </w:tc>
        <w:tc>
          <w:tcPr>
            <w:tcW w:w="963" w:type="dxa"/>
            <w:hideMark/>
          </w:tcPr>
          <w:p w:rsidR="00C34658" w:rsidRPr="00C822B4" w:rsidRDefault="00C34658" w:rsidP="00D55642">
            <w:pPr>
              <w:spacing w:before="0" w:line="240" w:lineRule="auto"/>
              <w:jc w:val="center"/>
              <w:rPr>
                <w:b/>
                <w:color w:val="000000"/>
                <w:lang w:val="en-US"/>
              </w:rPr>
            </w:pPr>
            <w:r w:rsidRPr="00C822B4">
              <w:rPr>
                <w:b/>
                <w:color w:val="000000"/>
                <w:lang w:val="en-US"/>
              </w:rPr>
              <w:t>3.37</w:t>
            </w:r>
          </w:p>
        </w:tc>
      </w:tr>
      <w:tr w:rsidR="00C34658" w:rsidRPr="00C822B4" w:rsidTr="00D55642">
        <w:trPr>
          <w:trHeight w:val="300"/>
        </w:trPr>
        <w:tc>
          <w:tcPr>
            <w:tcW w:w="10773" w:type="dxa"/>
            <w:gridSpan w:val="12"/>
            <w:noWrap/>
            <w:hideMark/>
          </w:tcPr>
          <w:p w:rsidR="00C34658" w:rsidRPr="00C822B4" w:rsidRDefault="00C34658" w:rsidP="00D55642">
            <w:pPr>
              <w:spacing w:before="0" w:line="240" w:lineRule="auto"/>
              <w:jc w:val="center"/>
              <w:rPr>
                <w:b/>
                <w:bCs/>
                <w:lang w:val="en-US"/>
              </w:rPr>
            </w:pPr>
            <w:r w:rsidRPr="00C822B4">
              <w:rPr>
                <w:b/>
                <w:bCs/>
                <w:lang w:val="en-US"/>
              </w:rPr>
              <w:t>State Hydro Generating Stations</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Khara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57.60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151.37</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0.78</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11.79</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0.78</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11.79</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0.78</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Matatila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20.00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52.56</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0.70</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3.70</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0.70</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3.70</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0.70</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Obra (Hydel)</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99.00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260.17</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0.68</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17.73</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0.68</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17.73</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0.68</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Rihand</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255.00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670.14</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0.59</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39.87</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0.59</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39.87</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0.59</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U.G.C.Power Stations</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13.70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36.00</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2.30</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8.29</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2.30</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8.29</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2.30</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Belka&amp;Babail</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6.00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15.77</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2.43</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3.84</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2.43</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3.84</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2.43</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lang w:val="en-US"/>
              </w:rPr>
            </w:pPr>
            <w:r w:rsidRPr="00C822B4">
              <w:rPr>
                <w:lang w:val="en-US"/>
              </w:rPr>
              <w:t>Sheetla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3.60</w:t>
            </w:r>
          </w:p>
        </w:tc>
        <w:tc>
          <w:tcPr>
            <w:tcW w:w="1170"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9.46</w:t>
            </w:r>
          </w:p>
        </w:tc>
        <w:tc>
          <w:tcPr>
            <w:tcW w:w="720" w:type="dxa"/>
            <w:hideMark/>
          </w:tcPr>
          <w:p w:rsidR="00C34658" w:rsidRPr="00C822B4" w:rsidRDefault="00C34658" w:rsidP="00D55642">
            <w:pPr>
              <w:spacing w:before="0" w:line="240" w:lineRule="auto"/>
              <w:jc w:val="center"/>
              <w:rPr>
                <w:color w:val="000000"/>
                <w:lang w:val="en-US"/>
              </w:rPr>
            </w:pPr>
            <w:r w:rsidRPr="00C822B4">
              <w:rPr>
                <w:color w:val="000000"/>
                <w:lang w:val="en-US"/>
              </w:rPr>
              <w:t>2.95</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2.79</w:t>
            </w:r>
          </w:p>
        </w:tc>
        <w:tc>
          <w:tcPr>
            <w:tcW w:w="810" w:type="dxa"/>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1276" w:type="dxa"/>
            <w:gridSpan w:val="2"/>
            <w:hideMark/>
          </w:tcPr>
          <w:p w:rsidR="00C34658" w:rsidRPr="00C822B4" w:rsidRDefault="00C34658" w:rsidP="00D55642">
            <w:pPr>
              <w:spacing w:before="0" w:line="240" w:lineRule="auto"/>
              <w:jc w:val="center"/>
              <w:rPr>
                <w:color w:val="000000"/>
                <w:lang w:val="en-US"/>
              </w:rPr>
            </w:pPr>
            <w:r w:rsidRPr="00C822B4">
              <w:rPr>
                <w:color w:val="000000"/>
                <w:lang w:val="en-US"/>
              </w:rPr>
              <w:t> </w:t>
            </w:r>
          </w:p>
        </w:tc>
        <w:tc>
          <w:tcPr>
            <w:tcW w:w="741" w:type="dxa"/>
            <w:hideMark/>
          </w:tcPr>
          <w:p w:rsidR="00C34658" w:rsidRPr="00C822B4" w:rsidRDefault="00C34658" w:rsidP="00D55642">
            <w:pPr>
              <w:spacing w:before="0" w:line="240" w:lineRule="auto"/>
              <w:jc w:val="center"/>
              <w:rPr>
                <w:color w:val="000000"/>
                <w:lang w:val="en-US"/>
              </w:rPr>
            </w:pPr>
            <w:r w:rsidRPr="00C822B4">
              <w:rPr>
                <w:color w:val="000000"/>
                <w:lang w:val="en-US"/>
              </w:rPr>
              <w:t>2.95</w:t>
            </w:r>
          </w:p>
        </w:tc>
        <w:tc>
          <w:tcPr>
            <w:tcW w:w="1223" w:type="dxa"/>
            <w:hideMark/>
          </w:tcPr>
          <w:p w:rsidR="00C34658" w:rsidRPr="00C822B4" w:rsidRDefault="00C34658" w:rsidP="00D55642">
            <w:pPr>
              <w:spacing w:before="0" w:line="240" w:lineRule="auto"/>
              <w:jc w:val="center"/>
              <w:rPr>
                <w:color w:val="000000"/>
                <w:lang w:val="en-US"/>
              </w:rPr>
            </w:pPr>
            <w:r w:rsidRPr="00C822B4">
              <w:rPr>
                <w:color w:val="000000"/>
                <w:lang w:val="en-US"/>
              </w:rPr>
              <w:t>2.79</w:t>
            </w:r>
          </w:p>
        </w:tc>
        <w:tc>
          <w:tcPr>
            <w:tcW w:w="963" w:type="dxa"/>
            <w:hideMark/>
          </w:tcPr>
          <w:p w:rsidR="00C34658" w:rsidRPr="00C822B4" w:rsidRDefault="00C34658" w:rsidP="00D55642">
            <w:pPr>
              <w:spacing w:before="0" w:line="240" w:lineRule="auto"/>
              <w:jc w:val="center"/>
              <w:rPr>
                <w:color w:val="000000"/>
                <w:lang w:val="en-US"/>
              </w:rPr>
            </w:pPr>
            <w:r w:rsidRPr="00C822B4">
              <w:rPr>
                <w:color w:val="000000"/>
                <w:lang w:val="en-US"/>
              </w:rPr>
              <w:t>2.95</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b/>
                <w:lang w:val="en-US"/>
              </w:rPr>
            </w:pPr>
            <w:r w:rsidRPr="00C822B4">
              <w:rPr>
                <w:b/>
                <w:lang w:val="en-US"/>
              </w:rPr>
              <w:t>Total</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454.90</w:t>
            </w:r>
          </w:p>
        </w:tc>
        <w:tc>
          <w:tcPr>
            <w:tcW w:w="1170" w:type="dxa"/>
            <w:gridSpan w:val="2"/>
            <w:hideMark/>
          </w:tcPr>
          <w:p w:rsidR="00C34658" w:rsidRPr="00C822B4" w:rsidRDefault="00C34658" w:rsidP="00D55642">
            <w:pPr>
              <w:spacing w:before="0" w:line="240" w:lineRule="auto"/>
              <w:jc w:val="center"/>
              <w:rPr>
                <w:b/>
                <w:color w:val="000000"/>
                <w:lang w:val="en-US"/>
              </w:rPr>
            </w:pPr>
            <w:r w:rsidRPr="00C822B4">
              <w:rPr>
                <w:b/>
                <w:color w:val="000000"/>
                <w:lang w:val="en-US"/>
              </w:rPr>
              <w:t>1195.48</w:t>
            </w:r>
          </w:p>
        </w:tc>
        <w:tc>
          <w:tcPr>
            <w:tcW w:w="720" w:type="dxa"/>
            <w:hideMark/>
          </w:tcPr>
          <w:p w:rsidR="00C34658" w:rsidRPr="00C822B4" w:rsidRDefault="00C34658" w:rsidP="00D55642">
            <w:pPr>
              <w:spacing w:before="0" w:line="240" w:lineRule="auto"/>
              <w:jc w:val="center"/>
              <w:rPr>
                <w:b/>
                <w:color w:val="000000"/>
                <w:lang w:val="en-US"/>
              </w:rPr>
            </w:pPr>
            <w:r w:rsidRPr="00C822B4">
              <w:rPr>
                <w:b/>
                <w:color w:val="000000"/>
                <w:lang w:val="en-US"/>
              </w:rPr>
              <w:t>0.74</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88.00</w:t>
            </w:r>
          </w:p>
        </w:tc>
        <w:tc>
          <w:tcPr>
            <w:tcW w:w="810" w:type="dxa"/>
            <w:hideMark/>
          </w:tcPr>
          <w:p w:rsidR="00C34658" w:rsidRPr="00C822B4" w:rsidRDefault="00C34658" w:rsidP="00D55642">
            <w:pPr>
              <w:spacing w:before="0" w:line="240" w:lineRule="auto"/>
              <w:jc w:val="center"/>
              <w:rPr>
                <w:b/>
                <w:color w:val="000000"/>
                <w:lang w:val="en-US"/>
              </w:rPr>
            </w:pPr>
            <w:r w:rsidRPr="00C822B4">
              <w:rPr>
                <w:b/>
                <w:color w:val="000000"/>
                <w:lang w:val="en-US"/>
              </w:rPr>
              <w:t> </w:t>
            </w:r>
          </w:p>
        </w:tc>
        <w:tc>
          <w:tcPr>
            <w:tcW w:w="1276" w:type="dxa"/>
            <w:gridSpan w:val="2"/>
            <w:hideMark/>
          </w:tcPr>
          <w:p w:rsidR="00C34658" w:rsidRPr="00C822B4" w:rsidRDefault="00C34658" w:rsidP="00D55642">
            <w:pPr>
              <w:spacing w:before="0" w:line="240" w:lineRule="auto"/>
              <w:jc w:val="center"/>
              <w:rPr>
                <w:b/>
                <w:color w:val="000000"/>
                <w:lang w:val="en-US"/>
              </w:rPr>
            </w:pPr>
            <w:r w:rsidRPr="00C822B4">
              <w:rPr>
                <w:b/>
                <w:color w:val="000000"/>
                <w:lang w:val="en-US"/>
              </w:rPr>
              <w:t> </w:t>
            </w:r>
          </w:p>
        </w:tc>
        <w:tc>
          <w:tcPr>
            <w:tcW w:w="741" w:type="dxa"/>
            <w:hideMark/>
          </w:tcPr>
          <w:p w:rsidR="00C34658" w:rsidRPr="00C822B4" w:rsidRDefault="00C34658" w:rsidP="00D55642">
            <w:pPr>
              <w:spacing w:before="0" w:line="240" w:lineRule="auto"/>
              <w:jc w:val="center"/>
              <w:rPr>
                <w:b/>
                <w:color w:val="000000"/>
                <w:lang w:val="en-US"/>
              </w:rPr>
            </w:pPr>
            <w:r w:rsidRPr="00C822B4">
              <w:rPr>
                <w:b/>
                <w:color w:val="000000"/>
                <w:lang w:val="en-US"/>
              </w:rPr>
              <w:t>0.74</w:t>
            </w:r>
          </w:p>
        </w:tc>
        <w:tc>
          <w:tcPr>
            <w:tcW w:w="1223" w:type="dxa"/>
            <w:hideMark/>
          </w:tcPr>
          <w:p w:rsidR="00C34658" w:rsidRPr="00C822B4" w:rsidRDefault="00C34658" w:rsidP="00D55642">
            <w:pPr>
              <w:spacing w:before="0" w:line="240" w:lineRule="auto"/>
              <w:jc w:val="center"/>
              <w:rPr>
                <w:b/>
                <w:color w:val="000000"/>
                <w:lang w:val="en-US"/>
              </w:rPr>
            </w:pPr>
            <w:r w:rsidRPr="00C822B4">
              <w:rPr>
                <w:b/>
                <w:color w:val="000000"/>
                <w:lang w:val="en-US"/>
              </w:rPr>
              <w:t>88.00</w:t>
            </w:r>
          </w:p>
        </w:tc>
        <w:tc>
          <w:tcPr>
            <w:tcW w:w="963" w:type="dxa"/>
            <w:hideMark/>
          </w:tcPr>
          <w:p w:rsidR="00C34658" w:rsidRPr="00C822B4" w:rsidRDefault="00C34658" w:rsidP="00D55642">
            <w:pPr>
              <w:spacing w:before="0" w:line="240" w:lineRule="auto"/>
              <w:jc w:val="center"/>
              <w:rPr>
                <w:b/>
                <w:color w:val="000000"/>
                <w:lang w:val="en-US"/>
              </w:rPr>
            </w:pPr>
            <w:r w:rsidRPr="00C822B4">
              <w:rPr>
                <w:b/>
                <w:color w:val="000000"/>
                <w:lang w:val="en-US"/>
              </w:rPr>
              <w:t>0.74</w:t>
            </w:r>
          </w:p>
        </w:tc>
      </w:tr>
      <w:tr w:rsidR="00C34658" w:rsidRPr="00C822B4" w:rsidTr="00D55642">
        <w:trPr>
          <w:trHeight w:val="300"/>
        </w:trPr>
        <w:tc>
          <w:tcPr>
            <w:tcW w:w="1710" w:type="dxa"/>
            <w:hideMark/>
          </w:tcPr>
          <w:p w:rsidR="00C34658" w:rsidRPr="00C822B4" w:rsidRDefault="00C34658" w:rsidP="00D55642">
            <w:pPr>
              <w:spacing w:before="0" w:line="240" w:lineRule="auto"/>
              <w:jc w:val="left"/>
              <w:rPr>
                <w:b/>
                <w:bCs/>
                <w:lang w:val="en-US"/>
              </w:rPr>
            </w:pPr>
            <w:r w:rsidRPr="00C822B4">
              <w:rPr>
                <w:b/>
                <w:bCs/>
                <w:lang w:val="en-US"/>
              </w:rPr>
              <w:t>Sub-Total Own generation</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6387.90</w:t>
            </w:r>
          </w:p>
        </w:tc>
        <w:tc>
          <w:tcPr>
            <w:tcW w:w="1170"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39856.64</w:t>
            </w:r>
          </w:p>
        </w:tc>
        <w:tc>
          <w:tcPr>
            <w:tcW w:w="72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1.23</w:t>
            </w:r>
          </w:p>
        </w:tc>
        <w:tc>
          <w:tcPr>
            <w:tcW w:w="108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4919.64</w:t>
            </w:r>
          </w:p>
        </w:tc>
        <w:tc>
          <w:tcPr>
            <w:tcW w:w="81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2.05</w:t>
            </w:r>
          </w:p>
        </w:tc>
        <w:tc>
          <w:tcPr>
            <w:tcW w:w="1276"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8188.30</w:t>
            </w:r>
          </w:p>
        </w:tc>
        <w:tc>
          <w:tcPr>
            <w:tcW w:w="741"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3.29</w:t>
            </w:r>
          </w:p>
        </w:tc>
        <w:tc>
          <w:tcPr>
            <w:tcW w:w="122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13107.94</w:t>
            </w:r>
          </w:p>
        </w:tc>
        <w:tc>
          <w:tcPr>
            <w:tcW w:w="96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3.29</w:t>
            </w:r>
          </w:p>
        </w:tc>
      </w:tr>
      <w:tr w:rsidR="00C34658" w:rsidRPr="00C822B4" w:rsidTr="00D55642">
        <w:trPr>
          <w:trHeight w:val="300"/>
        </w:trPr>
        <w:tc>
          <w:tcPr>
            <w:tcW w:w="10773" w:type="dxa"/>
            <w:gridSpan w:val="12"/>
            <w:noWrap/>
            <w:hideMark/>
          </w:tcPr>
          <w:p w:rsidR="00C34658" w:rsidRPr="00C822B4" w:rsidRDefault="00C34658" w:rsidP="00D55642">
            <w:pPr>
              <w:spacing w:before="0" w:line="240" w:lineRule="auto"/>
              <w:jc w:val="center"/>
              <w:rPr>
                <w:b/>
                <w:bCs/>
                <w:lang w:val="en-US"/>
              </w:rPr>
            </w:pPr>
            <w:r w:rsidRPr="00C822B4">
              <w:rPr>
                <w:b/>
                <w:bCs/>
                <w:lang w:val="en-US"/>
              </w:rPr>
              <w:t>NTPC</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Anta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119.12</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626.10</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0.73</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45.95</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4.62</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289.39</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5.36</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335.34</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5.36</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Auriya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243.25</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1278.55</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0.55</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70.92</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5.03</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643.12</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5.58</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714.04</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5.58</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Dadri Thermal</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84.00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613.15</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0.86</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52.49</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4.13</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252.96</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4.98</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305.45</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4.98</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Dadri Gas</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271.49</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1426.97</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0.57</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81.06</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4.56</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650.58</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5.13</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731.63</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5.13</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Dadri EXT. St-II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147.64</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1055.29</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1.61</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170.36</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3.68</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388.27</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5.29</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558.63</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5.29</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Rihand-I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371.60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2697.16</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0.81</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219.65</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2.08</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560.15</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2.89</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779.80</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2.89</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Rihand-II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345.80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2790.71</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0.95</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263.86</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1.95</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542.99</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2.89</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806.85</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2.89</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Singrauli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846.00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6686.91</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0.54</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360.97</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1.33</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890.82</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1.87</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1251.79</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1.87</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Tanda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440.00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3255.30</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1.05</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342.56</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3.69</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1201.23</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4.74</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1543.79</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4.74</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Unchahar 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257.38</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2008.94</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0.86</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173.75</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2.93</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588.84</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3.80</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762.59</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3.80</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Unchahar 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152.12</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1165.85</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0.89</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104.27</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2.90</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338.28</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3.80</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442.56</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3.80</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Unchahar III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74.45</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576.97</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1.37</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79.07</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2.43</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139.95</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3.80</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219.02</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3.80</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Farakka TPS</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33.28</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201.74</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0.85</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17.25</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2.86</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57.66</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3.71</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74.90</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3.71</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Kahalgaon St-I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76.61</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551.63</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0.96</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52.74</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2.61</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144.04</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3.57</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196.78</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3.57</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KahalgaonPh-II ST-II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250.95</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1807.02</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1.22</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220.76</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2.35</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423.84</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3.57</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644.60</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3.57</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Koldam (Hydro) (COD 12-13)</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94.50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360.84</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1.56</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56.29</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2.41</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87.06</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3.97</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143.36</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3.97</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Rihand-III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375.42</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1979.78</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1.32</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261.38</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1.57</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311.02</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2.89</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572.40</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2.89</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b/>
                <w:lang w:val="en-US"/>
              </w:rPr>
            </w:pPr>
            <w:r w:rsidRPr="00C822B4">
              <w:rPr>
                <w:b/>
                <w:lang w:val="en-US"/>
              </w:rPr>
              <w:t>Total</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4183.61</w:t>
            </w:r>
          </w:p>
        </w:tc>
        <w:tc>
          <w:tcPr>
            <w:tcW w:w="1170"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29082.92</w:t>
            </w:r>
          </w:p>
        </w:tc>
        <w:tc>
          <w:tcPr>
            <w:tcW w:w="72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0.88</w:t>
            </w:r>
          </w:p>
        </w:tc>
        <w:tc>
          <w:tcPr>
            <w:tcW w:w="108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2573.32</w:t>
            </w:r>
          </w:p>
        </w:tc>
        <w:tc>
          <w:tcPr>
            <w:tcW w:w="81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2.58</w:t>
            </w:r>
          </w:p>
        </w:tc>
        <w:tc>
          <w:tcPr>
            <w:tcW w:w="1276"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7510.21</w:t>
            </w:r>
          </w:p>
        </w:tc>
        <w:tc>
          <w:tcPr>
            <w:tcW w:w="741"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3.47</w:t>
            </w:r>
          </w:p>
        </w:tc>
        <w:tc>
          <w:tcPr>
            <w:tcW w:w="122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10083.53</w:t>
            </w:r>
          </w:p>
        </w:tc>
        <w:tc>
          <w:tcPr>
            <w:tcW w:w="96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3.47</w:t>
            </w:r>
          </w:p>
        </w:tc>
      </w:tr>
      <w:tr w:rsidR="00C34658" w:rsidRPr="00C822B4" w:rsidTr="00D55642">
        <w:trPr>
          <w:trHeight w:val="300"/>
        </w:trPr>
        <w:tc>
          <w:tcPr>
            <w:tcW w:w="10773" w:type="dxa"/>
            <w:gridSpan w:val="12"/>
            <w:noWrap/>
            <w:hideMark/>
          </w:tcPr>
          <w:p w:rsidR="00C34658" w:rsidRPr="00C822B4" w:rsidRDefault="00C34658" w:rsidP="00D55642">
            <w:pPr>
              <w:spacing w:before="0" w:line="240" w:lineRule="auto"/>
              <w:jc w:val="center"/>
              <w:rPr>
                <w:b/>
                <w:bCs/>
                <w:lang w:val="en-US"/>
              </w:rPr>
            </w:pPr>
            <w:r w:rsidRPr="00C822B4">
              <w:rPr>
                <w:b/>
                <w:bCs/>
                <w:lang w:val="en-US"/>
              </w:rPr>
              <w:t>NHPC</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lastRenderedPageBreak/>
              <w:t>Chamera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109.46</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335.60</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1.08</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36.15</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1.08</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36.15</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2.15</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72.30</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2.15</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Chamera 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85.98</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391.66</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1.49</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58.46</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1.49</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58.46</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2.99</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116.91</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2.99</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Chamera III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61.92</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282.05</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1.81</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50.97</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1.86</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52.53</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3.67</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103.50</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3.67</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Dhauliganga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74.65</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281.18</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1.10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31.04</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1.27</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35.60</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2.37</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66.64</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2.37</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Salal I&amp;II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47.96</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252.05</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0.55</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13.91</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0.55</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13.91</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1.10</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27.82</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1.10</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Tanakpur</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21.33</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102.75</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1.48</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15.21</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1.48</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15.21</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2.96</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30.43</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2.96</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Uri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96.29</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496.78</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1.05</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51.95</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0.89</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44.42</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1.94</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96.38</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1.94</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Dulhasti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111.03</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515.50</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2.82</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145.50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2.30</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118.44</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5.12</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263.94</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5.12</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Sewa II (June/July -2010)</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34.99</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136.19</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1.89</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25.77</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1.81</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24.62</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3.70</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50.39</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3.70</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Uri-II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25.35</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110.65</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4.98</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55.11</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0.45</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4.98</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5.43</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60.08</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5.43</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0</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Parbati III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104.00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382.64</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1.41</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53.98</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3.74</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143.07</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5.15</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197.05</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5.15</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b/>
                <w:lang w:val="en-US"/>
              </w:rPr>
            </w:pPr>
            <w:r w:rsidRPr="00C822B4">
              <w:rPr>
                <w:b/>
                <w:lang w:val="en-US"/>
              </w:rPr>
              <w:t>Total</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772.95</w:t>
            </w:r>
          </w:p>
        </w:tc>
        <w:tc>
          <w:tcPr>
            <w:tcW w:w="1170"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3287.05</w:t>
            </w:r>
          </w:p>
        </w:tc>
        <w:tc>
          <w:tcPr>
            <w:tcW w:w="72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1.64</w:t>
            </w:r>
          </w:p>
        </w:tc>
        <w:tc>
          <w:tcPr>
            <w:tcW w:w="108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538.05</w:t>
            </w:r>
          </w:p>
        </w:tc>
        <w:tc>
          <w:tcPr>
            <w:tcW w:w="81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1.67</w:t>
            </w:r>
          </w:p>
        </w:tc>
        <w:tc>
          <w:tcPr>
            <w:tcW w:w="1276"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547.39</w:t>
            </w:r>
          </w:p>
        </w:tc>
        <w:tc>
          <w:tcPr>
            <w:tcW w:w="741"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3.30</w:t>
            </w:r>
          </w:p>
        </w:tc>
        <w:tc>
          <w:tcPr>
            <w:tcW w:w="122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1085.44</w:t>
            </w:r>
          </w:p>
        </w:tc>
        <w:tc>
          <w:tcPr>
            <w:tcW w:w="96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3.30</w:t>
            </w:r>
          </w:p>
        </w:tc>
      </w:tr>
      <w:tr w:rsidR="00C34658" w:rsidRPr="00C822B4" w:rsidTr="00D55642">
        <w:trPr>
          <w:trHeight w:val="300"/>
        </w:trPr>
        <w:tc>
          <w:tcPr>
            <w:tcW w:w="10773" w:type="dxa"/>
            <w:gridSpan w:val="12"/>
            <w:noWrap/>
            <w:hideMark/>
          </w:tcPr>
          <w:p w:rsidR="00C34658" w:rsidRPr="00C822B4" w:rsidRDefault="00C34658" w:rsidP="00D55642">
            <w:pPr>
              <w:spacing w:before="0" w:line="240" w:lineRule="auto"/>
              <w:jc w:val="center"/>
              <w:rPr>
                <w:b/>
                <w:bCs/>
                <w:lang w:val="en-US"/>
              </w:rPr>
            </w:pPr>
            <w:r w:rsidRPr="00C822B4">
              <w:rPr>
                <w:b/>
                <w:bCs/>
                <w:lang w:val="en-US"/>
              </w:rPr>
              <w:t>NPCIL</w:t>
            </w:r>
            <w:r w:rsidRPr="00C822B4">
              <w:rPr>
                <w:color w:val="000000"/>
                <w:lang w:val="en-US"/>
              </w:rPr>
              <w:t> </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NAPP</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166.14</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935.18</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2.59</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242.17</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2.59</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242.17</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2.59</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RAPP #3&amp;4</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79.67</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604.04</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3.08</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185.95</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3.08</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185.95</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3.08</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RAPP#5&amp;6</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115.06</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799.29</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3.67</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293.43</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3.67</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293.43</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3.67</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b/>
                <w:lang w:val="en-US"/>
              </w:rPr>
            </w:pPr>
            <w:r w:rsidRPr="00C822B4">
              <w:rPr>
                <w:b/>
                <w:lang w:val="en-US"/>
              </w:rPr>
              <w:t>Total</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360.87</w:t>
            </w:r>
          </w:p>
        </w:tc>
        <w:tc>
          <w:tcPr>
            <w:tcW w:w="1170"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2338.50</w:t>
            </w:r>
          </w:p>
        </w:tc>
        <w:tc>
          <w:tcPr>
            <w:tcW w:w="72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0.00</w:t>
            </w:r>
          </w:p>
        </w:tc>
        <w:tc>
          <w:tcPr>
            <w:tcW w:w="108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0.00</w:t>
            </w:r>
          </w:p>
        </w:tc>
        <w:tc>
          <w:tcPr>
            <w:tcW w:w="81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3.09</w:t>
            </w:r>
          </w:p>
        </w:tc>
        <w:tc>
          <w:tcPr>
            <w:tcW w:w="1276"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721.55</w:t>
            </w:r>
          </w:p>
        </w:tc>
        <w:tc>
          <w:tcPr>
            <w:tcW w:w="741"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3.09</w:t>
            </w:r>
          </w:p>
        </w:tc>
        <w:tc>
          <w:tcPr>
            <w:tcW w:w="122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721.55</w:t>
            </w:r>
          </w:p>
        </w:tc>
        <w:tc>
          <w:tcPr>
            <w:tcW w:w="96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3.09</w:t>
            </w:r>
          </w:p>
        </w:tc>
      </w:tr>
      <w:tr w:rsidR="00C34658" w:rsidRPr="00C822B4" w:rsidTr="00D55642">
        <w:trPr>
          <w:trHeight w:val="300"/>
        </w:trPr>
        <w:tc>
          <w:tcPr>
            <w:tcW w:w="10773" w:type="dxa"/>
            <w:gridSpan w:val="12"/>
            <w:noWrap/>
            <w:hideMark/>
          </w:tcPr>
          <w:p w:rsidR="00C34658" w:rsidRPr="00C822B4" w:rsidRDefault="00C34658" w:rsidP="00D55642">
            <w:pPr>
              <w:spacing w:before="0" w:line="240" w:lineRule="auto"/>
              <w:jc w:val="center"/>
              <w:rPr>
                <w:b/>
                <w:bCs/>
                <w:lang w:val="en-US"/>
              </w:rPr>
            </w:pPr>
            <w:r w:rsidRPr="00C822B4">
              <w:rPr>
                <w:b/>
                <w:bCs/>
                <w:lang w:val="en-US"/>
              </w:rPr>
              <w:t>IPPs / JVs</w:t>
            </w:r>
            <w:r w:rsidRPr="00C822B4">
              <w:rPr>
                <w:color w:val="000000"/>
                <w:lang w:val="en-US"/>
              </w:rPr>
              <w:t> </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NATHPA JHAKRI HPS</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287.10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1383.25</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1.60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221.43</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1.51</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208.85</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3.11</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430.28</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3.11</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TALA POWER</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44.98</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181.26</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2.22</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40.15</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2.22</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40.15</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2.22</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Koteshwar</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172.64</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568.94</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2.02</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114.76</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1.87</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106.53</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3.89</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221.29</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3.89</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Srinagar</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290.00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518.63</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2.44</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126.55</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2.44</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126.55</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4.88</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253.09</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4.88</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Sasan</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495.00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2081.38</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0.27</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55.81</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1.20</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248.87</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1.46</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304.68</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1.46</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Teesta St-III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2175.00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10186.13</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2.19</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2227.21</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1.52</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1552.96</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3.71</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3780.18</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3.71</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Karcham-Wangtoo</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200.00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157.68</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3.12</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49.20</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3.12</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49.20</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3.12</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VISHNUPRAYAG</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352.00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1622.83</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0.92</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149.01</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1.30</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211.74</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2.22</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360.75</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2.22</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TEHRI STAGE-I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418.00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1808.87</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1.88</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339.75</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3.56</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644.32</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5.44</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984.07</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5.44</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 xml:space="preserve">Rosa Power Project </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600.00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3945.94</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1.75</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689.24</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3.72</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1469.15</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5.47</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2158.39</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5.47</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Rosa Power Project</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600.00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3945.94</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1.75</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689.24</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3.75</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1481.46</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5.50</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2170.70</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5.50</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Bara</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1782.00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7395.39</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1.18</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873.91</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3.14</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2322.74</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4.32</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3196.66</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4.32</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 xml:space="preserve">Anpara 'C' </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1100.00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7015.01</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1.77</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1240.75</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2.58</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1809.31</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4.35</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3050.06</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4.35</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lastRenderedPageBreak/>
              <w:t>IGSTPP, Jhajhjhar</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50.55</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354.25</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1.61</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56.95</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4.36</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154.48</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5.97</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211.43</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5.97</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Bajaj Hindusthan</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450.00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2806.70</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2.25</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631.53</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4.57</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1281.43</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6.82</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1912.96</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6.82</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Lalitpur</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1782.00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10107.68</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1.88</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1900.24</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2.95</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2981.77</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4.83</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4882.01</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4.83</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b/>
                <w:lang w:val="en-US"/>
              </w:rPr>
            </w:pPr>
            <w:r w:rsidRPr="00C822B4">
              <w:rPr>
                <w:b/>
                <w:lang w:val="en-US"/>
              </w:rPr>
              <w:t>Total</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10799.27</w:t>
            </w:r>
          </w:p>
        </w:tc>
        <w:tc>
          <w:tcPr>
            <w:tcW w:w="1170"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54079.88</w:t>
            </w:r>
          </w:p>
        </w:tc>
        <w:tc>
          <w:tcPr>
            <w:tcW w:w="72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1.72</w:t>
            </w:r>
          </w:p>
        </w:tc>
        <w:tc>
          <w:tcPr>
            <w:tcW w:w="108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9316.40</w:t>
            </w:r>
          </w:p>
        </w:tc>
        <w:tc>
          <w:tcPr>
            <w:tcW w:w="81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2.72</w:t>
            </w:r>
          </w:p>
        </w:tc>
        <w:tc>
          <w:tcPr>
            <w:tcW w:w="1276"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14689.52</w:t>
            </w:r>
          </w:p>
        </w:tc>
        <w:tc>
          <w:tcPr>
            <w:tcW w:w="741"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4.44</w:t>
            </w:r>
          </w:p>
        </w:tc>
        <w:tc>
          <w:tcPr>
            <w:tcW w:w="122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24005.92</w:t>
            </w:r>
          </w:p>
        </w:tc>
        <w:tc>
          <w:tcPr>
            <w:tcW w:w="96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4.44</w:t>
            </w:r>
          </w:p>
        </w:tc>
      </w:tr>
      <w:tr w:rsidR="00C34658" w:rsidRPr="00C822B4" w:rsidTr="00D55642">
        <w:trPr>
          <w:trHeight w:val="300"/>
        </w:trPr>
        <w:tc>
          <w:tcPr>
            <w:tcW w:w="10773" w:type="dxa"/>
            <w:gridSpan w:val="12"/>
            <w:noWrap/>
            <w:hideMark/>
          </w:tcPr>
          <w:p w:rsidR="00C34658" w:rsidRPr="00C822B4" w:rsidRDefault="00C34658" w:rsidP="00D55642">
            <w:pPr>
              <w:spacing w:before="0" w:line="240" w:lineRule="auto"/>
              <w:jc w:val="center"/>
              <w:rPr>
                <w:b/>
                <w:bCs/>
                <w:lang w:val="en-US"/>
              </w:rPr>
            </w:pPr>
            <w:r w:rsidRPr="00C822B4">
              <w:rPr>
                <w:b/>
                <w:bCs/>
                <w:lang w:val="en-US"/>
              </w:rPr>
              <w:t>Co-Generation &amp; Other Sources</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Captive and Cogen</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2865.00</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4.79</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1373.60</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4.79</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1373.60</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4.79</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Solar Energy</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84.00</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10.76</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90.42</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10.76</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90.42</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10.76</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lang w:val="en-US"/>
              </w:rPr>
            </w:pPr>
            <w:r w:rsidRPr="00C822B4">
              <w:rPr>
                <w:lang w:val="en-US"/>
              </w:rPr>
              <w:t>NVVNL Coal Power</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351.62</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3.26</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114.46</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3.26</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114.46</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3.26</w:t>
            </w:r>
          </w:p>
        </w:tc>
      </w:tr>
      <w:tr w:rsidR="00C34658" w:rsidRPr="00C822B4" w:rsidTr="00D55642">
        <w:trPr>
          <w:trHeight w:val="300"/>
        </w:trPr>
        <w:tc>
          <w:tcPr>
            <w:tcW w:w="1710" w:type="dxa"/>
            <w:noWrap/>
            <w:hideMark/>
          </w:tcPr>
          <w:p w:rsidR="00C34658" w:rsidRPr="00C822B4" w:rsidRDefault="00C34658" w:rsidP="00D55642">
            <w:pPr>
              <w:spacing w:before="0" w:line="240" w:lineRule="auto"/>
              <w:jc w:val="left"/>
              <w:rPr>
                <w:b/>
                <w:bCs/>
                <w:lang w:val="en-US"/>
              </w:rPr>
            </w:pPr>
            <w:r w:rsidRPr="00C822B4">
              <w:rPr>
                <w:b/>
                <w:bCs/>
                <w:lang w:val="en-US"/>
              </w:rPr>
              <w:t>Total</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0.00</w:t>
            </w:r>
          </w:p>
        </w:tc>
        <w:tc>
          <w:tcPr>
            <w:tcW w:w="1170"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3300.62</w:t>
            </w:r>
          </w:p>
        </w:tc>
        <w:tc>
          <w:tcPr>
            <w:tcW w:w="72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0.00</w:t>
            </w:r>
          </w:p>
        </w:tc>
        <w:tc>
          <w:tcPr>
            <w:tcW w:w="108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0.00</w:t>
            </w:r>
          </w:p>
        </w:tc>
        <w:tc>
          <w:tcPr>
            <w:tcW w:w="81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4.78</w:t>
            </w:r>
          </w:p>
        </w:tc>
        <w:tc>
          <w:tcPr>
            <w:tcW w:w="1276"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1578.47</w:t>
            </w:r>
          </w:p>
        </w:tc>
        <w:tc>
          <w:tcPr>
            <w:tcW w:w="741"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4.78</w:t>
            </w:r>
          </w:p>
        </w:tc>
        <w:tc>
          <w:tcPr>
            <w:tcW w:w="122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1578.47</w:t>
            </w:r>
          </w:p>
        </w:tc>
        <w:tc>
          <w:tcPr>
            <w:tcW w:w="96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4.78</w:t>
            </w:r>
          </w:p>
        </w:tc>
      </w:tr>
      <w:tr w:rsidR="00C34658" w:rsidRPr="00C822B4" w:rsidTr="00D55642">
        <w:trPr>
          <w:trHeight w:val="600"/>
        </w:trPr>
        <w:tc>
          <w:tcPr>
            <w:tcW w:w="1710" w:type="dxa"/>
            <w:hideMark/>
          </w:tcPr>
          <w:p w:rsidR="00C34658" w:rsidRPr="00C822B4" w:rsidRDefault="00C34658" w:rsidP="00D55642">
            <w:pPr>
              <w:spacing w:before="0" w:line="240" w:lineRule="auto"/>
              <w:jc w:val="left"/>
              <w:rPr>
                <w:lang w:val="en-US"/>
              </w:rPr>
            </w:pPr>
            <w:r w:rsidRPr="00C822B4">
              <w:rPr>
                <w:lang w:val="en-US"/>
              </w:rPr>
              <w:t>Inter system exchange (Bilateral &amp; PXIL) / UI</w:t>
            </w:r>
          </w:p>
        </w:tc>
        <w:tc>
          <w:tcPr>
            <w:tcW w:w="1080" w:type="dxa"/>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170"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216.94</w:t>
            </w:r>
          </w:p>
        </w:tc>
        <w:tc>
          <w:tcPr>
            <w:tcW w:w="72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108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0.00</w:t>
            </w:r>
          </w:p>
        </w:tc>
        <w:tc>
          <w:tcPr>
            <w:tcW w:w="810"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5.30</w:t>
            </w:r>
          </w:p>
        </w:tc>
        <w:tc>
          <w:tcPr>
            <w:tcW w:w="1276" w:type="dxa"/>
            <w:gridSpan w:val="2"/>
            <w:noWrap/>
            <w:hideMark/>
          </w:tcPr>
          <w:p w:rsidR="00C34658" w:rsidRPr="00C822B4" w:rsidRDefault="00C34658" w:rsidP="00D55642">
            <w:pPr>
              <w:spacing w:before="0" w:line="240" w:lineRule="auto"/>
              <w:jc w:val="center"/>
              <w:rPr>
                <w:color w:val="000000"/>
                <w:lang w:val="en-US"/>
              </w:rPr>
            </w:pPr>
            <w:r w:rsidRPr="00C822B4">
              <w:rPr>
                <w:color w:val="000000"/>
                <w:lang w:val="en-US"/>
              </w:rPr>
              <w:t>114.98</w:t>
            </w:r>
          </w:p>
        </w:tc>
        <w:tc>
          <w:tcPr>
            <w:tcW w:w="741"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5.30</w:t>
            </w:r>
          </w:p>
        </w:tc>
        <w:tc>
          <w:tcPr>
            <w:tcW w:w="122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114.98</w:t>
            </w:r>
          </w:p>
        </w:tc>
        <w:tc>
          <w:tcPr>
            <w:tcW w:w="963" w:type="dxa"/>
            <w:noWrap/>
            <w:hideMark/>
          </w:tcPr>
          <w:p w:rsidR="00C34658" w:rsidRPr="00C822B4" w:rsidRDefault="00C34658" w:rsidP="00D55642">
            <w:pPr>
              <w:spacing w:before="0" w:line="240" w:lineRule="auto"/>
              <w:jc w:val="center"/>
              <w:rPr>
                <w:color w:val="000000"/>
                <w:lang w:val="en-US"/>
              </w:rPr>
            </w:pPr>
            <w:r w:rsidRPr="00C822B4">
              <w:rPr>
                <w:color w:val="000000"/>
                <w:lang w:val="en-US"/>
              </w:rPr>
              <w:t>5.30</w:t>
            </w:r>
          </w:p>
        </w:tc>
      </w:tr>
      <w:tr w:rsidR="00C34658" w:rsidRPr="00C822B4" w:rsidTr="00D55642">
        <w:trPr>
          <w:trHeight w:val="600"/>
        </w:trPr>
        <w:tc>
          <w:tcPr>
            <w:tcW w:w="1710" w:type="dxa"/>
            <w:hideMark/>
          </w:tcPr>
          <w:p w:rsidR="00C34658" w:rsidRPr="00C822B4" w:rsidRDefault="00C34658" w:rsidP="00D55642">
            <w:pPr>
              <w:spacing w:before="0" w:line="240" w:lineRule="auto"/>
              <w:jc w:val="left"/>
              <w:rPr>
                <w:b/>
                <w:bCs/>
                <w:lang w:val="en-US"/>
              </w:rPr>
            </w:pPr>
            <w:r w:rsidRPr="00C822B4">
              <w:rPr>
                <w:b/>
                <w:bCs/>
                <w:lang w:val="en-US"/>
              </w:rPr>
              <w:t>Grand Total of Power Purchase</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22504.60</w:t>
            </w:r>
          </w:p>
        </w:tc>
        <w:tc>
          <w:tcPr>
            <w:tcW w:w="1170"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132162.54</w:t>
            </w:r>
          </w:p>
        </w:tc>
        <w:tc>
          <w:tcPr>
            <w:tcW w:w="72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1.31</w:t>
            </w:r>
          </w:p>
        </w:tc>
        <w:tc>
          <w:tcPr>
            <w:tcW w:w="108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17347.42</w:t>
            </w:r>
          </w:p>
        </w:tc>
        <w:tc>
          <w:tcPr>
            <w:tcW w:w="81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2.52</w:t>
            </w:r>
          </w:p>
        </w:tc>
        <w:tc>
          <w:tcPr>
            <w:tcW w:w="1276"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33350.42</w:t>
            </w:r>
          </w:p>
        </w:tc>
        <w:tc>
          <w:tcPr>
            <w:tcW w:w="741"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3.84</w:t>
            </w:r>
          </w:p>
        </w:tc>
        <w:tc>
          <w:tcPr>
            <w:tcW w:w="122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50697.84</w:t>
            </w:r>
          </w:p>
        </w:tc>
        <w:tc>
          <w:tcPr>
            <w:tcW w:w="96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3.84</w:t>
            </w:r>
          </w:p>
        </w:tc>
      </w:tr>
      <w:tr w:rsidR="00C34658" w:rsidRPr="00C822B4" w:rsidTr="00D55642">
        <w:trPr>
          <w:trHeight w:val="900"/>
        </w:trPr>
        <w:tc>
          <w:tcPr>
            <w:tcW w:w="1710" w:type="dxa"/>
            <w:hideMark/>
          </w:tcPr>
          <w:p w:rsidR="00C34658" w:rsidRPr="00C822B4" w:rsidRDefault="00C34658" w:rsidP="00D55642">
            <w:pPr>
              <w:spacing w:before="0" w:line="240" w:lineRule="auto"/>
              <w:jc w:val="left"/>
              <w:rPr>
                <w:b/>
                <w:bCs/>
                <w:lang w:val="en-US"/>
              </w:rPr>
            </w:pPr>
            <w:r w:rsidRPr="00C822B4">
              <w:rPr>
                <w:b/>
                <w:bCs/>
                <w:lang w:val="en-US"/>
              </w:rPr>
              <w:t>Grand Total of Power Purchase (after applying merit order)</w:t>
            </w:r>
          </w:p>
        </w:tc>
        <w:tc>
          <w:tcPr>
            <w:tcW w:w="1080" w:type="dxa"/>
            <w:hideMark/>
          </w:tcPr>
          <w:p w:rsidR="00C34658" w:rsidRPr="00C822B4" w:rsidRDefault="00C34658" w:rsidP="00D55642">
            <w:pPr>
              <w:spacing w:before="0" w:line="240" w:lineRule="auto"/>
              <w:jc w:val="center"/>
              <w:rPr>
                <w:b/>
                <w:color w:val="000000"/>
                <w:lang w:val="en-US"/>
              </w:rPr>
            </w:pPr>
            <w:r w:rsidRPr="00C822B4">
              <w:rPr>
                <w:b/>
                <w:color w:val="000000"/>
                <w:lang w:val="en-US"/>
              </w:rPr>
              <w:t>22504.60</w:t>
            </w:r>
          </w:p>
        </w:tc>
        <w:tc>
          <w:tcPr>
            <w:tcW w:w="1170"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127414.15</w:t>
            </w:r>
          </w:p>
        </w:tc>
        <w:tc>
          <w:tcPr>
            <w:tcW w:w="72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1.36</w:t>
            </w:r>
          </w:p>
        </w:tc>
        <w:tc>
          <w:tcPr>
            <w:tcW w:w="108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17347.42</w:t>
            </w:r>
          </w:p>
        </w:tc>
        <w:tc>
          <w:tcPr>
            <w:tcW w:w="810"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2.44</w:t>
            </w:r>
          </w:p>
        </w:tc>
        <w:tc>
          <w:tcPr>
            <w:tcW w:w="1276" w:type="dxa"/>
            <w:gridSpan w:val="2"/>
            <w:noWrap/>
            <w:hideMark/>
          </w:tcPr>
          <w:p w:rsidR="00C34658" w:rsidRPr="00C822B4" w:rsidRDefault="00C34658" w:rsidP="00D55642">
            <w:pPr>
              <w:spacing w:before="0" w:line="240" w:lineRule="auto"/>
              <w:jc w:val="center"/>
              <w:rPr>
                <w:b/>
                <w:color w:val="000000"/>
                <w:lang w:val="en-US"/>
              </w:rPr>
            </w:pPr>
            <w:r w:rsidRPr="00C822B4">
              <w:rPr>
                <w:b/>
                <w:color w:val="000000"/>
                <w:lang w:val="en-US"/>
              </w:rPr>
              <w:t>31103.64</w:t>
            </w:r>
          </w:p>
        </w:tc>
        <w:tc>
          <w:tcPr>
            <w:tcW w:w="741"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3.80</w:t>
            </w:r>
          </w:p>
        </w:tc>
        <w:tc>
          <w:tcPr>
            <w:tcW w:w="122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48451.06</w:t>
            </w:r>
          </w:p>
        </w:tc>
        <w:tc>
          <w:tcPr>
            <w:tcW w:w="963" w:type="dxa"/>
            <w:noWrap/>
            <w:hideMark/>
          </w:tcPr>
          <w:p w:rsidR="00C34658" w:rsidRPr="00C822B4" w:rsidRDefault="00C34658" w:rsidP="00D55642">
            <w:pPr>
              <w:spacing w:before="0" w:line="240" w:lineRule="auto"/>
              <w:jc w:val="center"/>
              <w:rPr>
                <w:b/>
                <w:color w:val="000000"/>
                <w:lang w:val="en-US"/>
              </w:rPr>
            </w:pPr>
            <w:r w:rsidRPr="00C822B4">
              <w:rPr>
                <w:b/>
                <w:color w:val="000000"/>
                <w:lang w:val="en-US"/>
              </w:rPr>
              <w:t>3.80</w:t>
            </w:r>
          </w:p>
        </w:tc>
      </w:tr>
    </w:tbl>
    <w:p w:rsidR="00C34658" w:rsidRDefault="00C34658" w:rsidP="00C34658">
      <w:pPr>
        <w:spacing w:before="0"/>
      </w:pPr>
    </w:p>
    <w:p w:rsidR="00C34658" w:rsidRPr="00C60AD1" w:rsidRDefault="00C34658" w:rsidP="00C34658">
      <w:pPr>
        <w:pStyle w:val="Heading2"/>
        <w:numPr>
          <w:ilvl w:val="1"/>
          <w:numId w:val="16"/>
        </w:numPr>
      </w:pPr>
      <w:bookmarkStart w:id="754" w:name="_Toc453268701"/>
      <w:bookmarkStart w:id="755" w:name="_Toc453271597"/>
      <w:bookmarkStart w:id="756" w:name="_Toc325475524"/>
      <w:bookmarkStart w:id="757" w:name="_Toc356322594"/>
      <w:bookmarkStart w:id="758" w:name="_Toc357720875"/>
      <w:bookmarkStart w:id="759" w:name="_Toc396573834"/>
      <w:bookmarkStart w:id="760" w:name="_Toc399623732"/>
      <w:bookmarkStart w:id="761" w:name="_Toc453367611"/>
      <w:bookmarkStart w:id="762" w:name="_Toc457603948"/>
      <w:bookmarkEnd w:id="754"/>
      <w:bookmarkEnd w:id="755"/>
      <w:r w:rsidRPr="00C60AD1">
        <w:t>APPROVED MERIT ORDER</w:t>
      </w:r>
      <w:bookmarkEnd w:id="756"/>
      <w:bookmarkEnd w:id="757"/>
      <w:r w:rsidRPr="00C60AD1">
        <w:t xml:space="preserve"> DISPATCH</w:t>
      </w:r>
      <w:bookmarkEnd w:id="758"/>
      <w:bookmarkEnd w:id="759"/>
      <w:bookmarkEnd w:id="760"/>
      <w:bookmarkEnd w:id="761"/>
      <w:bookmarkEnd w:id="762"/>
    </w:p>
    <w:p w:rsidR="00D5771F" w:rsidRDefault="00C34658">
      <w:pPr>
        <w:pStyle w:val="Heading3"/>
        <w:tabs>
          <w:tab w:val="clear" w:pos="720"/>
        </w:tabs>
        <w:spacing w:after="240"/>
        <w:ind w:left="993" w:hanging="993"/>
      </w:pPr>
      <w:bookmarkStart w:id="763" w:name="_Toc357349071"/>
      <w:bookmarkStart w:id="764" w:name="_Toc357356124"/>
      <w:r w:rsidRPr="00C60AD1">
        <w:t>The Merit Order Dispatch as approved by the Commission after evaluating the power purchase cost is given in the Table below:</w:t>
      </w:r>
      <w:bookmarkEnd w:id="763"/>
      <w:bookmarkEnd w:id="764"/>
    </w:p>
    <w:p w:rsidR="00C34658" w:rsidRPr="00C60AD1" w:rsidRDefault="00C34658" w:rsidP="00C34658">
      <w:pPr>
        <w:spacing w:before="0"/>
        <w:jc w:val="center"/>
        <w:rPr>
          <w:rFonts w:cstheme="minorHAnsi"/>
          <w:b/>
        </w:rPr>
      </w:pPr>
      <w:bookmarkStart w:id="765" w:name="_Ref399623209"/>
      <w:bookmarkStart w:id="766" w:name="_Ref394754459"/>
      <w:bookmarkStart w:id="767" w:name="_Toc325475685"/>
      <w:bookmarkStart w:id="768" w:name="_Toc338310700"/>
      <w:bookmarkStart w:id="769" w:name="_Toc338419530"/>
      <w:bookmarkStart w:id="770" w:name="_Toc357721123"/>
      <w:bookmarkStart w:id="771" w:name="_Toc395657964"/>
      <w:bookmarkStart w:id="772" w:name="_Toc396574015"/>
      <w:bookmarkStart w:id="773" w:name="_Toc399624116"/>
      <w:bookmarkStart w:id="774" w:name="_Toc453367693"/>
      <w:bookmarkStart w:id="775" w:name="_Toc457604064"/>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48</w:t>
      </w:r>
      <w:r w:rsidR="009741CA" w:rsidRPr="00C60AD1">
        <w:rPr>
          <w:rFonts w:cs="Calibri"/>
          <w:b/>
          <w:sz w:val="22"/>
          <w:szCs w:val="22"/>
          <w:lang w:val="en-US"/>
        </w:rPr>
        <w:fldChar w:fldCharType="end"/>
      </w:r>
      <w:bookmarkEnd w:id="765"/>
      <w:r w:rsidRPr="00C60AD1">
        <w:rPr>
          <w:rFonts w:cs="Calibri"/>
          <w:b/>
          <w:sz w:val="22"/>
          <w:szCs w:val="22"/>
          <w:lang w:val="en-US"/>
        </w:rPr>
        <w:t>:</w:t>
      </w:r>
      <w:bookmarkEnd w:id="766"/>
      <w:r w:rsidRPr="00C60AD1">
        <w:rPr>
          <w:rFonts w:cs="Calibri"/>
          <w:b/>
          <w:sz w:val="22"/>
          <w:szCs w:val="22"/>
          <w:lang w:val="en-US"/>
        </w:rPr>
        <w:t xml:space="preserve"> APPROVED MERIT ORDER DISPATCH FOR FY </w:t>
      </w:r>
      <w:bookmarkEnd w:id="767"/>
      <w:bookmarkEnd w:id="768"/>
      <w:bookmarkEnd w:id="769"/>
      <w:bookmarkEnd w:id="770"/>
      <w:bookmarkEnd w:id="771"/>
      <w:bookmarkEnd w:id="772"/>
      <w:bookmarkEnd w:id="773"/>
      <w:r>
        <w:rPr>
          <w:rFonts w:cs="Calibri"/>
          <w:b/>
          <w:sz w:val="22"/>
          <w:szCs w:val="22"/>
          <w:lang w:val="en-US"/>
        </w:rPr>
        <w:t>2016-17</w:t>
      </w:r>
      <w:bookmarkEnd w:id="774"/>
      <w:bookmarkEnd w:id="775"/>
    </w:p>
    <w:tbl>
      <w:tblPr>
        <w:tblW w:w="8782" w:type="dxa"/>
        <w:jc w:val="center"/>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66"/>
        <w:gridCol w:w="2292"/>
        <w:gridCol w:w="3200"/>
        <w:gridCol w:w="1185"/>
        <w:gridCol w:w="1339"/>
      </w:tblGrid>
      <w:tr w:rsidR="00C34658" w:rsidRPr="001426CD" w:rsidTr="00AA3DF1">
        <w:trPr>
          <w:trHeight w:val="656"/>
          <w:tblHeader/>
          <w:jc w:val="center"/>
        </w:trPr>
        <w:tc>
          <w:tcPr>
            <w:tcW w:w="766" w:type="dxa"/>
            <w:shd w:val="clear" w:color="000000" w:fill="DBE5F1"/>
            <w:hideMark/>
          </w:tcPr>
          <w:p w:rsidR="00337C98" w:rsidRDefault="00C34658" w:rsidP="00337C98">
            <w:pPr>
              <w:spacing w:before="0" w:line="240" w:lineRule="auto"/>
              <w:jc w:val="center"/>
              <w:rPr>
                <w:rFonts w:asciiTheme="minorHAnsi" w:hAnsiTheme="minorHAnsi"/>
                <w:b/>
                <w:sz w:val="22"/>
                <w:szCs w:val="22"/>
                <w:lang w:val="en-US"/>
              </w:rPr>
            </w:pPr>
            <w:r w:rsidRPr="00DB21D8">
              <w:rPr>
                <w:rFonts w:asciiTheme="minorHAnsi" w:hAnsiTheme="minorHAnsi"/>
                <w:b/>
                <w:sz w:val="22"/>
                <w:szCs w:val="22"/>
                <w:lang w:val="en-US"/>
              </w:rPr>
              <w:t>Rank</w:t>
            </w:r>
          </w:p>
        </w:tc>
        <w:tc>
          <w:tcPr>
            <w:tcW w:w="2292" w:type="dxa"/>
            <w:shd w:val="clear" w:color="000000" w:fill="DBE5F1"/>
            <w:hideMark/>
          </w:tcPr>
          <w:p w:rsidR="00337C98" w:rsidRDefault="00C34658" w:rsidP="00337C98">
            <w:pPr>
              <w:spacing w:before="0" w:line="240" w:lineRule="auto"/>
              <w:jc w:val="center"/>
              <w:rPr>
                <w:rFonts w:asciiTheme="minorHAnsi" w:hAnsiTheme="minorHAnsi"/>
                <w:b/>
                <w:sz w:val="22"/>
                <w:szCs w:val="22"/>
                <w:lang w:val="en-US"/>
              </w:rPr>
            </w:pPr>
            <w:r w:rsidRPr="00DB21D8">
              <w:rPr>
                <w:rFonts w:asciiTheme="minorHAnsi" w:hAnsiTheme="minorHAnsi"/>
                <w:b/>
                <w:sz w:val="22"/>
                <w:szCs w:val="22"/>
                <w:lang w:val="en-US"/>
              </w:rPr>
              <w:t>Power  Station</w:t>
            </w:r>
          </w:p>
        </w:tc>
        <w:tc>
          <w:tcPr>
            <w:tcW w:w="3200" w:type="dxa"/>
            <w:shd w:val="clear" w:color="000000" w:fill="DBE5F1"/>
            <w:hideMark/>
          </w:tcPr>
          <w:p w:rsidR="00337C98" w:rsidRDefault="00C34658" w:rsidP="00337C98">
            <w:pPr>
              <w:spacing w:before="0" w:line="240" w:lineRule="auto"/>
              <w:jc w:val="center"/>
              <w:rPr>
                <w:rFonts w:asciiTheme="minorHAnsi" w:hAnsiTheme="minorHAnsi"/>
                <w:b/>
                <w:sz w:val="22"/>
                <w:szCs w:val="22"/>
                <w:lang w:val="en-US"/>
              </w:rPr>
            </w:pPr>
            <w:r w:rsidRPr="00DB21D8">
              <w:rPr>
                <w:rFonts w:asciiTheme="minorHAnsi" w:hAnsiTheme="minorHAnsi"/>
                <w:b/>
                <w:sz w:val="22"/>
                <w:szCs w:val="22"/>
                <w:lang w:val="en-US"/>
              </w:rPr>
              <w:t>Type</w:t>
            </w:r>
          </w:p>
        </w:tc>
        <w:tc>
          <w:tcPr>
            <w:tcW w:w="1185" w:type="dxa"/>
            <w:shd w:val="clear" w:color="000000" w:fill="DBE5F1"/>
            <w:hideMark/>
          </w:tcPr>
          <w:p w:rsidR="00337C98" w:rsidRDefault="00C34658" w:rsidP="00337C98">
            <w:pPr>
              <w:spacing w:before="0" w:line="240" w:lineRule="auto"/>
              <w:jc w:val="center"/>
              <w:rPr>
                <w:rFonts w:asciiTheme="minorHAnsi" w:hAnsiTheme="minorHAnsi"/>
                <w:b/>
                <w:sz w:val="22"/>
                <w:szCs w:val="22"/>
                <w:lang w:val="en-US"/>
              </w:rPr>
            </w:pPr>
            <w:r w:rsidRPr="00DB21D8">
              <w:rPr>
                <w:rFonts w:asciiTheme="minorHAnsi" w:hAnsiTheme="minorHAnsi"/>
                <w:b/>
                <w:sz w:val="22"/>
                <w:szCs w:val="22"/>
                <w:lang w:val="en-US"/>
              </w:rPr>
              <w:t>Dispatch Mode</w:t>
            </w:r>
          </w:p>
        </w:tc>
        <w:tc>
          <w:tcPr>
            <w:tcW w:w="1339" w:type="dxa"/>
            <w:shd w:val="clear" w:color="000000" w:fill="DBE5F1"/>
            <w:hideMark/>
          </w:tcPr>
          <w:p w:rsidR="00337C98" w:rsidRDefault="00C34658" w:rsidP="00337C98">
            <w:pPr>
              <w:spacing w:before="0" w:line="240" w:lineRule="auto"/>
              <w:jc w:val="center"/>
              <w:rPr>
                <w:rFonts w:asciiTheme="minorHAnsi" w:hAnsiTheme="minorHAnsi"/>
                <w:b/>
                <w:sz w:val="22"/>
                <w:szCs w:val="22"/>
                <w:lang w:val="en-US"/>
              </w:rPr>
            </w:pPr>
            <w:r w:rsidRPr="00DB21D8">
              <w:rPr>
                <w:rFonts w:asciiTheme="minorHAnsi" w:hAnsiTheme="minorHAnsi"/>
                <w:b/>
                <w:sz w:val="22"/>
                <w:szCs w:val="22"/>
                <w:lang w:val="en-US"/>
              </w:rPr>
              <w:t>Variable Charge (Rs / kWh)</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Rihand</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UPJVNL-Hydro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0.00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Obra (Hydel)</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UPJVNL-Hydro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0.00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Matatila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UPJVNL-Hydro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0.00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4</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Khara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UPJVNL-Hydro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0.00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Salal I&amp;II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0.55</w:t>
            </w:r>
          </w:p>
        </w:tc>
      </w:tr>
      <w:tr w:rsidR="00C34658" w:rsidRPr="001426CD" w:rsidTr="00D55642">
        <w:trPr>
          <w:trHeight w:val="300"/>
          <w:jc w:val="center"/>
        </w:trPr>
        <w:tc>
          <w:tcPr>
            <w:tcW w:w="766" w:type="dxa"/>
            <w:shd w:val="clear" w:color="000000" w:fill="FFFFFF"/>
            <w:vAlign w:val="center"/>
            <w:hideMark/>
          </w:tcPr>
          <w:p w:rsidR="00C34658" w:rsidRDefault="00C34658" w:rsidP="00D55642">
            <w:pPr>
              <w:spacing w:before="0" w:line="240" w:lineRule="auto"/>
              <w:jc w:val="center"/>
              <w:rPr>
                <w:rFonts w:asciiTheme="minorHAnsi" w:hAnsiTheme="minorHAnsi"/>
                <w:sz w:val="22"/>
                <w:szCs w:val="22"/>
                <w:lang w:val="en-US"/>
              </w:rPr>
            </w:pPr>
            <w:r w:rsidRPr="00DB21D8">
              <w:rPr>
                <w:rFonts w:asciiTheme="minorHAnsi" w:hAnsiTheme="minorHAnsi"/>
                <w:sz w:val="22"/>
                <w:szCs w:val="22"/>
                <w:lang w:val="en-US"/>
              </w:rPr>
              <w:t>6</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Uri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0.89</w:t>
            </w:r>
          </w:p>
        </w:tc>
      </w:tr>
      <w:tr w:rsidR="00C34658" w:rsidRPr="001426CD" w:rsidTr="00D55642">
        <w:trPr>
          <w:trHeight w:val="300"/>
          <w:jc w:val="center"/>
        </w:trPr>
        <w:tc>
          <w:tcPr>
            <w:tcW w:w="766" w:type="dxa"/>
            <w:shd w:val="clear" w:color="000000" w:fill="FFFFFF"/>
            <w:vAlign w:val="center"/>
            <w:hideMark/>
          </w:tcPr>
          <w:p w:rsidR="00C34658" w:rsidRDefault="00C34658" w:rsidP="00D55642">
            <w:pPr>
              <w:spacing w:before="0" w:line="240" w:lineRule="auto"/>
              <w:jc w:val="center"/>
              <w:rPr>
                <w:rFonts w:asciiTheme="minorHAnsi" w:hAnsiTheme="minorHAnsi"/>
                <w:sz w:val="22"/>
                <w:szCs w:val="22"/>
                <w:lang w:val="en-US"/>
              </w:rPr>
            </w:pPr>
            <w:r w:rsidRPr="00DB21D8">
              <w:rPr>
                <w:rFonts w:asciiTheme="minorHAnsi" w:hAnsiTheme="minorHAnsi"/>
                <w:sz w:val="22"/>
                <w:szCs w:val="22"/>
                <w:lang w:val="en-US"/>
              </w:rPr>
              <w:lastRenderedPageBreak/>
              <w:t>7</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Chamera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1.08</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8</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TALA POWER</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2.22</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9</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VISHNUPRAYAG</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1.30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10</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U.G.C.Power Stations</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UPJVNL-Hydro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0.00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11</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Dhauliganga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1.27</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12</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Belka&amp;Babail</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UPJVNL-Hydro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0.00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13</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NAPP</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NPCIL-Nuclear</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2.59</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14</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Sheetla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UPJVNL-Hydro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0.00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15</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Tanakpur</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1.48</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16</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Chamera 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1.49</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17</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RAPP #3&amp;4</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NPCIL-Nuclear</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3.08</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18</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NATHPA JHAKRI HPS</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1.51</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19</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Karcham-Wangtoo</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3.12</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20</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Chamera III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1.86</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21</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RAPP#5&amp;6</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NPCIL-Nuclear</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3.67</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22</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Sewa II (June/July -2010)</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1.81</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23</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Koldam (Hydro)</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2.41</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24</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Captive and Cogen</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Captive &amp;Cogen</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4.79</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25</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Srinagar</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2.44</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26</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Dulhasti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2.30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27</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Parbati III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3.74</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28</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Uri-II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NHPC-Hydro</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0.45</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29</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Tehri  Stage-I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3.56</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30</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Solar Energy</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IPP/JV/Others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Must Run</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10.76</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31</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Sasan</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1.20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32</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Singrauli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1.33</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33</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Anpara D</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1.44</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34</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Obra B</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1.52</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35</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Teesta St-III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1.52</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36</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Rihand-III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1.57</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37</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 xml:space="preserve">Obra A </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1.60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38</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Anpara B</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1.62</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39</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Anpara 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1.87</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40</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Koteshwar</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1.87</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41</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Rihand-II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1.95</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42</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Rihand-I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2.08</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43</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KahalgaonPh-II ST-II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2.35</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lastRenderedPageBreak/>
              <w:t>44</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Unchahar III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2.43</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45</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 xml:space="preserve">Anpara 'C' </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2.58</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46</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Kahalgaon St-I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2.61</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47</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Harduaganj Extension(2*250)</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2.67</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48</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Farakka TPS</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2.86</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49</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Unchahar 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2.90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50</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Unchahar 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2.93</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51</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Lalitpur</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2.95</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52</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Bara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3.14</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53</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Parichha Extension</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3.21</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54</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Parichha Extension St.II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3.21</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55</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NVVNL Coal Power</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IPP/JV/Others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3.26</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56</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Panki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3.45</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57</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Harduaganj</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3.47</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58</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Dadri EXT. St-II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3.68</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59</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Tanda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3.69</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60</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 xml:space="preserve">Rosa Power Project </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3.72</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61</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Rosa Power Project</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3.75</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62</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Parichha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UPRVUNL-Thermal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3.90</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63</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Dadri Thermal</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4.13</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64</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IGSTPP, Jhajhjhar</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4.36</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65</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Dadri Gas</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4.56</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66</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Bajaj Hindusthan</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sz w:val="22"/>
                <w:szCs w:val="22"/>
              </w:rPr>
              <w:t>IPP/JV/Bilateral/Others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4.57</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67</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Anta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4.62</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68</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Auriya</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NTPC-Thermal</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5.03</w:t>
            </w:r>
          </w:p>
        </w:tc>
      </w:tr>
      <w:tr w:rsidR="00C34658" w:rsidRPr="001426CD" w:rsidTr="00D55642">
        <w:trPr>
          <w:trHeight w:val="300"/>
          <w:jc w:val="center"/>
        </w:trPr>
        <w:tc>
          <w:tcPr>
            <w:tcW w:w="766"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lang w:val="en-US"/>
              </w:rPr>
              <w:t>69</w:t>
            </w:r>
          </w:p>
        </w:tc>
        <w:tc>
          <w:tcPr>
            <w:tcW w:w="2292"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Inter system exchange (Bilateral &amp; PXIL) / UI</w:t>
            </w:r>
          </w:p>
        </w:tc>
        <w:tc>
          <w:tcPr>
            <w:tcW w:w="3200"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rPr>
              <w:t>IPP/JV/Others</w:t>
            </w:r>
          </w:p>
        </w:tc>
        <w:tc>
          <w:tcPr>
            <w:tcW w:w="1185" w:type="dxa"/>
            <w:shd w:val="clear" w:color="auto" w:fill="auto"/>
            <w:noWrap/>
            <w:vAlign w:val="center"/>
            <w:hideMark/>
          </w:tcPr>
          <w:p w:rsidR="00C34658" w:rsidRDefault="00C34658" w:rsidP="00D55642">
            <w:pPr>
              <w:spacing w:before="0" w:line="240" w:lineRule="auto"/>
              <w:rPr>
                <w:rFonts w:asciiTheme="minorHAnsi" w:hAnsiTheme="minorHAnsi"/>
                <w:color w:val="000000"/>
                <w:sz w:val="22"/>
                <w:szCs w:val="22"/>
                <w:lang w:val="en-US"/>
              </w:rPr>
            </w:pPr>
            <w:r w:rsidRPr="00DB21D8">
              <w:rPr>
                <w:rFonts w:asciiTheme="minorHAnsi" w:hAnsiTheme="minorHAnsi"/>
                <w:color w:val="000000"/>
                <w:sz w:val="22"/>
                <w:szCs w:val="22"/>
                <w:lang w:val="en-US"/>
              </w:rPr>
              <w:t>Merit</w:t>
            </w:r>
          </w:p>
        </w:tc>
        <w:tc>
          <w:tcPr>
            <w:tcW w:w="1339" w:type="dxa"/>
            <w:shd w:val="clear" w:color="auto" w:fill="auto"/>
            <w:noWrap/>
            <w:vAlign w:val="center"/>
            <w:hideMark/>
          </w:tcPr>
          <w:p w:rsidR="00C34658" w:rsidRDefault="00C34658" w:rsidP="00D55642">
            <w:pPr>
              <w:spacing w:before="0" w:line="240" w:lineRule="auto"/>
              <w:jc w:val="center"/>
              <w:rPr>
                <w:rFonts w:asciiTheme="minorHAnsi" w:hAnsiTheme="minorHAnsi"/>
                <w:color w:val="000000"/>
                <w:sz w:val="22"/>
                <w:szCs w:val="22"/>
                <w:lang w:val="en-US"/>
              </w:rPr>
            </w:pPr>
            <w:r w:rsidRPr="00DB21D8">
              <w:rPr>
                <w:rFonts w:asciiTheme="minorHAnsi" w:hAnsiTheme="minorHAnsi"/>
                <w:color w:val="000000"/>
                <w:sz w:val="22"/>
                <w:szCs w:val="22"/>
              </w:rPr>
              <w:t>5.30</w:t>
            </w:r>
          </w:p>
        </w:tc>
      </w:tr>
    </w:tbl>
    <w:p w:rsidR="00C34658" w:rsidRDefault="00C34658" w:rsidP="00C34658">
      <w:pPr>
        <w:spacing w:before="0" w:line="240" w:lineRule="auto"/>
      </w:pPr>
    </w:p>
    <w:p w:rsidR="00337C98" w:rsidRPr="00805D0A" w:rsidRDefault="00337C98" w:rsidP="00337C98">
      <w:pPr>
        <w:spacing w:before="0"/>
        <w:contextualSpacing/>
        <w:rPr>
          <w:b/>
        </w:rPr>
      </w:pPr>
      <w:r w:rsidRPr="00805D0A">
        <w:rPr>
          <w:b/>
        </w:rPr>
        <w:t>The Commission directs the Distribution Licensee to procure power to meet demand on real time basis strictly following the merit order dispatch principles. The Distribution Licensee should also take into consideration the prevailing rates on the Energy Exchanges while procuring the power and should try to minimize the cost of power purchase as much as possible. It has been provided, that the power from short term sources should be procured at cheapest price and in any case, it should not be more than Rs. 5.04/ kWh taking into consideration the availability of power at lower prices in the market.</w:t>
      </w:r>
    </w:p>
    <w:p w:rsidR="00337C98" w:rsidRDefault="00337C98" w:rsidP="00337C98">
      <w:pPr>
        <w:rPr>
          <w:b/>
        </w:rPr>
      </w:pPr>
      <w:r w:rsidRPr="00805D0A">
        <w:rPr>
          <w:b/>
        </w:rPr>
        <w:lastRenderedPageBreak/>
        <w:t xml:space="preserve"> </w:t>
      </w:r>
      <w:r w:rsidR="00991E4E" w:rsidRPr="00805D0A">
        <w:rPr>
          <w:b/>
        </w:rPr>
        <w:t>T</w:t>
      </w:r>
      <w:r w:rsidRPr="00805D0A">
        <w:rPr>
          <w:b/>
        </w:rPr>
        <w:t>he Commission has been directing the Licensees in various proceeding to take advantage of the prevailing cheaper short term power based on the availability. Further, in its Order dated June 9, 2016 in the matter of Suo-Moto proceeding regarding purchase of power from energy exchange has directed the Licensees to follow the philosophy of daily scheduling. Also, the Commission in the matter of Petition No. 1070 / 2015 has passed various orders (dt. June 21, 2016 etc.) regarding the merit order dispatch. The Licensees are hereby directed that they must strictly comply with the same in procuring the power.</w:t>
      </w:r>
    </w:p>
    <w:p w:rsidR="00D36876" w:rsidRDefault="00D36876" w:rsidP="00337C98">
      <w:pPr>
        <w:rPr>
          <w:b/>
        </w:rPr>
      </w:pPr>
    </w:p>
    <w:p w:rsidR="006C63AF" w:rsidRDefault="00C34658" w:rsidP="006C63AF">
      <w:pPr>
        <w:pStyle w:val="Heading2"/>
        <w:numPr>
          <w:ilvl w:val="1"/>
          <w:numId w:val="16"/>
        </w:numPr>
        <w:spacing w:before="0"/>
      </w:pPr>
      <w:bookmarkStart w:id="776" w:name="_Toc453367612"/>
      <w:bookmarkStart w:id="777" w:name="_Toc457603949"/>
      <w:r w:rsidRPr="00C60AD1">
        <w:t xml:space="preserve">ANNUAL REVENUE REQUIREMENT OF DVVNL FOR FY </w:t>
      </w:r>
      <w:r>
        <w:t>2016-17</w:t>
      </w:r>
      <w:bookmarkEnd w:id="776"/>
      <w:bookmarkEnd w:id="777"/>
    </w:p>
    <w:p w:rsidR="00D5771F" w:rsidRDefault="00C34658">
      <w:pPr>
        <w:pStyle w:val="Heading3"/>
        <w:tabs>
          <w:tab w:val="clear" w:pos="720"/>
        </w:tabs>
        <w:spacing w:after="240"/>
        <w:ind w:left="993" w:hanging="993"/>
      </w:pPr>
      <w:r w:rsidRPr="00C60AD1">
        <w:t xml:space="preserve">The Petitioner </w:t>
      </w:r>
      <w:r>
        <w:t xml:space="preserve">has </w:t>
      </w:r>
      <w:r w:rsidRPr="00C60AD1">
        <w:t xml:space="preserve">submitted that the Distribution Tariff Regulations, 2006 requires the Licensee to file Aggregate Revenue Requirement (ARR) complete in all respect along with requisite fees as prescribed by the Commission. </w:t>
      </w:r>
    </w:p>
    <w:p w:rsidR="00D5771F" w:rsidRDefault="00C34658">
      <w:pPr>
        <w:pStyle w:val="Heading3"/>
        <w:tabs>
          <w:tab w:val="clear" w:pos="720"/>
        </w:tabs>
        <w:spacing w:after="240"/>
        <w:ind w:left="993" w:hanging="993"/>
      </w:pPr>
      <w:r w:rsidRPr="00C60AD1">
        <w:t xml:space="preserve">The Petitioner submitted that as per the Regulations, the ARR Petition should contain details of estimated expenditure and expected revenue that it may recover in the ensuing financial year at the prevailing rate of Tariff. The Petitioner further submitted that the Distribution Tariff Regulations, 2006 require that the ARR should separately indicate Aggregate Revenue Requirement (ARR) for Wheeling &amp; Retail Supply function embedded in the distribution function and till such time complete segregation of accounts between Wheeling and Retail Supply Business takes place, ARR proposals for Wheeling and Retail Supply Business shall be prepared based on an allocation statement as per the best judgement of the Distribution Licensee. </w:t>
      </w:r>
    </w:p>
    <w:p w:rsidR="00D5771F" w:rsidRDefault="00C34658">
      <w:pPr>
        <w:pStyle w:val="Heading3"/>
        <w:tabs>
          <w:tab w:val="clear" w:pos="720"/>
        </w:tabs>
        <w:spacing w:after="240"/>
        <w:ind w:left="993" w:hanging="993"/>
      </w:pPr>
      <w:r w:rsidRPr="00C60AD1">
        <w:t xml:space="preserve">The Petitioner submitted that the Distribution Tariff Regulations, 2006 has broadly classified cost incurred by the Petitioner as controllable and uncontrollable costs wherein the uncontrollable cost include fuel cost, increase in cost due to changes in interest rate, increase of cost due to inflation, taxes and cess, variation of power purchase unit costs, etc. </w:t>
      </w:r>
    </w:p>
    <w:p w:rsidR="00D5771F" w:rsidRDefault="00C34658">
      <w:pPr>
        <w:pStyle w:val="Heading3"/>
        <w:tabs>
          <w:tab w:val="clear" w:pos="720"/>
        </w:tabs>
        <w:spacing w:after="240"/>
        <w:ind w:left="993" w:hanging="993"/>
      </w:pPr>
      <w:r w:rsidRPr="00C60AD1">
        <w:t>The Petitioner submitted that Tariff Order for FY 2007-08 is the first Order issued by the Commission in accordance with the Distribution Tariff Regulations, 2006. In this Tariff Order, the Commission used allocation methodology for segregation of Wheeling &amp; Retail Supply business function of ARR. The Petitioner added that it has adopted the same methodology for deriving wheeling charges, as the complete segregation of accounts between Wheeling and Retail Supply business has not yet been completed.</w:t>
      </w:r>
    </w:p>
    <w:p w:rsidR="00D5771F" w:rsidRDefault="00C34658">
      <w:pPr>
        <w:pStyle w:val="Heading3"/>
        <w:tabs>
          <w:tab w:val="clear" w:pos="720"/>
        </w:tabs>
        <w:spacing w:after="240"/>
        <w:ind w:left="993" w:hanging="993"/>
      </w:pPr>
      <w:r w:rsidRPr="00C60AD1">
        <w:lastRenderedPageBreak/>
        <w:t>The Petitioner further submitted that it has filed the current ARR Petition in strict compliance with the Distribution Tariff Regulations, 2006.</w:t>
      </w:r>
    </w:p>
    <w:p w:rsidR="00D5771F" w:rsidRDefault="00C34658">
      <w:pPr>
        <w:pStyle w:val="Heading3"/>
        <w:tabs>
          <w:tab w:val="clear" w:pos="720"/>
        </w:tabs>
        <w:spacing w:after="240"/>
        <w:ind w:left="993" w:hanging="993"/>
      </w:pPr>
      <w:r w:rsidRPr="008B0C65">
        <w:t xml:space="preserve">The Petitioner submitted that the cost elements of ARR have been estimated based on the provisional un-audited accounts of FY 2014-15 and expenses available for FY 2015-16. </w:t>
      </w:r>
    </w:p>
    <w:p w:rsidR="00D5771F" w:rsidRDefault="00C34658">
      <w:pPr>
        <w:pStyle w:val="Heading3"/>
        <w:tabs>
          <w:tab w:val="clear" w:pos="720"/>
        </w:tabs>
        <w:spacing w:after="240"/>
        <w:ind w:left="993" w:hanging="993"/>
      </w:pPr>
      <w:r w:rsidRPr="00C60AD1">
        <w:t>The Commission has analysed all the components of the Aggregate Revenue Requirement (ARR) to arrive at suitable values. As per the Distribution Tariff Regulations, 2006, the ARR comprises of the following components:</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Power Purchase cost</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Transmission Charges</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SLDC Charges</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 xml:space="preserve">Operation and Maintenance Expenses </w:t>
      </w:r>
    </w:p>
    <w:p w:rsidR="00C34658" w:rsidRPr="00C60AD1" w:rsidRDefault="00C34658" w:rsidP="00C34658">
      <w:pPr>
        <w:numPr>
          <w:ilvl w:val="0"/>
          <w:numId w:val="20"/>
        </w:numPr>
        <w:autoSpaceDE w:val="0"/>
        <w:autoSpaceDN w:val="0"/>
        <w:adjustRightInd w:val="0"/>
        <w:spacing w:line="180" w:lineRule="auto"/>
        <w:rPr>
          <w:rFonts w:cs="Calibri"/>
        </w:rPr>
      </w:pPr>
      <w:r w:rsidRPr="00C60AD1">
        <w:rPr>
          <w:rFonts w:cs="Calibri"/>
        </w:rPr>
        <w:t xml:space="preserve">Employee Expenses </w:t>
      </w:r>
    </w:p>
    <w:p w:rsidR="00C34658" w:rsidRPr="00C60AD1" w:rsidRDefault="00C34658" w:rsidP="00C34658">
      <w:pPr>
        <w:numPr>
          <w:ilvl w:val="0"/>
          <w:numId w:val="20"/>
        </w:numPr>
        <w:autoSpaceDE w:val="0"/>
        <w:autoSpaceDN w:val="0"/>
        <w:adjustRightInd w:val="0"/>
        <w:spacing w:line="180" w:lineRule="auto"/>
        <w:rPr>
          <w:rFonts w:cs="Calibri"/>
        </w:rPr>
      </w:pPr>
      <w:r w:rsidRPr="00C60AD1">
        <w:rPr>
          <w:rFonts w:cs="Calibri"/>
        </w:rPr>
        <w:t xml:space="preserve">Administration &amp; General Expenses </w:t>
      </w:r>
    </w:p>
    <w:p w:rsidR="00C34658" w:rsidRPr="00C60AD1" w:rsidRDefault="00C34658" w:rsidP="00C34658">
      <w:pPr>
        <w:numPr>
          <w:ilvl w:val="0"/>
          <w:numId w:val="20"/>
        </w:numPr>
        <w:autoSpaceDE w:val="0"/>
        <w:autoSpaceDN w:val="0"/>
        <w:adjustRightInd w:val="0"/>
        <w:spacing w:line="180" w:lineRule="auto"/>
        <w:rPr>
          <w:rFonts w:cs="Calibri"/>
        </w:rPr>
      </w:pPr>
      <w:r w:rsidRPr="00C60AD1">
        <w:rPr>
          <w:rFonts w:cs="Calibri"/>
        </w:rPr>
        <w:t>Repairs and Maintenance Expenses</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Depreciation</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Interest and Financing Costs</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Bad and Doubtful Debts</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Return on Equity</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Taxes on Income</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Other Expenses</w:t>
      </w:r>
    </w:p>
    <w:p w:rsidR="00C34658" w:rsidRPr="00C60AD1" w:rsidRDefault="00C34658" w:rsidP="00C34658">
      <w:pPr>
        <w:pStyle w:val="ListParagraph"/>
        <w:numPr>
          <w:ilvl w:val="0"/>
          <w:numId w:val="19"/>
        </w:numPr>
        <w:autoSpaceDE w:val="0"/>
        <w:autoSpaceDN w:val="0"/>
        <w:adjustRightInd w:val="0"/>
        <w:spacing w:line="180" w:lineRule="auto"/>
        <w:ind w:left="1710"/>
        <w:rPr>
          <w:rFonts w:cs="Calibri"/>
        </w:rPr>
      </w:pPr>
      <w:r w:rsidRPr="00C60AD1">
        <w:rPr>
          <w:rFonts w:cs="Calibri"/>
        </w:rPr>
        <w:t>Contribution to Contingency Reserve</w:t>
      </w:r>
    </w:p>
    <w:p w:rsidR="006C63AF" w:rsidRDefault="00C34658" w:rsidP="006C63AF">
      <w:pPr>
        <w:pStyle w:val="Heading3"/>
        <w:tabs>
          <w:tab w:val="clear" w:pos="720"/>
        </w:tabs>
        <w:spacing w:after="240"/>
        <w:ind w:left="993" w:hanging="993"/>
      </w:pPr>
      <w:bookmarkStart w:id="778" w:name="_Toc357349074"/>
      <w:bookmarkStart w:id="779" w:name="_Toc357356127"/>
      <w:r w:rsidRPr="00C60AD1">
        <w:t xml:space="preserve">The detailed analysis of each and every element identified above is presented in the subsequent sections. </w:t>
      </w:r>
      <w:bookmarkEnd w:id="778"/>
      <w:bookmarkEnd w:id="779"/>
    </w:p>
    <w:p w:rsidR="006C63AF" w:rsidRDefault="006C63AF" w:rsidP="006C63AF">
      <w:pPr>
        <w:pStyle w:val="Heading3"/>
        <w:numPr>
          <w:ilvl w:val="0"/>
          <w:numId w:val="0"/>
        </w:numPr>
        <w:tabs>
          <w:tab w:val="clear" w:pos="720"/>
        </w:tabs>
        <w:spacing w:before="0"/>
        <w:ind w:left="993"/>
      </w:pPr>
    </w:p>
    <w:p w:rsidR="006C63AF" w:rsidRDefault="00C34658" w:rsidP="006C63AF">
      <w:pPr>
        <w:pStyle w:val="Heading2"/>
        <w:numPr>
          <w:ilvl w:val="1"/>
          <w:numId w:val="16"/>
        </w:numPr>
        <w:spacing w:before="0"/>
      </w:pPr>
      <w:bookmarkStart w:id="780" w:name="_Toc357718665"/>
      <w:bookmarkStart w:id="781" w:name="_Toc396573836"/>
      <w:bookmarkStart w:id="782" w:name="_Toc399623734"/>
      <w:bookmarkStart w:id="783" w:name="_Toc453367613"/>
      <w:bookmarkStart w:id="784" w:name="_Toc457603950"/>
      <w:bookmarkStart w:id="785" w:name="_Toc357349076"/>
      <w:bookmarkStart w:id="786" w:name="_Toc357356129"/>
      <w:r w:rsidRPr="00C60AD1">
        <w:t>POWER PROCUREMENT COST</w:t>
      </w:r>
      <w:bookmarkEnd w:id="780"/>
      <w:bookmarkEnd w:id="781"/>
      <w:bookmarkEnd w:id="782"/>
      <w:bookmarkEnd w:id="783"/>
      <w:bookmarkEnd w:id="784"/>
    </w:p>
    <w:p w:rsidR="00D5771F" w:rsidRDefault="00C34658">
      <w:pPr>
        <w:pStyle w:val="Heading3"/>
        <w:tabs>
          <w:tab w:val="clear" w:pos="720"/>
        </w:tabs>
        <w:spacing w:after="240"/>
        <w:ind w:left="993" w:hanging="993"/>
      </w:pPr>
      <w:bookmarkStart w:id="787" w:name="_Toc357349079"/>
      <w:bookmarkStart w:id="788" w:name="_Toc357356132"/>
      <w:r w:rsidRPr="00C60AD1">
        <w:t xml:space="preserve">The Petitioner submitted that the total </w:t>
      </w:r>
      <w:r>
        <w:t>I</w:t>
      </w:r>
      <w:r w:rsidRPr="00C60AD1">
        <w:t xml:space="preserve">nter-State transmission charges payable by UPPCL to PGCIL has been projected to be Rs. </w:t>
      </w:r>
      <w:r>
        <w:t xml:space="preserve">2,999.90 </w:t>
      </w:r>
      <w:r w:rsidRPr="00C60AD1">
        <w:t xml:space="preserve">Crore in the ensuing year. The PGCIL charges consequent to </w:t>
      </w:r>
      <w:r>
        <w:t>I</w:t>
      </w:r>
      <w:r w:rsidRPr="00C60AD1">
        <w:t xml:space="preserve">nter-State transmission is being levied on energy procured from NTPC, NPCIL, NHPC, SJVNL, Tehri, TALA, etc., and these charges have been incorporated in Power Procurement Cost. </w:t>
      </w:r>
    </w:p>
    <w:p w:rsidR="00D5771F" w:rsidRDefault="00C34658">
      <w:pPr>
        <w:pStyle w:val="Heading3"/>
        <w:tabs>
          <w:tab w:val="clear" w:pos="720"/>
        </w:tabs>
        <w:spacing w:after="240"/>
        <w:ind w:left="993" w:hanging="993"/>
      </w:pPr>
      <w:r w:rsidRPr="00C60AD1">
        <w:t xml:space="preserve">The Petitioner submitted that while considering power procurement to meet the State’s requirement, losses external to its system, i.e., in the Northern </w:t>
      </w:r>
      <w:r w:rsidRPr="00C60AD1">
        <w:lastRenderedPageBreak/>
        <w:t>Region PGCIL system, need to be accounted for. The availability of power for the Petitioner (i.e., at UPPCL system boundary) from these sources gets reduced to the extent of these losses and the Petitioner has accordingly incorporated them while drawing up the energy balance and merit order dispatch for meeting the State requirement.</w:t>
      </w:r>
    </w:p>
    <w:p w:rsidR="00D5771F" w:rsidRDefault="00C34658">
      <w:pPr>
        <w:pStyle w:val="Heading3"/>
        <w:spacing w:after="240"/>
        <w:ind w:left="993" w:hanging="993"/>
      </w:pPr>
      <w:r w:rsidRPr="00C60AD1">
        <w:t xml:space="preserve">The Commission has run the merit order Dispatch schedule for power purchase for FY </w:t>
      </w:r>
      <w:r w:rsidRPr="008B0C65">
        <w:t>2016-17 after considering the availability of power. The power purchase quantum and cost approved by the Commission for FY 2016-</w:t>
      </w:r>
      <w:r w:rsidRPr="005110F6">
        <w:rPr>
          <w:szCs w:val="24"/>
        </w:rPr>
        <w:t xml:space="preserve">17 </w:t>
      </w:r>
      <w:r w:rsidR="00F35D73">
        <w:rPr>
          <w:szCs w:val="24"/>
        </w:rPr>
        <w:t>has already been discussed in previous section</w:t>
      </w:r>
      <w:r w:rsidRPr="005110F6">
        <w:rPr>
          <w:szCs w:val="24"/>
        </w:rPr>
        <w:t>.</w:t>
      </w:r>
      <w:bookmarkEnd w:id="787"/>
      <w:bookmarkEnd w:id="788"/>
    </w:p>
    <w:p w:rsidR="00D5771F" w:rsidRDefault="00C34658">
      <w:pPr>
        <w:pStyle w:val="Heading3"/>
        <w:tabs>
          <w:tab w:val="clear" w:pos="720"/>
        </w:tabs>
        <w:spacing w:after="240"/>
        <w:ind w:left="993" w:hanging="993"/>
      </w:pPr>
      <w:bookmarkStart w:id="789" w:name="_Toc357349080"/>
      <w:bookmarkStart w:id="790" w:name="_Toc357356133"/>
      <w:r w:rsidRPr="00C60AD1">
        <w:t>Further aligning with the Licensee’s submission, the Commission has grossed up the power purchase costs to include PGCIL losses (inter-State transmission losses).</w:t>
      </w:r>
      <w:bookmarkEnd w:id="789"/>
      <w:bookmarkEnd w:id="790"/>
    </w:p>
    <w:p w:rsidR="00D5771F" w:rsidRDefault="00C34658">
      <w:pPr>
        <w:pStyle w:val="Heading3"/>
        <w:tabs>
          <w:tab w:val="clear" w:pos="720"/>
        </w:tabs>
        <w:spacing w:after="240"/>
        <w:ind w:left="993" w:hanging="993"/>
      </w:pPr>
      <w:bookmarkStart w:id="791" w:name="_Toc357349081"/>
      <w:bookmarkStart w:id="792" w:name="_Toc357356134"/>
      <w:r w:rsidRPr="00C60AD1">
        <w:t>The Commission has projected the PGCIL charges on the basis of approved power purchase quantum as detailed in the Table below:</w:t>
      </w:r>
      <w:bookmarkEnd w:id="791"/>
      <w:bookmarkEnd w:id="792"/>
    </w:p>
    <w:p w:rsidR="00C34658" w:rsidRPr="00C60AD1" w:rsidRDefault="00C34658" w:rsidP="00C34658">
      <w:pPr>
        <w:spacing w:before="0"/>
        <w:jc w:val="center"/>
        <w:rPr>
          <w:rFonts w:cs="Calibri"/>
          <w:b/>
          <w:sz w:val="22"/>
          <w:szCs w:val="22"/>
          <w:lang w:val="en-US"/>
        </w:rPr>
      </w:pPr>
      <w:bookmarkStart w:id="793" w:name="_Toc357718741"/>
      <w:bookmarkStart w:id="794" w:name="_Toc395657965"/>
      <w:bookmarkStart w:id="795" w:name="_Toc396574016"/>
      <w:bookmarkStart w:id="796" w:name="_Toc399624117"/>
      <w:bookmarkStart w:id="797" w:name="_Toc453367694"/>
      <w:bookmarkStart w:id="798" w:name="_Toc457604065"/>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49</w:t>
      </w:r>
      <w:r w:rsidR="009741CA" w:rsidRPr="00C60AD1">
        <w:rPr>
          <w:rFonts w:cs="Calibri"/>
          <w:b/>
          <w:sz w:val="22"/>
          <w:szCs w:val="22"/>
          <w:lang w:val="en-US"/>
        </w:rPr>
        <w:fldChar w:fldCharType="end"/>
      </w:r>
      <w:r w:rsidRPr="00C60AD1">
        <w:rPr>
          <w:rFonts w:cs="Calibri"/>
          <w:b/>
          <w:sz w:val="22"/>
          <w:szCs w:val="22"/>
          <w:lang w:val="en-US"/>
        </w:rPr>
        <w:t xml:space="preserve">: APPROVED PGCIL CHARGES FOR FY </w:t>
      </w:r>
      <w:bookmarkEnd w:id="793"/>
      <w:bookmarkEnd w:id="794"/>
      <w:bookmarkEnd w:id="795"/>
      <w:bookmarkEnd w:id="796"/>
      <w:r>
        <w:rPr>
          <w:rFonts w:cs="Calibri"/>
          <w:b/>
          <w:sz w:val="22"/>
          <w:szCs w:val="22"/>
          <w:lang w:val="en-US"/>
        </w:rPr>
        <w:t>2016-17</w:t>
      </w:r>
      <w:bookmarkEnd w:id="797"/>
      <w:bookmarkEnd w:id="798"/>
    </w:p>
    <w:tbl>
      <w:tblPr>
        <w:tblW w:w="8003" w:type="dxa"/>
        <w:jc w:val="center"/>
        <w:tblInd w:w="1819"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tblPr>
      <w:tblGrid>
        <w:gridCol w:w="4409"/>
        <w:gridCol w:w="1495"/>
        <w:gridCol w:w="2099"/>
      </w:tblGrid>
      <w:tr w:rsidR="00C34658" w:rsidRPr="00C60AD1" w:rsidTr="008334E8">
        <w:trPr>
          <w:trHeight w:val="600"/>
          <w:jc w:val="center"/>
        </w:trPr>
        <w:tc>
          <w:tcPr>
            <w:tcW w:w="4409" w:type="dxa"/>
            <w:shd w:val="clear" w:color="000000" w:fill="DBE5F1"/>
            <w:noWrap/>
            <w:hideMark/>
          </w:tcPr>
          <w:p w:rsidR="00603835" w:rsidRDefault="00C34658">
            <w:pPr>
              <w:spacing w:before="0" w:line="240" w:lineRule="auto"/>
              <w:jc w:val="center"/>
              <w:rPr>
                <w:b/>
                <w:bCs/>
                <w:color w:val="000000"/>
                <w:sz w:val="22"/>
                <w:szCs w:val="22"/>
                <w:lang w:val="en-US"/>
              </w:rPr>
            </w:pPr>
            <w:r w:rsidRPr="00C60AD1">
              <w:rPr>
                <w:b/>
                <w:bCs/>
                <w:color w:val="000000"/>
                <w:sz w:val="22"/>
                <w:szCs w:val="22"/>
                <w:lang w:val="en-US"/>
              </w:rPr>
              <w:t>Particulars</w:t>
            </w:r>
          </w:p>
        </w:tc>
        <w:tc>
          <w:tcPr>
            <w:tcW w:w="1495" w:type="dxa"/>
            <w:shd w:val="clear" w:color="000000" w:fill="DBE5F1"/>
            <w:hideMark/>
          </w:tcPr>
          <w:p w:rsidR="00603835" w:rsidRDefault="00C34658">
            <w:pPr>
              <w:spacing w:before="0" w:line="240" w:lineRule="auto"/>
              <w:jc w:val="center"/>
              <w:rPr>
                <w:b/>
                <w:bCs/>
                <w:color w:val="000000"/>
                <w:sz w:val="22"/>
                <w:szCs w:val="22"/>
                <w:lang w:val="en-US"/>
              </w:rPr>
            </w:pPr>
            <w:r w:rsidRPr="00C60AD1">
              <w:rPr>
                <w:b/>
                <w:bCs/>
                <w:color w:val="000000"/>
                <w:sz w:val="22"/>
                <w:szCs w:val="22"/>
                <w:lang w:val="en-US"/>
              </w:rPr>
              <w:t>Derivation</w:t>
            </w:r>
          </w:p>
        </w:tc>
        <w:tc>
          <w:tcPr>
            <w:tcW w:w="2099" w:type="dxa"/>
            <w:shd w:val="clear" w:color="000000" w:fill="DBE5F1"/>
            <w:hideMark/>
          </w:tcPr>
          <w:p w:rsidR="00603835" w:rsidRDefault="00C34658">
            <w:pPr>
              <w:spacing w:before="0" w:line="240" w:lineRule="auto"/>
              <w:jc w:val="center"/>
              <w:rPr>
                <w:b/>
                <w:bCs/>
                <w:color w:val="000000"/>
                <w:sz w:val="22"/>
                <w:szCs w:val="22"/>
                <w:lang w:val="en-US"/>
              </w:rPr>
            </w:pPr>
            <w:r w:rsidRPr="00C60AD1">
              <w:rPr>
                <w:b/>
                <w:bCs/>
                <w:color w:val="000000"/>
                <w:sz w:val="22"/>
                <w:szCs w:val="22"/>
                <w:lang w:val="en-US"/>
              </w:rPr>
              <w:t xml:space="preserve">FY </w:t>
            </w:r>
            <w:r>
              <w:rPr>
                <w:b/>
                <w:bCs/>
                <w:color w:val="000000"/>
                <w:sz w:val="22"/>
                <w:szCs w:val="22"/>
                <w:lang w:val="en-US"/>
              </w:rPr>
              <w:t>2016-17</w:t>
            </w:r>
            <w:r w:rsidRPr="00C60AD1">
              <w:rPr>
                <w:b/>
                <w:bCs/>
                <w:color w:val="000000"/>
                <w:sz w:val="22"/>
                <w:szCs w:val="22"/>
                <w:lang w:val="en-US"/>
              </w:rPr>
              <w:br/>
              <w:t>Approved</w:t>
            </w:r>
          </w:p>
        </w:tc>
      </w:tr>
      <w:tr w:rsidR="00C34658" w:rsidRPr="00C60AD1" w:rsidTr="00D55642">
        <w:trPr>
          <w:trHeight w:val="300"/>
          <w:jc w:val="center"/>
        </w:trPr>
        <w:tc>
          <w:tcPr>
            <w:tcW w:w="4409"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Projected Power Purchase by Licensee (MU)</w:t>
            </w:r>
          </w:p>
        </w:tc>
        <w:tc>
          <w:tcPr>
            <w:tcW w:w="1495" w:type="dxa"/>
            <w:shd w:val="clear" w:color="auto" w:fill="auto"/>
            <w:noWrap/>
            <w:vAlign w:val="center"/>
            <w:hideMark/>
          </w:tcPr>
          <w:p w:rsidR="00C34658" w:rsidRPr="00C60AD1" w:rsidRDefault="00C34658" w:rsidP="00D55642">
            <w:pPr>
              <w:spacing w:before="0" w:line="240" w:lineRule="auto"/>
              <w:jc w:val="center"/>
              <w:rPr>
                <w:color w:val="000000"/>
                <w:sz w:val="22"/>
                <w:szCs w:val="22"/>
                <w:lang w:val="en-US"/>
              </w:rPr>
            </w:pPr>
            <w:r w:rsidRPr="00C60AD1">
              <w:rPr>
                <w:color w:val="000000"/>
                <w:sz w:val="22"/>
                <w:szCs w:val="22"/>
                <w:lang w:val="en-US"/>
              </w:rPr>
              <w:t xml:space="preserve"> A </w:t>
            </w:r>
          </w:p>
        </w:tc>
        <w:tc>
          <w:tcPr>
            <w:tcW w:w="2099" w:type="dxa"/>
            <w:shd w:val="clear" w:color="auto" w:fill="auto"/>
            <w:noWrap/>
            <w:vAlign w:val="center"/>
            <w:hideMark/>
          </w:tcPr>
          <w:p w:rsidR="00C34658" w:rsidRDefault="00C34658" w:rsidP="00D55642">
            <w:pPr>
              <w:spacing w:before="0" w:line="240" w:lineRule="auto"/>
              <w:jc w:val="right"/>
              <w:rPr>
                <w:color w:val="000000"/>
                <w:sz w:val="22"/>
                <w:szCs w:val="22"/>
                <w:lang w:val="en-US"/>
              </w:rPr>
            </w:pPr>
            <w:r>
              <w:rPr>
                <w:color w:val="000000"/>
                <w:sz w:val="22"/>
                <w:szCs w:val="22"/>
              </w:rPr>
              <w:t xml:space="preserve">           125,627.02 </w:t>
            </w:r>
          </w:p>
        </w:tc>
      </w:tr>
      <w:tr w:rsidR="00C34658" w:rsidRPr="00C60AD1" w:rsidTr="00D55642">
        <w:trPr>
          <w:trHeight w:val="300"/>
          <w:jc w:val="center"/>
        </w:trPr>
        <w:tc>
          <w:tcPr>
            <w:tcW w:w="4409"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Projected PGCIL Charges (Rs. Crore)</w:t>
            </w:r>
          </w:p>
        </w:tc>
        <w:tc>
          <w:tcPr>
            <w:tcW w:w="1495" w:type="dxa"/>
            <w:shd w:val="clear" w:color="auto" w:fill="auto"/>
            <w:noWrap/>
            <w:vAlign w:val="center"/>
            <w:hideMark/>
          </w:tcPr>
          <w:p w:rsidR="00C34658" w:rsidRPr="00C60AD1" w:rsidRDefault="00C34658" w:rsidP="00D55642">
            <w:pPr>
              <w:spacing w:before="0" w:line="240" w:lineRule="auto"/>
              <w:jc w:val="center"/>
              <w:rPr>
                <w:color w:val="000000"/>
                <w:sz w:val="22"/>
                <w:szCs w:val="22"/>
                <w:lang w:val="en-US"/>
              </w:rPr>
            </w:pPr>
            <w:r w:rsidRPr="00C60AD1">
              <w:rPr>
                <w:color w:val="000000"/>
                <w:sz w:val="22"/>
                <w:szCs w:val="22"/>
                <w:lang w:val="en-US"/>
              </w:rPr>
              <w:t>B</w:t>
            </w:r>
          </w:p>
        </w:tc>
        <w:tc>
          <w:tcPr>
            <w:tcW w:w="2099" w:type="dxa"/>
            <w:shd w:val="clear" w:color="auto" w:fill="auto"/>
            <w:noWrap/>
            <w:vAlign w:val="center"/>
            <w:hideMark/>
          </w:tcPr>
          <w:p w:rsidR="00C34658" w:rsidRDefault="00C34658" w:rsidP="00D55642">
            <w:pPr>
              <w:spacing w:before="0" w:line="240" w:lineRule="auto"/>
              <w:jc w:val="right"/>
              <w:rPr>
                <w:color w:val="000000"/>
                <w:sz w:val="22"/>
                <w:szCs w:val="22"/>
                <w:lang w:val="en-US"/>
              </w:rPr>
            </w:pPr>
            <w:r>
              <w:rPr>
                <w:color w:val="000000"/>
                <w:sz w:val="22"/>
                <w:szCs w:val="22"/>
              </w:rPr>
              <w:t xml:space="preserve">                2,999.90 </w:t>
            </w:r>
          </w:p>
        </w:tc>
      </w:tr>
      <w:tr w:rsidR="00C34658" w:rsidRPr="00C60AD1" w:rsidTr="00D55642">
        <w:trPr>
          <w:trHeight w:val="300"/>
          <w:jc w:val="center"/>
        </w:trPr>
        <w:tc>
          <w:tcPr>
            <w:tcW w:w="4409"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Projected PGCIL Charges (Rs./kWh)</w:t>
            </w:r>
          </w:p>
        </w:tc>
        <w:tc>
          <w:tcPr>
            <w:tcW w:w="1495" w:type="dxa"/>
            <w:shd w:val="clear" w:color="auto" w:fill="auto"/>
            <w:noWrap/>
            <w:vAlign w:val="center"/>
            <w:hideMark/>
          </w:tcPr>
          <w:p w:rsidR="00C34658" w:rsidRPr="00C60AD1" w:rsidRDefault="00C34658" w:rsidP="00D55642">
            <w:pPr>
              <w:spacing w:before="0" w:line="240" w:lineRule="auto"/>
              <w:jc w:val="center"/>
              <w:rPr>
                <w:color w:val="000000"/>
                <w:sz w:val="22"/>
                <w:szCs w:val="22"/>
                <w:lang w:val="en-US"/>
              </w:rPr>
            </w:pPr>
            <w:r w:rsidRPr="00C60AD1">
              <w:rPr>
                <w:color w:val="000000"/>
                <w:sz w:val="22"/>
                <w:szCs w:val="22"/>
                <w:lang w:val="en-US"/>
              </w:rPr>
              <w:t xml:space="preserve"> C = </w:t>
            </w:r>
            <w:r w:rsidR="00BB6A1E">
              <w:rPr>
                <w:color w:val="000000"/>
                <w:sz w:val="22"/>
                <w:szCs w:val="22"/>
                <w:lang w:val="en-US"/>
              </w:rPr>
              <w:t>B</w:t>
            </w:r>
            <w:r w:rsidRPr="00C60AD1">
              <w:rPr>
                <w:color w:val="000000"/>
                <w:sz w:val="22"/>
                <w:szCs w:val="22"/>
                <w:lang w:val="en-US"/>
              </w:rPr>
              <w:t>/</w:t>
            </w:r>
            <w:r w:rsidR="00BB6A1E">
              <w:rPr>
                <w:color w:val="000000"/>
                <w:sz w:val="22"/>
                <w:szCs w:val="22"/>
                <w:lang w:val="en-US"/>
              </w:rPr>
              <w:t>A</w:t>
            </w:r>
            <w:r w:rsidRPr="00C60AD1">
              <w:rPr>
                <w:color w:val="000000"/>
                <w:sz w:val="22"/>
                <w:szCs w:val="22"/>
                <w:lang w:val="en-US"/>
              </w:rPr>
              <w:t xml:space="preserve">*10 </w:t>
            </w:r>
          </w:p>
        </w:tc>
        <w:tc>
          <w:tcPr>
            <w:tcW w:w="2099" w:type="dxa"/>
            <w:shd w:val="clear" w:color="auto" w:fill="auto"/>
            <w:noWrap/>
            <w:vAlign w:val="center"/>
            <w:hideMark/>
          </w:tcPr>
          <w:p w:rsidR="00C34658" w:rsidRDefault="00C34658" w:rsidP="00D55642">
            <w:pPr>
              <w:spacing w:before="0" w:line="240" w:lineRule="auto"/>
              <w:jc w:val="right"/>
              <w:rPr>
                <w:color w:val="000000"/>
                <w:sz w:val="22"/>
                <w:szCs w:val="22"/>
                <w:lang w:val="en-US"/>
              </w:rPr>
            </w:pPr>
            <w:r>
              <w:rPr>
                <w:color w:val="000000"/>
                <w:sz w:val="22"/>
                <w:szCs w:val="22"/>
              </w:rPr>
              <w:t xml:space="preserve">                        0.24 </w:t>
            </w:r>
          </w:p>
        </w:tc>
      </w:tr>
      <w:tr w:rsidR="00C34658" w:rsidRPr="00C60AD1" w:rsidTr="00D55642">
        <w:trPr>
          <w:trHeight w:val="300"/>
          <w:jc w:val="center"/>
        </w:trPr>
        <w:tc>
          <w:tcPr>
            <w:tcW w:w="4409" w:type="dxa"/>
            <w:shd w:val="clear" w:color="auto" w:fill="auto"/>
            <w:vAlign w:val="center"/>
            <w:hideMark/>
          </w:tcPr>
          <w:p w:rsidR="00C34658" w:rsidRPr="00C60AD1" w:rsidRDefault="00C34658" w:rsidP="00D55642">
            <w:pPr>
              <w:spacing w:before="0" w:line="240" w:lineRule="auto"/>
              <w:jc w:val="left"/>
              <w:rPr>
                <w:sz w:val="22"/>
                <w:szCs w:val="22"/>
                <w:lang w:val="en-US"/>
              </w:rPr>
            </w:pPr>
            <w:r w:rsidRPr="00C60AD1">
              <w:rPr>
                <w:sz w:val="22"/>
                <w:szCs w:val="22"/>
                <w:lang w:val="en-US"/>
              </w:rPr>
              <w:t>Approved Power Purchase (MU)</w:t>
            </w:r>
          </w:p>
        </w:tc>
        <w:tc>
          <w:tcPr>
            <w:tcW w:w="1495" w:type="dxa"/>
            <w:shd w:val="clear" w:color="auto" w:fill="auto"/>
            <w:noWrap/>
            <w:vAlign w:val="center"/>
            <w:hideMark/>
          </w:tcPr>
          <w:p w:rsidR="00C34658" w:rsidRPr="00C60AD1" w:rsidRDefault="00C34658" w:rsidP="00D55642">
            <w:pPr>
              <w:spacing w:before="0" w:line="240" w:lineRule="auto"/>
              <w:jc w:val="center"/>
              <w:rPr>
                <w:color w:val="000000"/>
                <w:sz w:val="22"/>
                <w:szCs w:val="22"/>
                <w:lang w:val="en-US"/>
              </w:rPr>
            </w:pPr>
            <w:r w:rsidRPr="00C60AD1">
              <w:rPr>
                <w:color w:val="000000"/>
                <w:sz w:val="22"/>
                <w:szCs w:val="22"/>
                <w:lang w:val="en-US"/>
              </w:rPr>
              <w:t>D</w:t>
            </w:r>
          </w:p>
        </w:tc>
        <w:tc>
          <w:tcPr>
            <w:tcW w:w="2099" w:type="dxa"/>
            <w:shd w:val="clear" w:color="auto" w:fill="auto"/>
            <w:noWrap/>
            <w:vAlign w:val="center"/>
            <w:hideMark/>
          </w:tcPr>
          <w:p w:rsidR="00C34658" w:rsidRDefault="00C34658" w:rsidP="00D55642">
            <w:pPr>
              <w:spacing w:before="0" w:line="240" w:lineRule="auto"/>
              <w:jc w:val="right"/>
              <w:rPr>
                <w:color w:val="000000"/>
                <w:sz w:val="22"/>
                <w:szCs w:val="22"/>
                <w:lang w:val="en-US"/>
              </w:rPr>
            </w:pPr>
            <w:r>
              <w:rPr>
                <w:color w:val="000000"/>
                <w:sz w:val="22"/>
                <w:szCs w:val="22"/>
              </w:rPr>
              <w:t>127,414.15</w:t>
            </w:r>
          </w:p>
        </w:tc>
      </w:tr>
      <w:tr w:rsidR="00C34658" w:rsidRPr="00C60AD1" w:rsidTr="00D55642">
        <w:trPr>
          <w:trHeight w:val="300"/>
          <w:jc w:val="center"/>
        </w:trPr>
        <w:tc>
          <w:tcPr>
            <w:tcW w:w="4409" w:type="dxa"/>
            <w:shd w:val="clear" w:color="auto" w:fill="auto"/>
            <w:vAlign w:val="center"/>
            <w:hideMark/>
          </w:tcPr>
          <w:p w:rsidR="00C34658" w:rsidRPr="00C60AD1" w:rsidRDefault="00C34658" w:rsidP="00D55642">
            <w:pPr>
              <w:spacing w:before="0" w:line="240" w:lineRule="auto"/>
              <w:jc w:val="left"/>
              <w:rPr>
                <w:b/>
                <w:bCs/>
                <w:sz w:val="22"/>
                <w:szCs w:val="22"/>
                <w:lang w:val="en-US"/>
              </w:rPr>
            </w:pPr>
            <w:r w:rsidRPr="00C60AD1">
              <w:rPr>
                <w:b/>
                <w:bCs/>
                <w:sz w:val="22"/>
                <w:szCs w:val="22"/>
                <w:lang w:val="en-US"/>
              </w:rPr>
              <w:t>Approved PGCIL Charges (Rs. Crore)</w:t>
            </w:r>
          </w:p>
        </w:tc>
        <w:tc>
          <w:tcPr>
            <w:tcW w:w="1495" w:type="dxa"/>
            <w:shd w:val="clear" w:color="auto" w:fill="auto"/>
            <w:noWrap/>
            <w:vAlign w:val="center"/>
            <w:hideMark/>
          </w:tcPr>
          <w:p w:rsidR="00C34658" w:rsidRPr="00C60AD1" w:rsidRDefault="00C34658" w:rsidP="00D55642">
            <w:pPr>
              <w:spacing w:before="0" w:line="240" w:lineRule="auto"/>
              <w:jc w:val="center"/>
              <w:rPr>
                <w:b/>
                <w:bCs/>
                <w:color w:val="000000"/>
                <w:sz w:val="22"/>
                <w:szCs w:val="22"/>
                <w:lang w:val="en-US"/>
              </w:rPr>
            </w:pPr>
            <w:r w:rsidRPr="00C60AD1">
              <w:rPr>
                <w:b/>
                <w:bCs/>
                <w:color w:val="000000"/>
                <w:sz w:val="22"/>
                <w:szCs w:val="22"/>
                <w:lang w:val="en-US"/>
              </w:rPr>
              <w:t xml:space="preserve"> E = D*C/10 </w:t>
            </w:r>
          </w:p>
        </w:tc>
        <w:tc>
          <w:tcPr>
            <w:tcW w:w="2099" w:type="dxa"/>
            <w:shd w:val="clear" w:color="auto" w:fill="auto"/>
            <w:noWrap/>
            <w:vAlign w:val="center"/>
            <w:hideMark/>
          </w:tcPr>
          <w:p w:rsidR="00C34658" w:rsidRDefault="00C34658" w:rsidP="00D55642">
            <w:pPr>
              <w:spacing w:before="0" w:line="240" w:lineRule="auto"/>
              <w:jc w:val="right"/>
              <w:rPr>
                <w:b/>
                <w:bCs/>
                <w:color w:val="000000"/>
                <w:sz w:val="22"/>
                <w:szCs w:val="22"/>
                <w:lang w:val="en-US"/>
              </w:rPr>
            </w:pPr>
            <w:r>
              <w:rPr>
                <w:color w:val="000000"/>
                <w:sz w:val="22"/>
                <w:szCs w:val="22"/>
              </w:rPr>
              <w:t>3,042.58</w:t>
            </w:r>
          </w:p>
        </w:tc>
      </w:tr>
    </w:tbl>
    <w:p w:rsidR="00C34658" w:rsidRPr="00C60AD1" w:rsidRDefault="00C34658" w:rsidP="00C34658">
      <w:pPr>
        <w:spacing w:before="0"/>
        <w:jc w:val="center"/>
        <w:rPr>
          <w:rFonts w:cs="Calibri"/>
          <w:b/>
          <w:sz w:val="22"/>
          <w:szCs w:val="22"/>
          <w:lang w:val="en-US"/>
        </w:rPr>
      </w:pPr>
    </w:p>
    <w:p w:rsidR="00D5771F" w:rsidRDefault="00C34658">
      <w:pPr>
        <w:pStyle w:val="Heading3"/>
        <w:tabs>
          <w:tab w:val="clear" w:pos="720"/>
        </w:tabs>
        <w:spacing w:after="240"/>
        <w:ind w:left="993" w:hanging="993"/>
      </w:pPr>
      <w:bookmarkStart w:id="799" w:name="_Toc357349082"/>
      <w:bookmarkStart w:id="800" w:name="_Toc357356135"/>
      <w:r w:rsidRPr="00C60AD1">
        <w:t xml:space="preserve">The Commission further reiterates that the actual inter-State transmission charges for FY </w:t>
      </w:r>
      <w:r>
        <w:t>2016-17</w:t>
      </w:r>
      <w:r w:rsidRPr="00C60AD1">
        <w:t xml:space="preserve"> would be allowed as pass through during true-up process subject to prudence check by the Commission based on audited accounts.</w:t>
      </w:r>
      <w:bookmarkStart w:id="801" w:name="_Toc357349083"/>
      <w:bookmarkEnd w:id="799"/>
      <w:bookmarkEnd w:id="800"/>
    </w:p>
    <w:p w:rsidR="00D5771F" w:rsidRDefault="00C34658">
      <w:pPr>
        <w:pStyle w:val="Heading3"/>
        <w:tabs>
          <w:tab w:val="clear" w:pos="720"/>
        </w:tabs>
        <w:spacing w:after="240"/>
        <w:ind w:left="993" w:hanging="993"/>
      </w:pPr>
      <w:r w:rsidRPr="00C60AD1">
        <w:t xml:space="preserve">The Commission has determined the bulk supply rate by dividing the power purchase cost including PGCIL charges so computed with the energy input (MU) at transmission-distribution interface. The Commission has approved the bulk power supply tariff for FY </w:t>
      </w:r>
      <w:r>
        <w:t>2016-17</w:t>
      </w:r>
      <w:r w:rsidRPr="00C60AD1">
        <w:t xml:space="preserve"> as given in the Table below:</w:t>
      </w:r>
    </w:p>
    <w:p w:rsidR="00C34658" w:rsidRPr="00C60AD1" w:rsidRDefault="00C34658" w:rsidP="00C34658">
      <w:pPr>
        <w:spacing w:before="0"/>
        <w:jc w:val="center"/>
        <w:rPr>
          <w:rFonts w:cstheme="minorHAnsi"/>
          <w:b/>
        </w:rPr>
      </w:pPr>
      <w:bookmarkStart w:id="802" w:name="_Ref325534998"/>
      <w:bookmarkStart w:id="803" w:name="_Toc395657966"/>
      <w:bookmarkStart w:id="804" w:name="_Toc396574017"/>
      <w:bookmarkStart w:id="805" w:name="_Toc399624118"/>
      <w:bookmarkStart w:id="806" w:name="_Toc453367695"/>
      <w:bookmarkStart w:id="807" w:name="_Toc338310702"/>
      <w:bookmarkStart w:id="808" w:name="_Toc338419532"/>
      <w:bookmarkStart w:id="809" w:name="_Toc357718742"/>
      <w:bookmarkStart w:id="810" w:name="_Toc457604066"/>
      <w:bookmarkEnd w:id="801"/>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50</w:t>
      </w:r>
      <w:r w:rsidR="009741CA" w:rsidRPr="00C60AD1">
        <w:rPr>
          <w:rFonts w:cs="Calibri"/>
          <w:b/>
          <w:sz w:val="22"/>
          <w:szCs w:val="22"/>
          <w:lang w:val="en-US"/>
        </w:rPr>
        <w:fldChar w:fldCharType="end"/>
      </w:r>
      <w:bookmarkEnd w:id="802"/>
      <w:r w:rsidRPr="00C60AD1">
        <w:rPr>
          <w:rFonts w:cs="Calibri"/>
          <w:b/>
          <w:sz w:val="22"/>
          <w:szCs w:val="22"/>
          <w:lang w:val="en-US"/>
        </w:rPr>
        <w:t>: APPROVED CONSOLIDATED BULK SUPPLY TARIFF</w:t>
      </w:r>
      <w:bookmarkEnd w:id="803"/>
      <w:bookmarkEnd w:id="804"/>
      <w:bookmarkEnd w:id="805"/>
      <w:bookmarkEnd w:id="806"/>
      <w:bookmarkEnd w:id="807"/>
      <w:bookmarkEnd w:id="808"/>
      <w:bookmarkEnd w:id="809"/>
      <w:bookmarkEnd w:id="810"/>
    </w:p>
    <w:tbl>
      <w:tblPr>
        <w:tblW w:w="8802" w:type="dxa"/>
        <w:jc w:val="center"/>
        <w:tblInd w:w="1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01"/>
        <w:gridCol w:w="1311"/>
        <w:gridCol w:w="1311"/>
        <w:gridCol w:w="1479"/>
      </w:tblGrid>
      <w:tr w:rsidR="00C34658" w:rsidRPr="0062314A" w:rsidTr="00D55642">
        <w:trPr>
          <w:trHeight w:val="600"/>
          <w:tblHeader/>
          <w:jc w:val="center"/>
        </w:trPr>
        <w:tc>
          <w:tcPr>
            <w:tcW w:w="4701" w:type="dxa"/>
            <w:shd w:val="clear" w:color="000000" w:fill="DBE5F1"/>
            <w:noWrap/>
            <w:hideMark/>
          </w:tcPr>
          <w:p w:rsidR="00C34658" w:rsidRPr="008B0C65" w:rsidRDefault="00C34658" w:rsidP="00D55642">
            <w:pPr>
              <w:spacing w:before="0" w:line="240" w:lineRule="auto"/>
              <w:jc w:val="center"/>
              <w:rPr>
                <w:rFonts w:asciiTheme="minorHAnsi" w:hAnsiTheme="minorHAnsi"/>
                <w:b/>
                <w:sz w:val="22"/>
                <w:szCs w:val="22"/>
              </w:rPr>
            </w:pPr>
            <w:r w:rsidRPr="008B0C65">
              <w:rPr>
                <w:rFonts w:asciiTheme="minorHAnsi" w:hAnsiTheme="minorHAnsi"/>
                <w:b/>
                <w:sz w:val="22"/>
                <w:szCs w:val="22"/>
              </w:rPr>
              <w:t>Particulars</w:t>
            </w:r>
          </w:p>
        </w:tc>
        <w:tc>
          <w:tcPr>
            <w:tcW w:w="1311" w:type="dxa"/>
            <w:shd w:val="clear" w:color="000000" w:fill="DBE5F1"/>
            <w:hideMark/>
          </w:tcPr>
          <w:p w:rsidR="00C34658" w:rsidRPr="008B0C65" w:rsidRDefault="00C34658" w:rsidP="00D55642">
            <w:pPr>
              <w:spacing w:before="0" w:line="240" w:lineRule="auto"/>
              <w:jc w:val="center"/>
              <w:rPr>
                <w:rFonts w:asciiTheme="minorHAnsi" w:hAnsiTheme="minorHAnsi"/>
                <w:b/>
                <w:sz w:val="22"/>
                <w:szCs w:val="22"/>
              </w:rPr>
            </w:pPr>
            <w:r w:rsidRPr="008B0C65">
              <w:rPr>
                <w:rFonts w:asciiTheme="minorHAnsi" w:hAnsiTheme="minorHAnsi"/>
                <w:b/>
                <w:sz w:val="22"/>
                <w:szCs w:val="22"/>
              </w:rPr>
              <w:t>Derivation</w:t>
            </w:r>
          </w:p>
        </w:tc>
        <w:tc>
          <w:tcPr>
            <w:tcW w:w="1311" w:type="dxa"/>
            <w:shd w:val="clear" w:color="000000" w:fill="DBE5F1"/>
          </w:tcPr>
          <w:p w:rsidR="00C34658" w:rsidRPr="008B0C65" w:rsidRDefault="00C34658" w:rsidP="00D55642">
            <w:pPr>
              <w:spacing w:before="0" w:line="240" w:lineRule="auto"/>
              <w:jc w:val="center"/>
              <w:rPr>
                <w:rFonts w:asciiTheme="minorHAnsi" w:hAnsiTheme="minorHAnsi"/>
                <w:b/>
                <w:sz w:val="22"/>
                <w:szCs w:val="22"/>
              </w:rPr>
            </w:pPr>
            <w:r w:rsidRPr="008B0C65">
              <w:rPr>
                <w:rFonts w:asciiTheme="minorHAnsi" w:hAnsiTheme="minorHAnsi"/>
                <w:b/>
                <w:sz w:val="22"/>
                <w:szCs w:val="22"/>
              </w:rPr>
              <w:t>ARR</w:t>
            </w:r>
          </w:p>
          <w:p w:rsidR="00C34658" w:rsidRPr="008B0C65" w:rsidRDefault="00C34658" w:rsidP="00D55642">
            <w:pPr>
              <w:spacing w:before="0" w:line="240" w:lineRule="auto"/>
              <w:jc w:val="center"/>
              <w:rPr>
                <w:rFonts w:asciiTheme="minorHAnsi" w:hAnsiTheme="minorHAnsi"/>
                <w:b/>
                <w:sz w:val="22"/>
                <w:szCs w:val="22"/>
              </w:rPr>
            </w:pPr>
            <w:r w:rsidRPr="008B0C65">
              <w:rPr>
                <w:rFonts w:asciiTheme="minorHAnsi" w:hAnsiTheme="minorHAnsi"/>
                <w:b/>
                <w:sz w:val="22"/>
                <w:szCs w:val="22"/>
              </w:rPr>
              <w:t>Petition</w:t>
            </w:r>
          </w:p>
        </w:tc>
        <w:tc>
          <w:tcPr>
            <w:tcW w:w="1479" w:type="dxa"/>
            <w:shd w:val="clear" w:color="000000" w:fill="DBE5F1"/>
            <w:hideMark/>
          </w:tcPr>
          <w:p w:rsidR="00C34658" w:rsidRPr="008B0C65" w:rsidRDefault="00C34658" w:rsidP="00D55642">
            <w:pPr>
              <w:spacing w:before="0" w:line="240" w:lineRule="auto"/>
              <w:jc w:val="center"/>
              <w:rPr>
                <w:rFonts w:asciiTheme="minorHAnsi" w:hAnsiTheme="minorHAnsi"/>
                <w:b/>
                <w:sz w:val="22"/>
                <w:szCs w:val="22"/>
              </w:rPr>
            </w:pPr>
            <w:r w:rsidRPr="008B0C65">
              <w:rPr>
                <w:rFonts w:asciiTheme="minorHAnsi" w:hAnsiTheme="minorHAnsi"/>
                <w:b/>
                <w:sz w:val="22"/>
                <w:szCs w:val="22"/>
              </w:rPr>
              <w:t>FY 2016-17</w:t>
            </w:r>
            <w:r w:rsidRPr="008B0C65">
              <w:rPr>
                <w:rFonts w:asciiTheme="minorHAnsi" w:hAnsiTheme="minorHAnsi"/>
                <w:b/>
                <w:sz w:val="22"/>
                <w:szCs w:val="22"/>
              </w:rPr>
              <w:br/>
              <w:t>Approved</w:t>
            </w:r>
          </w:p>
        </w:tc>
      </w:tr>
      <w:tr w:rsidR="00C34658" w:rsidRPr="0062314A" w:rsidTr="00D55642">
        <w:trPr>
          <w:trHeight w:val="300"/>
          <w:jc w:val="center"/>
        </w:trPr>
        <w:tc>
          <w:tcPr>
            <w:tcW w:w="4701" w:type="dxa"/>
            <w:shd w:val="clear" w:color="auto" w:fill="auto"/>
            <w:vAlign w:val="center"/>
            <w:hideMark/>
          </w:tcPr>
          <w:p w:rsidR="00C34658" w:rsidRPr="008B0C65" w:rsidRDefault="00C34658" w:rsidP="00D55642">
            <w:pPr>
              <w:spacing w:before="0" w:line="240" w:lineRule="auto"/>
              <w:rPr>
                <w:rFonts w:asciiTheme="minorHAnsi" w:hAnsiTheme="minorHAnsi"/>
                <w:lang w:val="en-US"/>
              </w:rPr>
            </w:pPr>
            <w:r w:rsidRPr="008B0C65">
              <w:rPr>
                <w:rFonts w:asciiTheme="minorHAnsi" w:eastAsia="Calibri" w:hAnsiTheme="minorHAnsi"/>
                <w:sz w:val="22"/>
                <w:szCs w:val="22"/>
                <w:lang w:val="en-US"/>
              </w:rPr>
              <w:lastRenderedPageBreak/>
              <w:t>Purchases Required &amp; Billed Energy (MU)</w:t>
            </w:r>
          </w:p>
        </w:tc>
        <w:tc>
          <w:tcPr>
            <w:tcW w:w="1311" w:type="dxa"/>
            <w:shd w:val="clear" w:color="auto" w:fill="auto"/>
            <w:noWrap/>
            <w:vAlign w:val="center"/>
            <w:hideMark/>
          </w:tcPr>
          <w:p w:rsidR="00C34658" w:rsidRPr="008B0C65" w:rsidRDefault="00C34658" w:rsidP="00D55642">
            <w:pPr>
              <w:spacing w:before="0" w:line="240" w:lineRule="auto"/>
              <w:jc w:val="center"/>
              <w:rPr>
                <w:rFonts w:asciiTheme="minorHAnsi" w:hAnsiTheme="minorHAnsi"/>
                <w:lang w:val="en-US"/>
              </w:rPr>
            </w:pPr>
            <w:r w:rsidRPr="008B0C65">
              <w:rPr>
                <w:rFonts w:asciiTheme="minorHAnsi" w:eastAsia="Calibri" w:hAnsiTheme="minorHAnsi"/>
                <w:sz w:val="22"/>
                <w:szCs w:val="22"/>
                <w:lang w:val="en-US"/>
              </w:rPr>
              <w:t>A</w:t>
            </w:r>
          </w:p>
        </w:tc>
        <w:tc>
          <w:tcPr>
            <w:tcW w:w="1311" w:type="dxa"/>
            <w:vAlign w:val="center"/>
          </w:tcPr>
          <w:p w:rsidR="00C34658" w:rsidRPr="008B0C65" w:rsidRDefault="00C34658" w:rsidP="00D55642">
            <w:pPr>
              <w:spacing w:before="0" w:line="240" w:lineRule="auto"/>
              <w:jc w:val="right"/>
              <w:rPr>
                <w:rFonts w:asciiTheme="minorHAnsi" w:hAnsiTheme="minorHAnsi"/>
                <w:lang w:val="en-US"/>
              </w:rPr>
            </w:pPr>
            <w:r w:rsidRPr="008B0C65">
              <w:rPr>
                <w:rFonts w:asciiTheme="minorHAnsi" w:eastAsia="Calibri" w:hAnsiTheme="minorHAnsi"/>
                <w:color w:val="000000"/>
                <w:sz w:val="22"/>
                <w:szCs w:val="22"/>
                <w:lang w:val="en-US"/>
              </w:rPr>
              <w:t xml:space="preserve">125,627.02 </w:t>
            </w:r>
          </w:p>
        </w:tc>
        <w:tc>
          <w:tcPr>
            <w:tcW w:w="1479" w:type="dxa"/>
            <w:shd w:val="clear" w:color="auto" w:fill="auto"/>
            <w:noWrap/>
            <w:vAlign w:val="center"/>
            <w:hideMark/>
          </w:tcPr>
          <w:p w:rsidR="00C34658" w:rsidRPr="008B0C65" w:rsidRDefault="00C34658" w:rsidP="00D55642">
            <w:pPr>
              <w:spacing w:before="0" w:line="240" w:lineRule="auto"/>
              <w:jc w:val="right"/>
              <w:rPr>
                <w:rFonts w:asciiTheme="minorHAnsi" w:hAnsiTheme="minorHAnsi"/>
                <w:lang w:val="en-US"/>
              </w:rPr>
            </w:pPr>
            <w:r w:rsidRPr="008B0C65">
              <w:rPr>
                <w:rFonts w:asciiTheme="minorHAnsi" w:eastAsia="Calibri" w:hAnsiTheme="minorHAnsi"/>
                <w:color w:val="000000"/>
                <w:sz w:val="22"/>
                <w:szCs w:val="22"/>
                <w:lang w:val="en-US"/>
              </w:rPr>
              <w:t xml:space="preserve">127,414.15 </w:t>
            </w:r>
          </w:p>
        </w:tc>
      </w:tr>
      <w:tr w:rsidR="00C34658" w:rsidRPr="0062314A" w:rsidTr="00D55642">
        <w:trPr>
          <w:trHeight w:val="300"/>
          <w:jc w:val="center"/>
        </w:trPr>
        <w:tc>
          <w:tcPr>
            <w:tcW w:w="4701" w:type="dxa"/>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eastAsia="Calibri" w:hAnsiTheme="minorHAnsi"/>
                <w:sz w:val="22"/>
                <w:szCs w:val="22"/>
                <w:lang w:val="en-US"/>
              </w:rPr>
              <w:t>Periphery Loss (Up to inter connection Point) (%)</w:t>
            </w:r>
          </w:p>
        </w:tc>
        <w:tc>
          <w:tcPr>
            <w:tcW w:w="1311" w:type="dxa"/>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eastAsia="Calibri" w:hAnsiTheme="minorHAnsi"/>
                <w:sz w:val="22"/>
                <w:szCs w:val="22"/>
                <w:lang w:val="en-US"/>
              </w:rPr>
              <w:t>B</w:t>
            </w:r>
          </w:p>
        </w:tc>
        <w:tc>
          <w:tcPr>
            <w:tcW w:w="1311" w:type="dxa"/>
            <w:vAlign w:val="center"/>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1.65%</w:t>
            </w:r>
          </w:p>
        </w:tc>
        <w:tc>
          <w:tcPr>
            <w:tcW w:w="1479" w:type="dxa"/>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1.65%</w:t>
            </w:r>
          </w:p>
        </w:tc>
      </w:tr>
      <w:tr w:rsidR="00C34658" w:rsidRPr="0062314A" w:rsidTr="00D55642">
        <w:trPr>
          <w:trHeight w:val="300"/>
          <w:jc w:val="center"/>
        </w:trPr>
        <w:tc>
          <w:tcPr>
            <w:tcW w:w="4701" w:type="dxa"/>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eastAsia="Calibri" w:hAnsiTheme="minorHAnsi"/>
                <w:sz w:val="22"/>
                <w:szCs w:val="22"/>
                <w:lang w:val="en-US"/>
              </w:rPr>
              <w:t>Energy Available at State periphery for Transmission (MU)</w:t>
            </w:r>
          </w:p>
        </w:tc>
        <w:tc>
          <w:tcPr>
            <w:tcW w:w="1311" w:type="dxa"/>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eastAsia="Calibri" w:hAnsiTheme="minorHAnsi"/>
                <w:sz w:val="22"/>
                <w:szCs w:val="22"/>
                <w:lang w:val="en-US"/>
              </w:rPr>
              <w:t>C =A* (1-B)</w:t>
            </w:r>
          </w:p>
        </w:tc>
        <w:tc>
          <w:tcPr>
            <w:tcW w:w="1311" w:type="dxa"/>
            <w:vAlign w:val="center"/>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 xml:space="preserve">123,554.18 </w:t>
            </w:r>
          </w:p>
        </w:tc>
        <w:tc>
          <w:tcPr>
            <w:tcW w:w="1479" w:type="dxa"/>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 xml:space="preserve">125,311.82 </w:t>
            </w:r>
          </w:p>
        </w:tc>
      </w:tr>
      <w:tr w:rsidR="00C34658" w:rsidRPr="0062314A" w:rsidTr="00D55642">
        <w:trPr>
          <w:trHeight w:val="300"/>
          <w:jc w:val="center"/>
        </w:trPr>
        <w:tc>
          <w:tcPr>
            <w:tcW w:w="4701" w:type="dxa"/>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eastAsia="Calibri" w:hAnsiTheme="minorHAnsi"/>
                <w:sz w:val="22"/>
                <w:szCs w:val="22"/>
                <w:lang w:val="en-US"/>
              </w:rPr>
              <w:t>Intra -State Transmission losses %</w:t>
            </w:r>
          </w:p>
        </w:tc>
        <w:tc>
          <w:tcPr>
            <w:tcW w:w="1311" w:type="dxa"/>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eastAsia="Calibri" w:hAnsiTheme="minorHAnsi"/>
                <w:sz w:val="22"/>
                <w:szCs w:val="22"/>
                <w:lang w:val="en-US"/>
              </w:rPr>
              <w:t>D</w:t>
            </w:r>
          </w:p>
        </w:tc>
        <w:tc>
          <w:tcPr>
            <w:tcW w:w="1311" w:type="dxa"/>
            <w:vAlign w:val="center"/>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3.67%</w:t>
            </w:r>
          </w:p>
        </w:tc>
        <w:tc>
          <w:tcPr>
            <w:tcW w:w="1479" w:type="dxa"/>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3.59%</w:t>
            </w:r>
          </w:p>
        </w:tc>
      </w:tr>
      <w:tr w:rsidR="00C34658" w:rsidRPr="0062314A" w:rsidTr="00D55642">
        <w:trPr>
          <w:trHeight w:val="300"/>
          <w:jc w:val="center"/>
        </w:trPr>
        <w:tc>
          <w:tcPr>
            <w:tcW w:w="4701" w:type="dxa"/>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eastAsia="Calibri" w:hAnsiTheme="minorHAnsi"/>
                <w:sz w:val="22"/>
                <w:szCs w:val="22"/>
                <w:lang w:val="en-US"/>
              </w:rPr>
              <w:t>Energy Input into Transmission-Distribution Interface (MU)</w:t>
            </w:r>
          </w:p>
        </w:tc>
        <w:tc>
          <w:tcPr>
            <w:tcW w:w="1311" w:type="dxa"/>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eastAsia="Calibri" w:hAnsiTheme="minorHAnsi"/>
                <w:sz w:val="22"/>
                <w:szCs w:val="22"/>
                <w:lang w:val="en-US"/>
              </w:rPr>
              <w:t>E=C* (1-D)</w:t>
            </w:r>
          </w:p>
        </w:tc>
        <w:tc>
          <w:tcPr>
            <w:tcW w:w="1311" w:type="dxa"/>
            <w:vAlign w:val="center"/>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 xml:space="preserve">119,019.74 </w:t>
            </w:r>
          </w:p>
        </w:tc>
        <w:tc>
          <w:tcPr>
            <w:tcW w:w="1479" w:type="dxa"/>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 xml:space="preserve">120,813.12 </w:t>
            </w:r>
          </w:p>
        </w:tc>
      </w:tr>
      <w:tr w:rsidR="00C34658" w:rsidRPr="0062314A" w:rsidTr="00D55642">
        <w:trPr>
          <w:trHeight w:val="300"/>
          <w:jc w:val="center"/>
        </w:trPr>
        <w:tc>
          <w:tcPr>
            <w:tcW w:w="4701" w:type="dxa"/>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eastAsia="Calibri" w:hAnsiTheme="minorHAnsi"/>
                <w:sz w:val="22"/>
                <w:szCs w:val="22"/>
                <w:lang w:val="en-US"/>
              </w:rPr>
              <w:t>Power Purchase Cost (Rs. Crore)</w:t>
            </w:r>
          </w:p>
        </w:tc>
        <w:tc>
          <w:tcPr>
            <w:tcW w:w="1311" w:type="dxa"/>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eastAsia="Calibri" w:hAnsiTheme="minorHAnsi"/>
                <w:sz w:val="22"/>
                <w:szCs w:val="22"/>
                <w:lang w:val="en-US"/>
              </w:rPr>
              <w:t>F</w:t>
            </w:r>
          </w:p>
        </w:tc>
        <w:tc>
          <w:tcPr>
            <w:tcW w:w="1311" w:type="dxa"/>
            <w:vAlign w:val="center"/>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 xml:space="preserve">49,848.13 </w:t>
            </w:r>
          </w:p>
        </w:tc>
        <w:tc>
          <w:tcPr>
            <w:tcW w:w="1479" w:type="dxa"/>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48,4</w:t>
            </w:r>
            <w:r>
              <w:rPr>
                <w:rFonts w:asciiTheme="minorHAnsi" w:eastAsia="Calibri" w:hAnsiTheme="minorHAnsi"/>
                <w:color w:val="000000"/>
                <w:sz w:val="22"/>
                <w:szCs w:val="22"/>
                <w:lang w:val="en-US"/>
              </w:rPr>
              <w:t>51.06</w:t>
            </w:r>
          </w:p>
        </w:tc>
      </w:tr>
      <w:tr w:rsidR="00C34658" w:rsidRPr="0062314A" w:rsidTr="00D55642">
        <w:trPr>
          <w:trHeight w:val="300"/>
          <w:jc w:val="center"/>
        </w:trPr>
        <w:tc>
          <w:tcPr>
            <w:tcW w:w="4701" w:type="dxa"/>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eastAsia="Calibri" w:hAnsiTheme="minorHAnsi"/>
                <w:sz w:val="22"/>
                <w:szCs w:val="22"/>
                <w:lang w:val="en-US"/>
              </w:rPr>
              <w:t>PGCIL Inter-State transmission charges (Rs. Crore)</w:t>
            </w:r>
          </w:p>
        </w:tc>
        <w:tc>
          <w:tcPr>
            <w:tcW w:w="1311" w:type="dxa"/>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eastAsia="Calibri" w:hAnsiTheme="minorHAnsi"/>
                <w:sz w:val="22"/>
                <w:szCs w:val="22"/>
                <w:lang w:val="en-US"/>
              </w:rPr>
              <w:t>G</w:t>
            </w:r>
          </w:p>
        </w:tc>
        <w:tc>
          <w:tcPr>
            <w:tcW w:w="1311" w:type="dxa"/>
            <w:vAlign w:val="center"/>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 xml:space="preserve">2,999.90 </w:t>
            </w:r>
          </w:p>
        </w:tc>
        <w:tc>
          <w:tcPr>
            <w:tcW w:w="1479" w:type="dxa"/>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 xml:space="preserve">3,042.58 </w:t>
            </w:r>
          </w:p>
        </w:tc>
      </w:tr>
      <w:tr w:rsidR="00C34658" w:rsidRPr="0062314A" w:rsidTr="00D55642">
        <w:trPr>
          <w:trHeight w:val="300"/>
          <w:jc w:val="center"/>
        </w:trPr>
        <w:tc>
          <w:tcPr>
            <w:tcW w:w="4701" w:type="dxa"/>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eastAsia="Calibri" w:hAnsiTheme="minorHAnsi"/>
                <w:sz w:val="22"/>
                <w:szCs w:val="22"/>
                <w:lang w:val="en-US"/>
              </w:rPr>
              <w:t>Total Power Procurement Cost (Rs. Crore)</w:t>
            </w:r>
          </w:p>
        </w:tc>
        <w:tc>
          <w:tcPr>
            <w:tcW w:w="1311" w:type="dxa"/>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rPr>
            </w:pPr>
            <w:r w:rsidRPr="008B0C65">
              <w:rPr>
                <w:rFonts w:asciiTheme="minorHAnsi" w:eastAsia="Calibri" w:hAnsiTheme="minorHAnsi"/>
                <w:sz w:val="22"/>
                <w:szCs w:val="22"/>
                <w:lang w:val="en-US"/>
              </w:rPr>
              <w:t>H=F+G</w:t>
            </w:r>
          </w:p>
        </w:tc>
        <w:tc>
          <w:tcPr>
            <w:tcW w:w="1311" w:type="dxa"/>
            <w:vAlign w:val="center"/>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 xml:space="preserve">52,848.03 </w:t>
            </w:r>
          </w:p>
        </w:tc>
        <w:tc>
          <w:tcPr>
            <w:tcW w:w="1479" w:type="dxa"/>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US"/>
              </w:rPr>
            </w:pPr>
            <w:r w:rsidRPr="008B0C65">
              <w:rPr>
                <w:rFonts w:asciiTheme="minorHAnsi" w:eastAsia="Calibri" w:hAnsiTheme="minorHAnsi"/>
                <w:color w:val="000000"/>
                <w:sz w:val="22"/>
                <w:szCs w:val="22"/>
                <w:lang w:val="en-US"/>
              </w:rPr>
              <w:t>51,4</w:t>
            </w:r>
            <w:r>
              <w:rPr>
                <w:rFonts w:asciiTheme="minorHAnsi" w:eastAsia="Calibri" w:hAnsiTheme="minorHAnsi"/>
                <w:color w:val="000000"/>
                <w:sz w:val="22"/>
                <w:szCs w:val="22"/>
                <w:lang w:val="en-US"/>
              </w:rPr>
              <w:t>93.63</w:t>
            </w:r>
          </w:p>
        </w:tc>
      </w:tr>
      <w:tr w:rsidR="00C34658" w:rsidRPr="0062314A" w:rsidTr="00D55642">
        <w:trPr>
          <w:trHeight w:val="300"/>
          <w:jc w:val="center"/>
        </w:trPr>
        <w:tc>
          <w:tcPr>
            <w:tcW w:w="4701" w:type="dxa"/>
            <w:shd w:val="clear" w:color="auto" w:fill="auto"/>
            <w:vAlign w:val="center"/>
            <w:hideMark/>
          </w:tcPr>
          <w:p w:rsidR="00C34658" w:rsidRPr="008B0C65" w:rsidRDefault="00C34658" w:rsidP="00D55642">
            <w:pPr>
              <w:spacing w:before="0" w:line="240" w:lineRule="auto"/>
              <w:rPr>
                <w:rFonts w:asciiTheme="minorHAnsi" w:hAnsiTheme="minorHAnsi"/>
              </w:rPr>
            </w:pPr>
            <w:r w:rsidRPr="008B0C65">
              <w:rPr>
                <w:rFonts w:asciiTheme="minorHAnsi" w:eastAsia="Calibri" w:hAnsiTheme="minorHAnsi"/>
                <w:sz w:val="22"/>
                <w:szCs w:val="22"/>
                <w:lang w:val="en-US"/>
              </w:rPr>
              <w:t>Bulk Supply Tariff (Rs./Unit)</w:t>
            </w:r>
          </w:p>
        </w:tc>
        <w:tc>
          <w:tcPr>
            <w:tcW w:w="1311" w:type="dxa"/>
            <w:shd w:val="clear" w:color="auto" w:fill="auto"/>
            <w:noWrap/>
            <w:vAlign w:val="center"/>
            <w:hideMark/>
          </w:tcPr>
          <w:p w:rsidR="00C34658" w:rsidRPr="008B0C65" w:rsidRDefault="00C34658" w:rsidP="00D55642">
            <w:pPr>
              <w:spacing w:before="0" w:line="240" w:lineRule="auto"/>
              <w:jc w:val="center"/>
              <w:rPr>
                <w:rFonts w:asciiTheme="minorHAnsi" w:hAnsiTheme="minorHAnsi"/>
              </w:rPr>
            </w:pPr>
            <w:r w:rsidRPr="008B0C65">
              <w:rPr>
                <w:rFonts w:asciiTheme="minorHAnsi" w:eastAsia="Calibri" w:hAnsiTheme="minorHAnsi"/>
                <w:sz w:val="22"/>
                <w:szCs w:val="22"/>
                <w:lang w:val="en-US"/>
              </w:rPr>
              <w:t>I= (H/E)*10</w:t>
            </w:r>
          </w:p>
        </w:tc>
        <w:tc>
          <w:tcPr>
            <w:tcW w:w="1311" w:type="dxa"/>
            <w:vAlign w:val="center"/>
          </w:tcPr>
          <w:p w:rsidR="00C34658" w:rsidRPr="008B0C65" w:rsidRDefault="00C34658" w:rsidP="00D55642">
            <w:pPr>
              <w:spacing w:before="0" w:line="240" w:lineRule="auto"/>
              <w:jc w:val="right"/>
              <w:rPr>
                <w:rFonts w:asciiTheme="minorHAnsi" w:hAnsiTheme="minorHAnsi"/>
                <w:lang w:val="en-US"/>
              </w:rPr>
            </w:pPr>
            <w:r w:rsidRPr="008B0C65">
              <w:rPr>
                <w:rFonts w:asciiTheme="minorHAnsi" w:eastAsia="Calibri" w:hAnsiTheme="minorHAnsi"/>
                <w:bCs/>
                <w:color w:val="000000"/>
                <w:sz w:val="22"/>
                <w:szCs w:val="22"/>
                <w:lang w:val="en-US"/>
              </w:rPr>
              <w:t xml:space="preserve">4.44 </w:t>
            </w:r>
          </w:p>
        </w:tc>
        <w:tc>
          <w:tcPr>
            <w:tcW w:w="1479" w:type="dxa"/>
            <w:shd w:val="clear" w:color="auto" w:fill="auto"/>
            <w:noWrap/>
            <w:vAlign w:val="center"/>
            <w:hideMark/>
          </w:tcPr>
          <w:p w:rsidR="00C34658" w:rsidRPr="008B0C65" w:rsidRDefault="00C34658" w:rsidP="00D55642">
            <w:pPr>
              <w:spacing w:before="0" w:line="240" w:lineRule="auto"/>
              <w:jc w:val="right"/>
              <w:rPr>
                <w:rFonts w:asciiTheme="minorHAnsi" w:hAnsiTheme="minorHAnsi"/>
                <w:lang w:val="en-US"/>
              </w:rPr>
            </w:pPr>
            <w:r w:rsidRPr="008B0C65">
              <w:rPr>
                <w:rFonts w:asciiTheme="minorHAnsi" w:eastAsia="Calibri" w:hAnsiTheme="minorHAnsi"/>
                <w:color w:val="000000"/>
                <w:sz w:val="22"/>
                <w:szCs w:val="22"/>
                <w:lang w:val="en-US"/>
              </w:rPr>
              <w:t xml:space="preserve">4.26 </w:t>
            </w:r>
          </w:p>
        </w:tc>
      </w:tr>
    </w:tbl>
    <w:p w:rsidR="00C34658" w:rsidRDefault="00C34658" w:rsidP="00C34658">
      <w:pPr>
        <w:pStyle w:val="Heading3"/>
        <w:numPr>
          <w:ilvl w:val="0"/>
          <w:numId w:val="0"/>
        </w:numPr>
        <w:tabs>
          <w:tab w:val="clear" w:pos="720"/>
        </w:tabs>
        <w:spacing w:before="0" w:after="240"/>
        <w:ind w:left="993"/>
      </w:pPr>
      <w:bookmarkStart w:id="811" w:name="_Toc357349084"/>
      <w:bookmarkStart w:id="812" w:name="_Toc357356137"/>
    </w:p>
    <w:p w:rsidR="00D5771F" w:rsidRDefault="00C34658">
      <w:pPr>
        <w:pStyle w:val="Heading3"/>
        <w:tabs>
          <w:tab w:val="clear" w:pos="720"/>
        </w:tabs>
        <w:spacing w:before="0" w:after="240"/>
        <w:ind w:left="993" w:hanging="993"/>
      </w:pPr>
      <w:r w:rsidRPr="00C60AD1">
        <w:t xml:space="preserve">Based on the approved quantum, the Commission has approved power procurement cost for DVVNL for FY </w:t>
      </w:r>
      <w:r>
        <w:t>2016-17</w:t>
      </w:r>
      <w:r w:rsidRPr="00C60AD1">
        <w:t xml:space="preserve"> as given in the Table below:</w:t>
      </w:r>
      <w:bookmarkEnd w:id="811"/>
      <w:bookmarkEnd w:id="812"/>
    </w:p>
    <w:p w:rsidR="00C34658" w:rsidRPr="00C60AD1" w:rsidRDefault="00C34658" w:rsidP="00C34658">
      <w:pPr>
        <w:spacing w:before="0"/>
        <w:jc w:val="center"/>
        <w:rPr>
          <w:rFonts w:cs="Calibri"/>
          <w:b/>
          <w:sz w:val="22"/>
          <w:szCs w:val="22"/>
          <w:lang w:val="en-US"/>
        </w:rPr>
      </w:pPr>
      <w:bookmarkStart w:id="813" w:name="_Ref325535083"/>
      <w:bookmarkStart w:id="814" w:name="_Toc338310703"/>
      <w:bookmarkStart w:id="815" w:name="_Toc338419533"/>
      <w:bookmarkStart w:id="816" w:name="_Toc357718743"/>
      <w:bookmarkStart w:id="817" w:name="_Toc395657967"/>
      <w:bookmarkStart w:id="818" w:name="_Toc396574018"/>
      <w:bookmarkStart w:id="819" w:name="_Toc399624119"/>
      <w:bookmarkStart w:id="820" w:name="_Toc453367696"/>
      <w:bookmarkStart w:id="821" w:name="_Toc457604067"/>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51</w:t>
      </w:r>
      <w:r w:rsidR="009741CA" w:rsidRPr="00C60AD1">
        <w:rPr>
          <w:rFonts w:cs="Calibri"/>
          <w:b/>
          <w:sz w:val="22"/>
          <w:szCs w:val="22"/>
          <w:lang w:val="en-US"/>
        </w:rPr>
        <w:fldChar w:fldCharType="end"/>
      </w:r>
      <w:bookmarkEnd w:id="813"/>
      <w:r w:rsidRPr="00C60AD1">
        <w:rPr>
          <w:rFonts w:cs="Calibri"/>
          <w:b/>
          <w:sz w:val="22"/>
          <w:szCs w:val="22"/>
          <w:lang w:val="en-US"/>
        </w:rPr>
        <w:t xml:space="preserve">: POWER PROCUREMENT COST FOR DVVNL FOR FY </w:t>
      </w:r>
      <w:bookmarkEnd w:id="814"/>
      <w:bookmarkEnd w:id="815"/>
      <w:bookmarkEnd w:id="816"/>
      <w:bookmarkEnd w:id="817"/>
      <w:bookmarkEnd w:id="818"/>
      <w:bookmarkEnd w:id="819"/>
      <w:r>
        <w:rPr>
          <w:rFonts w:cs="Calibri"/>
          <w:b/>
          <w:sz w:val="22"/>
          <w:szCs w:val="22"/>
          <w:lang w:val="en-US"/>
        </w:rPr>
        <w:t>2016-17</w:t>
      </w:r>
      <w:bookmarkEnd w:id="820"/>
      <w:bookmarkEnd w:id="821"/>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785"/>
        <w:gridCol w:w="1278"/>
        <w:gridCol w:w="1276"/>
        <w:gridCol w:w="1546"/>
      </w:tblGrid>
      <w:tr w:rsidR="00C34658" w:rsidRPr="00C60AD1" w:rsidTr="00D55642">
        <w:trPr>
          <w:trHeight w:val="600"/>
          <w:jc w:val="center"/>
        </w:trPr>
        <w:tc>
          <w:tcPr>
            <w:tcW w:w="2693" w:type="pct"/>
            <w:shd w:val="clear" w:color="000000" w:fill="DBE5F1"/>
            <w:noWrap/>
            <w:hideMark/>
          </w:tcPr>
          <w:p w:rsidR="00C34658" w:rsidRPr="00C60AD1" w:rsidRDefault="00C34658" w:rsidP="00D55642">
            <w:pPr>
              <w:spacing w:before="0"/>
              <w:jc w:val="center"/>
              <w:rPr>
                <w:b/>
                <w:sz w:val="22"/>
                <w:szCs w:val="22"/>
                <w:lang w:eastAsia="en-IN"/>
              </w:rPr>
            </w:pPr>
            <w:r w:rsidRPr="00C60AD1">
              <w:rPr>
                <w:b/>
                <w:sz w:val="22"/>
                <w:szCs w:val="22"/>
                <w:lang w:eastAsia="en-IN"/>
              </w:rPr>
              <w:t>Particulars</w:t>
            </w:r>
          </w:p>
        </w:tc>
        <w:tc>
          <w:tcPr>
            <w:tcW w:w="719" w:type="pct"/>
            <w:shd w:val="clear" w:color="000000" w:fill="DBE5F1"/>
            <w:hideMark/>
          </w:tcPr>
          <w:p w:rsidR="00C34658" w:rsidRPr="00C60AD1" w:rsidRDefault="00C34658" w:rsidP="00D55642">
            <w:pPr>
              <w:spacing w:before="0"/>
              <w:jc w:val="center"/>
              <w:rPr>
                <w:b/>
                <w:sz w:val="22"/>
                <w:szCs w:val="22"/>
                <w:lang w:eastAsia="en-IN"/>
              </w:rPr>
            </w:pPr>
            <w:r w:rsidRPr="00C60AD1">
              <w:rPr>
                <w:b/>
                <w:sz w:val="22"/>
                <w:szCs w:val="22"/>
                <w:lang w:eastAsia="en-IN"/>
              </w:rPr>
              <w:t>Derivation</w:t>
            </w:r>
          </w:p>
        </w:tc>
        <w:tc>
          <w:tcPr>
            <w:tcW w:w="718" w:type="pct"/>
            <w:shd w:val="clear" w:color="000000" w:fill="DBE5F1"/>
          </w:tcPr>
          <w:p w:rsidR="00C34658" w:rsidRPr="00C60AD1" w:rsidRDefault="00C34658" w:rsidP="00D55642">
            <w:pPr>
              <w:spacing w:before="0"/>
              <w:jc w:val="center"/>
              <w:rPr>
                <w:b/>
                <w:sz w:val="22"/>
                <w:szCs w:val="22"/>
                <w:lang w:eastAsia="en-IN"/>
              </w:rPr>
            </w:pPr>
            <w:r w:rsidRPr="00C60AD1">
              <w:rPr>
                <w:b/>
                <w:sz w:val="22"/>
                <w:szCs w:val="22"/>
                <w:lang w:eastAsia="en-IN"/>
              </w:rPr>
              <w:t>ARR</w:t>
            </w:r>
          </w:p>
          <w:p w:rsidR="00C34658" w:rsidRPr="00C60AD1" w:rsidRDefault="00C34658" w:rsidP="00D55642">
            <w:pPr>
              <w:spacing w:before="0"/>
              <w:jc w:val="center"/>
              <w:rPr>
                <w:b/>
                <w:sz w:val="22"/>
                <w:szCs w:val="22"/>
                <w:lang w:eastAsia="en-IN"/>
              </w:rPr>
            </w:pPr>
            <w:r w:rsidRPr="00C60AD1">
              <w:rPr>
                <w:b/>
                <w:sz w:val="22"/>
                <w:szCs w:val="22"/>
                <w:lang w:eastAsia="en-IN"/>
              </w:rPr>
              <w:t>Petition</w:t>
            </w:r>
          </w:p>
        </w:tc>
        <w:tc>
          <w:tcPr>
            <w:tcW w:w="870" w:type="pct"/>
            <w:shd w:val="clear" w:color="000000" w:fill="DBE5F1"/>
            <w:hideMark/>
          </w:tcPr>
          <w:p w:rsidR="00C34658" w:rsidRPr="00C60AD1" w:rsidRDefault="00C34658" w:rsidP="00D55642">
            <w:pPr>
              <w:spacing w:before="0"/>
              <w:jc w:val="center"/>
              <w:rPr>
                <w:b/>
                <w:sz w:val="22"/>
                <w:szCs w:val="22"/>
                <w:lang w:eastAsia="en-IN"/>
              </w:rPr>
            </w:pPr>
            <w:r w:rsidRPr="00C60AD1">
              <w:rPr>
                <w:b/>
                <w:sz w:val="22"/>
                <w:szCs w:val="22"/>
                <w:lang w:eastAsia="en-IN"/>
              </w:rPr>
              <w:t xml:space="preserve">FY </w:t>
            </w:r>
            <w:r>
              <w:rPr>
                <w:b/>
                <w:sz w:val="22"/>
                <w:szCs w:val="22"/>
                <w:lang w:eastAsia="en-IN"/>
              </w:rPr>
              <w:t>2016-17</w:t>
            </w:r>
          </w:p>
          <w:p w:rsidR="00C34658" w:rsidRPr="00C60AD1" w:rsidRDefault="00C34658" w:rsidP="00D55642">
            <w:pPr>
              <w:spacing w:before="0"/>
              <w:jc w:val="center"/>
              <w:rPr>
                <w:b/>
                <w:kern w:val="32"/>
                <w:sz w:val="22"/>
                <w:szCs w:val="22"/>
                <w:lang w:eastAsia="en-IN"/>
              </w:rPr>
            </w:pPr>
            <w:r w:rsidRPr="00C60AD1">
              <w:rPr>
                <w:b/>
                <w:sz w:val="22"/>
                <w:szCs w:val="22"/>
                <w:lang w:eastAsia="en-IN"/>
              </w:rPr>
              <w:t>Approved</w:t>
            </w:r>
          </w:p>
        </w:tc>
      </w:tr>
      <w:tr w:rsidR="00C34658" w:rsidRPr="00C60AD1" w:rsidTr="00D55642">
        <w:trPr>
          <w:trHeight w:val="300"/>
          <w:jc w:val="center"/>
        </w:trPr>
        <w:tc>
          <w:tcPr>
            <w:tcW w:w="2693" w:type="pct"/>
            <w:shd w:val="clear" w:color="auto" w:fill="auto"/>
            <w:vAlign w:val="center"/>
            <w:hideMark/>
          </w:tcPr>
          <w:p w:rsidR="00C34658" w:rsidRPr="00C60AD1" w:rsidRDefault="00C34658" w:rsidP="00D55642">
            <w:pPr>
              <w:spacing w:before="0"/>
              <w:jc w:val="left"/>
              <w:rPr>
                <w:sz w:val="22"/>
                <w:szCs w:val="22"/>
                <w:lang w:eastAsia="en-IN"/>
              </w:rPr>
            </w:pPr>
            <w:r w:rsidRPr="00C60AD1">
              <w:rPr>
                <w:sz w:val="22"/>
                <w:szCs w:val="22"/>
                <w:lang w:eastAsia="en-IN"/>
              </w:rPr>
              <w:t>Energy Input into Transmission-Distribution Interface (MU)</w:t>
            </w:r>
          </w:p>
        </w:tc>
        <w:tc>
          <w:tcPr>
            <w:tcW w:w="719" w:type="pct"/>
            <w:shd w:val="clear" w:color="auto" w:fill="auto"/>
            <w:noWrap/>
            <w:vAlign w:val="center"/>
            <w:hideMark/>
          </w:tcPr>
          <w:p w:rsidR="00C34658" w:rsidRPr="00C60AD1" w:rsidRDefault="00C34658" w:rsidP="00D55642">
            <w:pPr>
              <w:spacing w:before="0"/>
              <w:jc w:val="center"/>
              <w:rPr>
                <w:sz w:val="22"/>
                <w:szCs w:val="22"/>
                <w:lang w:eastAsia="en-IN"/>
              </w:rPr>
            </w:pPr>
            <w:r w:rsidRPr="00C60AD1">
              <w:rPr>
                <w:sz w:val="22"/>
                <w:szCs w:val="22"/>
                <w:lang w:eastAsia="en-IN"/>
              </w:rPr>
              <w:t>A</w:t>
            </w:r>
          </w:p>
        </w:tc>
        <w:tc>
          <w:tcPr>
            <w:tcW w:w="718" w:type="pct"/>
            <w:vAlign w:val="center"/>
          </w:tcPr>
          <w:p w:rsidR="00C34658" w:rsidRPr="00C60AD1" w:rsidRDefault="00C34658" w:rsidP="00D55642">
            <w:pPr>
              <w:spacing w:before="0"/>
              <w:jc w:val="right"/>
              <w:rPr>
                <w:sz w:val="22"/>
                <w:szCs w:val="22"/>
              </w:rPr>
            </w:pPr>
            <w:r>
              <w:rPr>
                <w:rFonts w:cs="Calibri"/>
                <w:color w:val="000000"/>
                <w:sz w:val="22"/>
                <w:szCs w:val="22"/>
              </w:rPr>
              <w:t>27,772.84</w:t>
            </w:r>
          </w:p>
        </w:tc>
        <w:tc>
          <w:tcPr>
            <w:tcW w:w="870" w:type="pct"/>
            <w:shd w:val="clear" w:color="auto" w:fill="auto"/>
            <w:noWrap/>
            <w:vAlign w:val="center"/>
            <w:hideMark/>
          </w:tcPr>
          <w:p w:rsidR="00C34658" w:rsidRPr="00C60AD1" w:rsidRDefault="00C34658" w:rsidP="00D55642">
            <w:pPr>
              <w:spacing w:before="0"/>
              <w:jc w:val="right"/>
              <w:rPr>
                <w:sz w:val="22"/>
                <w:szCs w:val="22"/>
              </w:rPr>
            </w:pPr>
            <w:r>
              <w:rPr>
                <w:color w:val="000000"/>
                <w:sz w:val="22"/>
                <w:szCs w:val="22"/>
              </w:rPr>
              <w:t>26,978.08</w:t>
            </w:r>
          </w:p>
        </w:tc>
      </w:tr>
      <w:tr w:rsidR="00C34658" w:rsidRPr="00C60AD1" w:rsidTr="00D55642">
        <w:trPr>
          <w:trHeight w:val="300"/>
          <w:jc w:val="center"/>
        </w:trPr>
        <w:tc>
          <w:tcPr>
            <w:tcW w:w="2693" w:type="pct"/>
            <w:shd w:val="clear" w:color="auto" w:fill="auto"/>
            <w:vAlign w:val="center"/>
            <w:hideMark/>
          </w:tcPr>
          <w:p w:rsidR="00C34658" w:rsidRPr="00C60AD1" w:rsidRDefault="00C34658" w:rsidP="00D55642">
            <w:pPr>
              <w:spacing w:before="0"/>
              <w:jc w:val="left"/>
              <w:rPr>
                <w:sz w:val="22"/>
                <w:szCs w:val="22"/>
                <w:lang w:eastAsia="en-IN"/>
              </w:rPr>
            </w:pPr>
            <w:r w:rsidRPr="00C60AD1">
              <w:rPr>
                <w:sz w:val="22"/>
                <w:szCs w:val="22"/>
                <w:lang w:eastAsia="en-IN"/>
              </w:rPr>
              <w:t>Bulk Supply Tariff (Rs./kWh)</w:t>
            </w:r>
          </w:p>
        </w:tc>
        <w:tc>
          <w:tcPr>
            <w:tcW w:w="719" w:type="pct"/>
            <w:shd w:val="clear" w:color="auto" w:fill="auto"/>
            <w:noWrap/>
            <w:vAlign w:val="center"/>
            <w:hideMark/>
          </w:tcPr>
          <w:p w:rsidR="00C34658" w:rsidRPr="00C60AD1" w:rsidRDefault="00C34658" w:rsidP="00D55642">
            <w:pPr>
              <w:spacing w:before="0"/>
              <w:jc w:val="center"/>
              <w:rPr>
                <w:sz w:val="22"/>
                <w:szCs w:val="22"/>
                <w:lang w:eastAsia="en-IN"/>
              </w:rPr>
            </w:pPr>
            <w:r w:rsidRPr="00C60AD1">
              <w:rPr>
                <w:sz w:val="22"/>
                <w:szCs w:val="22"/>
                <w:lang w:eastAsia="en-IN"/>
              </w:rPr>
              <w:t>B</w:t>
            </w:r>
          </w:p>
        </w:tc>
        <w:tc>
          <w:tcPr>
            <w:tcW w:w="718" w:type="pct"/>
            <w:vAlign w:val="center"/>
          </w:tcPr>
          <w:p w:rsidR="00C34658" w:rsidRPr="00C60AD1" w:rsidRDefault="00C34658" w:rsidP="00D55642">
            <w:pPr>
              <w:spacing w:before="0"/>
              <w:jc w:val="right"/>
              <w:rPr>
                <w:sz w:val="22"/>
                <w:szCs w:val="22"/>
              </w:rPr>
            </w:pPr>
            <w:r w:rsidRPr="00C60AD1">
              <w:rPr>
                <w:rFonts w:cs="Calibri"/>
                <w:color w:val="000000"/>
                <w:sz w:val="22"/>
                <w:szCs w:val="22"/>
              </w:rPr>
              <w:t>4.</w:t>
            </w:r>
            <w:r>
              <w:rPr>
                <w:rFonts w:cs="Calibri"/>
                <w:color w:val="000000"/>
                <w:sz w:val="22"/>
                <w:szCs w:val="22"/>
              </w:rPr>
              <w:t>4</w:t>
            </w:r>
            <w:r w:rsidRPr="00C60AD1">
              <w:rPr>
                <w:rFonts w:cs="Calibri"/>
                <w:color w:val="000000"/>
                <w:sz w:val="22"/>
                <w:szCs w:val="22"/>
              </w:rPr>
              <w:t xml:space="preserve">4 </w:t>
            </w:r>
          </w:p>
        </w:tc>
        <w:tc>
          <w:tcPr>
            <w:tcW w:w="870" w:type="pct"/>
            <w:shd w:val="clear" w:color="auto" w:fill="auto"/>
            <w:noWrap/>
            <w:vAlign w:val="center"/>
            <w:hideMark/>
          </w:tcPr>
          <w:p w:rsidR="00C34658" w:rsidRPr="00C60AD1" w:rsidRDefault="00C34658" w:rsidP="00D55642">
            <w:pPr>
              <w:spacing w:before="0"/>
              <w:jc w:val="right"/>
              <w:rPr>
                <w:sz w:val="22"/>
                <w:szCs w:val="22"/>
              </w:rPr>
            </w:pPr>
            <w:r>
              <w:rPr>
                <w:color w:val="000000"/>
                <w:sz w:val="22"/>
                <w:szCs w:val="22"/>
              </w:rPr>
              <w:t>4.26</w:t>
            </w:r>
          </w:p>
        </w:tc>
      </w:tr>
      <w:tr w:rsidR="00C34658" w:rsidRPr="00C60AD1" w:rsidTr="00D55642">
        <w:trPr>
          <w:trHeight w:val="300"/>
          <w:jc w:val="center"/>
        </w:trPr>
        <w:tc>
          <w:tcPr>
            <w:tcW w:w="2693" w:type="pct"/>
            <w:shd w:val="clear" w:color="auto" w:fill="auto"/>
            <w:vAlign w:val="center"/>
            <w:hideMark/>
          </w:tcPr>
          <w:p w:rsidR="00C34658" w:rsidRPr="00C60AD1" w:rsidRDefault="00C34658" w:rsidP="00D55642">
            <w:pPr>
              <w:spacing w:before="0"/>
              <w:jc w:val="left"/>
              <w:rPr>
                <w:b/>
                <w:sz w:val="22"/>
                <w:szCs w:val="22"/>
                <w:lang w:eastAsia="en-IN"/>
              </w:rPr>
            </w:pPr>
            <w:r w:rsidRPr="00C60AD1">
              <w:rPr>
                <w:b/>
                <w:sz w:val="22"/>
                <w:szCs w:val="22"/>
                <w:lang w:eastAsia="en-IN"/>
              </w:rPr>
              <w:t>Power Procurement Cost from UPPCL (Rs. Crore)</w:t>
            </w:r>
          </w:p>
        </w:tc>
        <w:tc>
          <w:tcPr>
            <w:tcW w:w="719" w:type="pct"/>
            <w:shd w:val="clear" w:color="auto" w:fill="auto"/>
            <w:noWrap/>
            <w:vAlign w:val="center"/>
            <w:hideMark/>
          </w:tcPr>
          <w:p w:rsidR="00C34658" w:rsidRPr="00C60AD1" w:rsidRDefault="00C34658" w:rsidP="00D55642">
            <w:pPr>
              <w:spacing w:before="0"/>
              <w:jc w:val="center"/>
              <w:rPr>
                <w:b/>
                <w:sz w:val="22"/>
                <w:szCs w:val="22"/>
                <w:lang w:eastAsia="en-IN"/>
              </w:rPr>
            </w:pPr>
            <w:r w:rsidRPr="00C60AD1">
              <w:rPr>
                <w:b/>
                <w:sz w:val="22"/>
                <w:szCs w:val="22"/>
                <w:lang w:eastAsia="en-IN"/>
              </w:rPr>
              <w:t>C =A*B /10</w:t>
            </w:r>
          </w:p>
        </w:tc>
        <w:tc>
          <w:tcPr>
            <w:tcW w:w="718" w:type="pct"/>
            <w:vAlign w:val="center"/>
          </w:tcPr>
          <w:p w:rsidR="00C34658" w:rsidRPr="00CB21DD" w:rsidRDefault="00C34658" w:rsidP="00D55642">
            <w:pPr>
              <w:spacing w:before="0"/>
              <w:jc w:val="right"/>
              <w:rPr>
                <w:b/>
                <w:sz w:val="22"/>
                <w:szCs w:val="22"/>
              </w:rPr>
            </w:pPr>
            <w:r w:rsidRPr="008B0C65">
              <w:rPr>
                <w:rFonts w:cs="Calibri"/>
                <w:b/>
                <w:color w:val="000000"/>
                <w:sz w:val="22"/>
                <w:szCs w:val="22"/>
              </w:rPr>
              <w:t>12,331.90</w:t>
            </w:r>
          </w:p>
        </w:tc>
        <w:tc>
          <w:tcPr>
            <w:tcW w:w="870" w:type="pct"/>
            <w:shd w:val="clear" w:color="auto" w:fill="auto"/>
            <w:noWrap/>
            <w:vAlign w:val="center"/>
            <w:hideMark/>
          </w:tcPr>
          <w:p w:rsidR="00C34658" w:rsidRPr="00CB21DD" w:rsidRDefault="00C34658" w:rsidP="00D55642">
            <w:pPr>
              <w:spacing w:before="0"/>
              <w:jc w:val="right"/>
              <w:rPr>
                <w:b/>
                <w:sz w:val="22"/>
                <w:szCs w:val="22"/>
              </w:rPr>
            </w:pPr>
            <w:r w:rsidRPr="008B0C65">
              <w:rPr>
                <w:b/>
                <w:color w:val="000000"/>
                <w:sz w:val="22"/>
                <w:szCs w:val="22"/>
              </w:rPr>
              <w:t>11,</w:t>
            </w:r>
            <w:r>
              <w:rPr>
                <w:b/>
                <w:color w:val="000000"/>
                <w:sz w:val="22"/>
                <w:szCs w:val="22"/>
              </w:rPr>
              <w:t>4</w:t>
            </w:r>
            <w:r w:rsidRPr="008B0C65">
              <w:rPr>
                <w:b/>
                <w:color w:val="000000"/>
                <w:sz w:val="22"/>
                <w:szCs w:val="22"/>
              </w:rPr>
              <w:t>9</w:t>
            </w:r>
            <w:r>
              <w:rPr>
                <w:b/>
                <w:color w:val="000000"/>
                <w:sz w:val="22"/>
                <w:szCs w:val="22"/>
              </w:rPr>
              <w:t>8.75</w:t>
            </w:r>
          </w:p>
        </w:tc>
      </w:tr>
    </w:tbl>
    <w:p w:rsidR="006C63AF" w:rsidRDefault="006C63AF" w:rsidP="006C63AF">
      <w:pPr>
        <w:spacing w:before="0" w:after="240"/>
      </w:pPr>
    </w:p>
    <w:p w:rsidR="00C34658" w:rsidRPr="00C60AD1" w:rsidRDefault="00C34658" w:rsidP="00C34658">
      <w:pPr>
        <w:pStyle w:val="Heading2"/>
        <w:numPr>
          <w:ilvl w:val="1"/>
          <w:numId w:val="16"/>
        </w:numPr>
      </w:pPr>
      <w:bookmarkStart w:id="822" w:name="_Toc356322598"/>
      <w:bookmarkStart w:id="823" w:name="_Toc357718666"/>
      <w:bookmarkStart w:id="824" w:name="_Toc396573837"/>
      <w:bookmarkStart w:id="825" w:name="_Toc399623735"/>
      <w:bookmarkStart w:id="826" w:name="_Toc453367614"/>
      <w:bookmarkStart w:id="827" w:name="_Toc457603951"/>
      <w:bookmarkEnd w:id="785"/>
      <w:bookmarkEnd w:id="786"/>
      <w:r w:rsidRPr="00C60AD1">
        <w:t>TRANSMISSION AND SLDC CHARGES</w:t>
      </w:r>
      <w:bookmarkEnd w:id="822"/>
      <w:bookmarkEnd w:id="823"/>
      <w:bookmarkEnd w:id="824"/>
      <w:bookmarkEnd w:id="825"/>
      <w:bookmarkEnd w:id="826"/>
      <w:bookmarkEnd w:id="827"/>
    </w:p>
    <w:p w:rsidR="00D5771F" w:rsidRDefault="00C34658">
      <w:pPr>
        <w:pStyle w:val="Heading3"/>
        <w:tabs>
          <w:tab w:val="clear" w:pos="720"/>
        </w:tabs>
        <w:spacing w:after="240"/>
        <w:ind w:left="993" w:hanging="993"/>
      </w:pPr>
      <w:r w:rsidRPr="00C60AD1">
        <w:t xml:space="preserve">The Petitioner submitted that the </w:t>
      </w:r>
      <w:r>
        <w:t>I</w:t>
      </w:r>
      <w:r w:rsidRPr="00C60AD1">
        <w:t xml:space="preserve">ntra-State transmission charges for current year and ensuing year payable by the Petitioner are on the basis of actual energy received and uniform charges are to be paid by all the Distribution Licensees proportionate to the energy delivered to them. </w:t>
      </w:r>
    </w:p>
    <w:p w:rsidR="00D5771F" w:rsidRDefault="00C34658">
      <w:pPr>
        <w:pStyle w:val="Heading3"/>
        <w:tabs>
          <w:tab w:val="clear" w:pos="720"/>
        </w:tabs>
        <w:spacing w:after="240"/>
        <w:ind w:left="993" w:hanging="993"/>
      </w:pPr>
      <w:r w:rsidRPr="00C60AD1">
        <w:t xml:space="preserve">The Petitioner further submitted that the transmission licensee is also performing the function of SLDC and such SLDC cost is embedded in the transmission charges. </w:t>
      </w:r>
    </w:p>
    <w:p w:rsidR="00D5771F" w:rsidRDefault="00C34658">
      <w:pPr>
        <w:pStyle w:val="Heading3"/>
        <w:tabs>
          <w:tab w:val="clear" w:pos="720"/>
        </w:tabs>
        <w:spacing w:after="240"/>
        <w:ind w:left="993" w:hanging="993"/>
      </w:pPr>
      <w:r w:rsidRPr="00C60AD1">
        <w:t xml:space="preserve">The Petitioner submitted that the projections of transmission charges have been taken from the ARR / Tariff Petition filed by U.P. Power Transmission Corporation Ltd (UPPTCL) for FY </w:t>
      </w:r>
      <w:r>
        <w:t>2016-17</w:t>
      </w:r>
      <w:r w:rsidRPr="00C60AD1">
        <w:t>.</w:t>
      </w:r>
    </w:p>
    <w:p w:rsidR="00D5771F" w:rsidRDefault="00C34658">
      <w:pPr>
        <w:pStyle w:val="Heading3"/>
        <w:tabs>
          <w:tab w:val="clear" w:pos="720"/>
        </w:tabs>
        <w:spacing w:after="240"/>
        <w:ind w:left="993" w:hanging="993"/>
      </w:pPr>
      <w:r w:rsidRPr="00C60AD1">
        <w:lastRenderedPageBreak/>
        <w:t>The Petitioner submitted that in its Petition, UPPTCL has projected transmission charge at a rate of R</w:t>
      </w:r>
      <w:r w:rsidRPr="008B0C65">
        <w:t>s. 0.19</w:t>
      </w:r>
      <w:r w:rsidR="00F35D73">
        <w:t>4</w:t>
      </w:r>
      <w:r w:rsidRPr="008B0C65">
        <w:t xml:space="preserve"> per kWh for FY 2016-17 and accordingly DVVNL has estimated</w:t>
      </w:r>
      <w:r w:rsidRPr="00C60AD1">
        <w:t xml:space="preserve"> the cost of </w:t>
      </w:r>
      <w:r>
        <w:t>I</w:t>
      </w:r>
      <w:r w:rsidRPr="00C60AD1">
        <w:t>ntra-State transmission charges.</w:t>
      </w:r>
    </w:p>
    <w:p w:rsidR="00D5771F" w:rsidRDefault="00C34658">
      <w:pPr>
        <w:pStyle w:val="Heading3"/>
        <w:tabs>
          <w:tab w:val="clear" w:pos="720"/>
        </w:tabs>
        <w:spacing w:after="240"/>
        <w:ind w:left="993" w:hanging="993"/>
      </w:pPr>
      <w:r w:rsidRPr="00C60AD1">
        <w:t xml:space="preserve">Transmission and SLDC charges for FY </w:t>
      </w:r>
      <w:r>
        <w:t>2016-17</w:t>
      </w:r>
      <w:r w:rsidRPr="00C60AD1">
        <w:t xml:space="preserve"> have been approved in concurrence with the ARR and transmission tariff approved for UPPTCL for FY </w:t>
      </w:r>
      <w:r>
        <w:t>2016-17</w:t>
      </w:r>
      <w:r w:rsidRPr="00C60AD1">
        <w:t xml:space="preserve"> in the Commission’s Order for determination of </w:t>
      </w:r>
      <w:r>
        <w:t>I</w:t>
      </w:r>
      <w:r w:rsidRPr="00C60AD1">
        <w:t xml:space="preserve">ntra-State transmission charges approved for UPPTCL by the Commission.The approved transmission charges for DVVNL FY </w:t>
      </w:r>
      <w:r>
        <w:t>2016-17</w:t>
      </w:r>
      <w:r w:rsidRPr="00C60AD1">
        <w:t xml:space="preserve"> are given in Table below:</w:t>
      </w:r>
    </w:p>
    <w:p w:rsidR="00C34658" w:rsidRPr="00C60AD1" w:rsidRDefault="00C34658" w:rsidP="00C34658">
      <w:pPr>
        <w:spacing w:before="0"/>
        <w:jc w:val="center"/>
        <w:rPr>
          <w:rFonts w:cs="Calibri"/>
          <w:b/>
          <w:sz w:val="22"/>
          <w:szCs w:val="22"/>
          <w:lang w:val="en-US"/>
        </w:rPr>
      </w:pPr>
      <w:bookmarkStart w:id="828" w:name="_Ref325535189"/>
      <w:bookmarkStart w:id="829" w:name="_Toc338310704"/>
      <w:bookmarkStart w:id="830" w:name="_Toc338419534"/>
      <w:bookmarkStart w:id="831" w:name="_Toc357718744"/>
      <w:bookmarkStart w:id="832" w:name="_Toc395657968"/>
      <w:bookmarkStart w:id="833" w:name="_Toc396574019"/>
      <w:bookmarkStart w:id="834" w:name="_Toc399624120"/>
      <w:bookmarkStart w:id="835" w:name="_Toc453367697"/>
      <w:bookmarkStart w:id="836" w:name="_Toc457604068"/>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52</w:t>
      </w:r>
      <w:r w:rsidR="009741CA" w:rsidRPr="00C60AD1">
        <w:rPr>
          <w:rFonts w:cs="Calibri"/>
          <w:b/>
          <w:sz w:val="22"/>
          <w:szCs w:val="22"/>
          <w:lang w:val="en-US"/>
        </w:rPr>
        <w:fldChar w:fldCharType="end"/>
      </w:r>
      <w:bookmarkEnd w:id="828"/>
      <w:r w:rsidRPr="00C60AD1">
        <w:rPr>
          <w:rFonts w:cs="Calibri"/>
          <w:b/>
          <w:sz w:val="22"/>
          <w:szCs w:val="22"/>
          <w:lang w:val="en-US"/>
        </w:rPr>
        <w:t xml:space="preserve">: INTRA STATE TRANSMISSION CHARGES FOR FY </w:t>
      </w:r>
      <w:bookmarkEnd w:id="829"/>
      <w:bookmarkEnd w:id="830"/>
      <w:bookmarkEnd w:id="831"/>
      <w:bookmarkEnd w:id="832"/>
      <w:bookmarkEnd w:id="833"/>
      <w:bookmarkEnd w:id="834"/>
      <w:r>
        <w:rPr>
          <w:rFonts w:cs="Calibri"/>
          <w:b/>
          <w:sz w:val="22"/>
          <w:szCs w:val="22"/>
          <w:lang w:val="en-US"/>
        </w:rPr>
        <w:t>2016-17</w:t>
      </w:r>
      <w:bookmarkEnd w:id="835"/>
      <w:bookmarkEnd w:id="836"/>
    </w:p>
    <w:tbl>
      <w:tblPr>
        <w:tblW w:w="493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253"/>
        <w:gridCol w:w="1417"/>
        <w:gridCol w:w="1422"/>
        <w:gridCol w:w="1685"/>
      </w:tblGrid>
      <w:tr w:rsidR="00C34658" w:rsidRPr="00C60AD1" w:rsidTr="008334E8">
        <w:trPr>
          <w:trHeight w:val="600"/>
          <w:tblHeader/>
        </w:trPr>
        <w:tc>
          <w:tcPr>
            <w:tcW w:w="2423" w:type="pct"/>
            <w:shd w:val="clear" w:color="000000" w:fill="DBE5F1"/>
            <w:noWrap/>
            <w:hideMark/>
          </w:tcPr>
          <w:p w:rsidR="00603835" w:rsidRDefault="00C34658">
            <w:pPr>
              <w:spacing w:before="0"/>
              <w:jc w:val="center"/>
              <w:rPr>
                <w:b/>
                <w:sz w:val="22"/>
                <w:szCs w:val="22"/>
              </w:rPr>
            </w:pPr>
            <w:r w:rsidRPr="00C60AD1">
              <w:rPr>
                <w:b/>
                <w:sz w:val="22"/>
                <w:szCs w:val="22"/>
              </w:rPr>
              <w:t>Particulars</w:t>
            </w:r>
          </w:p>
        </w:tc>
        <w:tc>
          <w:tcPr>
            <w:tcW w:w="807" w:type="pct"/>
            <w:shd w:val="clear" w:color="000000" w:fill="DBE5F1"/>
            <w:noWrap/>
            <w:hideMark/>
          </w:tcPr>
          <w:p w:rsidR="00603835" w:rsidRDefault="00C34658">
            <w:pPr>
              <w:spacing w:before="0"/>
              <w:jc w:val="center"/>
              <w:rPr>
                <w:b/>
                <w:sz w:val="22"/>
                <w:szCs w:val="22"/>
              </w:rPr>
            </w:pPr>
            <w:r w:rsidRPr="00C60AD1">
              <w:rPr>
                <w:b/>
                <w:sz w:val="22"/>
                <w:szCs w:val="22"/>
              </w:rPr>
              <w:t>Derivation</w:t>
            </w:r>
          </w:p>
        </w:tc>
        <w:tc>
          <w:tcPr>
            <w:tcW w:w="810" w:type="pct"/>
            <w:shd w:val="clear" w:color="000000" w:fill="DBE5F1"/>
            <w:noWrap/>
            <w:hideMark/>
          </w:tcPr>
          <w:p w:rsidR="00603835" w:rsidRDefault="00C34658">
            <w:pPr>
              <w:spacing w:before="0"/>
              <w:jc w:val="center"/>
              <w:rPr>
                <w:b/>
                <w:sz w:val="22"/>
                <w:szCs w:val="22"/>
              </w:rPr>
            </w:pPr>
            <w:r w:rsidRPr="00C60AD1">
              <w:rPr>
                <w:b/>
                <w:sz w:val="22"/>
                <w:szCs w:val="22"/>
              </w:rPr>
              <w:t>ARR Petition</w:t>
            </w:r>
          </w:p>
        </w:tc>
        <w:tc>
          <w:tcPr>
            <w:tcW w:w="960" w:type="pct"/>
            <w:shd w:val="clear" w:color="000000" w:fill="DBE5F1"/>
            <w:hideMark/>
          </w:tcPr>
          <w:p w:rsidR="00603835" w:rsidRDefault="00C34658">
            <w:pPr>
              <w:spacing w:before="0"/>
              <w:jc w:val="center"/>
              <w:rPr>
                <w:b/>
                <w:sz w:val="22"/>
                <w:szCs w:val="22"/>
              </w:rPr>
            </w:pPr>
            <w:r w:rsidRPr="00C60AD1">
              <w:rPr>
                <w:b/>
                <w:sz w:val="22"/>
                <w:szCs w:val="22"/>
              </w:rPr>
              <w:t xml:space="preserve">FY </w:t>
            </w:r>
            <w:r>
              <w:rPr>
                <w:b/>
                <w:sz w:val="22"/>
                <w:szCs w:val="22"/>
              </w:rPr>
              <w:t>2016-17</w:t>
            </w:r>
            <w:r w:rsidRPr="00C60AD1">
              <w:rPr>
                <w:b/>
                <w:sz w:val="22"/>
                <w:szCs w:val="22"/>
              </w:rPr>
              <w:br/>
              <w:t>Approved</w:t>
            </w:r>
          </w:p>
        </w:tc>
      </w:tr>
      <w:tr w:rsidR="00C34658" w:rsidRPr="00C60AD1" w:rsidTr="00D55642">
        <w:trPr>
          <w:trHeight w:val="300"/>
        </w:trPr>
        <w:tc>
          <w:tcPr>
            <w:tcW w:w="2423" w:type="pct"/>
            <w:shd w:val="clear" w:color="auto" w:fill="auto"/>
            <w:vAlign w:val="center"/>
            <w:hideMark/>
          </w:tcPr>
          <w:p w:rsidR="00C34658" w:rsidRPr="00C60AD1" w:rsidRDefault="00C34658" w:rsidP="00D55642">
            <w:pPr>
              <w:spacing w:before="0"/>
              <w:jc w:val="left"/>
              <w:rPr>
                <w:sz w:val="22"/>
                <w:szCs w:val="22"/>
              </w:rPr>
            </w:pPr>
            <w:r w:rsidRPr="00C60AD1">
              <w:rPr>
                <w:sz w:val="22"/>
                <w:szCs w:val="22"/>
              </w:rPr>
              <w:t>Energy Input into Transmission-Distribution Interface (MU)</w:t>
            </w:r>
          </w:p>
        </w:tc>
        <w:tc>
          <w:tcPr>
            <w:tcW w:w="807" w:type="pct"/>
            <w:shd w:val="clear" w:color="auto" w:fill="auto"/>
            <w:noWrap/>
            <w:vAlign w:val="center"/>
            <w:hideMark/>
          </w:tcPr>
          <w:p w:rsidR="00C34658" w:rsidRPr="00C60AD1" w:rsidRDefault="00C34658" w:rsidP="00D55642">
            <w:pPr>
              <w:spacing w:before="0"/>
              <w:jc w:val="center"/>
              <w:rPr>
                <w:sz w:val="22"/>
                <w:szCs w:val="22"/>
              </w:rPr>
            </w:pPr>
            <w:r w:rsidRPr="00C60AD1">
              <w:rPr>
                <w:sz w:val="22"/>
                <w:szCs w:val="22"/>
              </w:rPr>
              <w:t>A</w:t>
            </w:r>
          </w:p>
        </w:tc>
        <w:tc>
          <w:tcPr>
            <w:tcW w:w="810" w:type="pct"/>
            <w:shd w:val="clear" w:color="auto" w:fill="auto"/>
            <w:noWrap/>
            <w:vAlign w:val="center"/>
            <w:hideMark/>
          </w:tcPr>
          <w:p w:rsidR="00C34658" w:rsidRPr="001E0DBD" w:rsidRDefault="00C34658" w:rsidP="00D55642">
            <w:pPr>
              <w:spacing w:before="0"/>
              <w:jc w:val="right"/>
              <w:rPr>
                <w:sz w:val="22"/>
                <w:szCs w:val="22"/>
              </w:rPr>
            </w:pPr>
            <w:r w:rsidRPr="008B0C65">
              <w:rPr>
                <w:color w:val="000000"/>
                <w:sz w:val="22"/>
                <w:szCs w:val="22"/>
              </w:rPr>
              <w:t>27,77</w:t>
            </w:r>
            <w:r>
              <w:rPr>
                <w:color w:val="000000"/>
                <w:sz w:val="22"/>
                <w:szCs w:val="22"/>
              </w:rPr>
              <w:t>2.84</w:t>
            </w:r>
          </w:p>
        </w:tc>
        <w:tc>
          <w:tcPr>
            <w:tcW w:w="960" w:type="pct"/>
            <w:shd w:val="clear" w:color="auto" w:fill="auto"/>
            <w:noWrap/>
            <w:vAlign w:val="center"/>
            <w:hideMark/>
          </w:tcPr>
          <w:p w:rsidR="00C34658" w:rsidRPr="001E0DBD" w:rsidRDefault="00C34658" w:rsidP="00D55642">
            <w:pPr>
              <w:spacing w:before="0"/>
              <w:jc w:val="right"/>
              <w:rPr>
                <w:rFonts w:cs="Calibri"/>
                <w:color w:val="000000"/>
                <w:sz w:val="22"/>
                <w:szCs w:val="22"/>
              </w:rPr>
            </w:pPr>
            <w:r w:rsidRPr="001E0DBD">
              <w:rPr>
                <w:color w:val="000000"/>
                <w:sz w:val="22"/>
                <w:szCs w:val="22"/>
              </w:rPr>
              <w:t xml:space="preserve">          26,978.08 </w:t>
            </w:r>
          </w:p>
        </w:tc>
      </w:tr>
      <w:tr w:rsidR="00C34658" w:rsidRPr="00C60AD1" w:rsidTr="00D55642">
        <w:trPr>
          <w:trHeight w:val="300"/>
        </w:trPr>
        <w:tc>
          <w:tcPr>
            <w:tcW w:w="2423" w:type="pct"/>
            <w:shd w:val="clear" w:color="auto" w:fill="auto"/>
            <w:vAlign w:val="center"/>
            <w:hideMark/>
          </w:tcPr>
          <w:p w:rsidR="00C34658" w:rsidRPr="00C60AD1" w:rsidRDefault="00C34658" w:rsidP="00D55642">
            <w:pPr>
              <w:spacing w:before="0"/>
              <w:jc w:val="left"/>
              <w:rPr>
                <w:sz w:val="22"/>
                <w:szCs w:val="22"/>
              </w:rPr>
            </w:pPr>
            <w:r w:rsidRPr="00C60AD1">
              <w:rPr>
                <w:sz w:val="22"/>
                <w:szCs w:val="22"/>
              </w:rPr>
              <w:t>Transmission Tariff (Rs./kWh)</w:t>
            </w:r>
          </w:p>
        </w:tc>
        <w:tc>
          <w:tcPr>
            <w:tcW w:w="807" w:type="pct"/>
            <w:shd w:val="clear" w:color="auto" w:fill="auto"/>
            <w:noWrap/>
            <w:vAlign w:val="center"/>
            <w:hideMark/>
          </w:tcPr>
          <w:p w:rsidR="00C34658" w:rsidRPr="00C60AD1" w:rsidRDefault="00C34658" w:rsidP="00D55642">
            <w:pPr>
              <w:spacing w:before="0"/>
              <w:jc w:val="center"/>
              <w:rPr>
                <w:sz w:val="22"/>
                <w:szCs w:val="22"/>
              </w:rPr>
            </w:pPr>
            <w:r w:rsidRPr="00C60AD1">
              <w:rPr>
                <w:sz w:val="22"/>
                <w:szCs w:val="22"/>
              </w:rPr>
              <w:t>B</w:t>
            </w:r>
          </w:p>
        </w:tc>
        <w:tc>
          <w:tcPr>
            <w:tcW w:w="810" w:type="pct"/>
            <w:shd w:val="clear" w:color="auto" w:fill="auto"/>
            <w:noWrap/>
            <w:vAlign w:val="center"/>
            <w:hideMark/>
          </w:tcPr>
          <w:p w:rsidR="00C34658" w:rsidRPr="001E0DBD" w:rsidRDefault="00C34658" w:rsidP="00F35D73">
            <w:pPr>
              <w:spacing w:before="0"/>
              <w:jc w:val="right"/>
              <w:rPr>
                <w:sz w:val="22"/>
                <w:szCs w:val="22"/>
              </w:rPr>
            </w:pPr>
            <w:r w:rsidRPr="008B0C65">
              <w:rPr>
                <w:color w:val="000000"/>
                <w:sz w:val="22"/>
                <w:szCs w:val="22"/>
              </w:rPr>
              <w:t>0.19</w:t>
            </w:r>
            <w:r w:rsidR="00F35D73">
              <w:rPr>
                <w:color w:val="000000"/>
                <w:sz w:val="22"/>
                <w:szCs w:val="22"/>
              </w:rPr>
              <w:t>4</w:t>
            </w:r>
          </w:p>
        </w:tc>
        <w:tc>
          <w:tcPr>
            <w:tcW w:w="960" w:type="pct"/>
            <w:shd w:val="clear" w:color="auto" w:fill="auto"/>
            <w:noWrap/>
            <w:vAlign w:val="center"/>
            <w:hideMark/>
          </w:tcPr>
          <w:p w:rsidR="00C34658" w:rsidRPr="001E0DBD" w:rsidRDefault="00C34658" w:rsidP="00D55642">
            <w:pPr>
              <w:spacing w:before="0"/>
              <w:jc w:val="right"/>
              <w:rPr>
                <w:rFonts w:cs="Calibri"/>
                <w:color w:val="000000"/>
                <w:sz w:val="22"/>
                <w:szCs w:val="22"/>
              </w:rPr>
            </w:pPr>
            <w:r w:rsidRPr="001E0DBD">
              <w:rPr>
                <w:color w:val="000000"/>
                <w:sz w:val="22"/>
                <w:szCs w:val="22"/>
              </w:rPr>
              <w:t xml:space="preserve">                0.162</w:t>
            </w:r>
          </w:p>
        </w:tc>
      </w:tr>
      <w:tr w:rsidR="00C34658" w:rsidRPr="00F35D73" w:rsidTr="00D55642">
        <w:trPr>
          <w:trHeight w:val="300"/>
        </w:trPr>
        <w:tc>
          <w:tcPr>
            <w:tcW w:w="2423" w:type="pct"/>
            <w:shd w:val="clear" w:color="auto" w:fill="auto"/>
            <w:vAlign w:val="center"/>
            <w:hideMark/>
          </w:tcPr>
          <w:p w:rsidR="00C34658" w:rsidRPr="00C60AD1" w:rsidRDefault="00C34658" w:rsidP="00D55642">
            <w:pPr>
              <w:pStyle w:val="NoSpacing"/>
              <w:rPr>
                <w:b/>
              </w:rPr>
            </w:pPr>
            <w:r w:rsidRPr="00C60AD1">
              <w:rPr>
                <w:b/>
              </w:rPr>
              <w:t>Transmission Cost (Rs. Cr</w:t>
            </w:r>
            <w:r>
              <w:rPr>
                <w:b/>
              </w:rPr>
              <w:t>ore</w:t>
            </w:r>
            <w:r w:rsidRPr="00C60AD1">
              <w:rPr>
                <w:b/>
              </w:rPr>
              <w:t>)</w:t>
            </w:r>
          </w:p>
        </w:tc>
        <w:tc>
          <w:tcPr>
            <w:tcW w:w="807" w:type="pct"/>
            <w:shd w:val="clear" w:color="auto" w:fill="auto"/>
            <w:noWrap/>
            <w:vAlign w:val="center"/>
            <w:hideMark/>
          </w:tcPr>
          <w:p w:rsidR="00C34658" w:rsidRPr="00C60AD1" w:rsidRDefault="00C34658" w:rsidP="00D55642">
            <w:pPr>
              <w:spacing w:before="0"/>
              <w:jc w:val="center"/>
              <w:rPr>
                <w:b/>
                <w:sz w:val="22"/>
                <w:szCs w:val="22"/>
              </w:rPr>
            </w:pPr>
            <w:r w:rsidRPr="00C60AD1">
              <w:rPr>
                <w:b/>
                <w:sz w:val="22"/>
                <w:szCs w:val="22"/>
              </w:rPr>
              <w:t>C =A*B /10</w:t>
            </w:r>
          </w:p>
        </w:tc>
        <w:tc>
          <w:tcPr>
            <w:tcW w:w="810" w:type="pct"/>
            <w:shd w:val="clear" w:color="auto" w:fill="auto"/>
            <w:noWrap/>
            <w:vAlign w:val="center"/>
            <w:hideMark/>
          </w:tcPr>
          <w:p w:rsidR="00C34658" w:rsidRPr="001E0DBD" w:rsidRDefault="00C34658" w:rsidP="00D55642">
            <w:pPr>
              <w:spacing w:before="0"/>
              <w:jc w:val="right"/>
              <w:rPr>
                <w:b/>
                <w:sz w:val="22"/>
                <w:szCs w:val="22"/>
              </w:rPr>
            </w:pPr>
            <w:r w:rsidRPr="008B0C65">
              <w:rPr>
                <w:b/>
                <w:bCs/>
                <w:color w:val="000000"/>
                <w:sz w:val="22"/>
                <w:szCs w:val="22"/>
              </w:rPr>
              <w:t xml:space="preserve">537.62 </w:t>
            </w:r>
          </w:p>
        </w:tc>
        <w:tc>
          <w:tcPr>
            <w:tcW w:w="960" w:type="pct"/>
            <w:shd w:val="clear" w:color="auto" w:fill="auto"/>
            <w:noWrap/>
            <w:vAlign w:val="center"/>
            <w:hideMark/>
          </w:tcPr>
          <w:p w:rsidR="00C34658" w:rsidRPr="00F35D73" w:rsidRDefault="00E34329" w:rsidP="00D55642">
            <w:pPr>
              <w:spacing w:before="0"/>
              <w:jc w:val="right"/>
              <w:rPr>
                <w:rFonts w:cs="Calibri"/>
                <w:b/>
                <w:color w:val="000000"/>
                <w:sz w:val="22"/>
                <w:szCs w:val="22"/>
              </w:rPr>
            </w:pPr>
            <w:r w:rsidRPr="00E34329">
              <w:rPr>
                <w:b/>
                <w:color w:val="000000"/>
                <w:sz w:val="22"/>
                <w:szCs w:val="22"/>
              </w:rPr>
              <w:t>437.78</w:t>
            </w:r>
          </w:p>
        </w:tc>
      </w:tr>
    </w:tbl>
    <w:p w:rsidR="006C63AF" w:rsidRDefault="006C63AF" w:rsidP="006C63AF">
      <w:pPr>
        <w:spacing w:before="0" w:after="240" w:line="240" w:lineRule="auto"/>
        <w:jc w:val="left"/>
        <w:rPr>
          <w:rFonts w:asciiTheme="minorHAnsi" w:hAnsiTheme="minorHAnsi" w:cstheme="minorHAnsi"/>
          <w:b/>
          <w:bCs/>
          <w:color w:val="000000"/>
        </w:rPr>
      </w:pPr>
    </w:p>
    <w:p w:rsidR="00C34658" w:rsidRPr="00C60AD1" w:rsidRDefault="00C34658" w:rsidP="00C34658">
      <w:pPr>
        <w:pStyle w:val="Heading2"/>
        <w:numPr>
          <w:ilvl w:val="1"/>
          <w:numId w:val="16"/>
        </w:numPr>
        <w:ind w:left="778" w:hanging="778"/>
      </w:pPr>
      <w:bookmarkStart w:id="837" w:name="_Toc453367615"/>
      <w:bookmarkStart w:id="838" w:name="_Toc457603952"/>
      <w:r w:rsidRPr="00C60AD1">
        <w:t>ESCALATION INDEX</w:t>
      </w:r>
      <w:bookmarkEnd w:id="440"/>
      <w:bookmarkEnd w:id="837"/>
      <w:bookmarkEnd w:id="838"/>
    </w:p>
    <w:p w:rsidR="00D5771F" w:rsidRDefault="00C34658">
      <w:pPr>
        <w:pStyle w:val="Heading3"/>
        <w:tabs>
          <w:tab w:val="clear" w:pos="720"/>
        </w:tabs>
        <w:spacing w:after="240"/>
        <w:ind w:left="993" w:hanging="993"/>
      </w:pPr>
      <w:r w:rsidRPr="00C60AD1">
        <w:t>For approving the O&amp;M expenses for the ensuing year, the Distribution Tariff Regulations, 2006 specifies a formula of escalation index to be applied to the base year as detailed below.</w:t>
      </w:r>
    </w:p>
    <w:p w:rsidR="00D5771F" w:rsidRDefault="00C34658">
      <w:pPr>
        <w:pStyle w:val="Heading3"/>
        <w:tabs>
          <w:tab w:val="clear" w:pos="720"/>
        </w:tabs>
        <w:spacing w:after="240"/>
        <w:ind w:left="993" w:hanging="993"/>
      </w:pPr>
      <w:r w:rsidRPr="00C60AD1">
        <w:t>The Petitioner submitted that the Distribution Tariff Regulations, 2006 specifies that expenses of the base year shall be escalated at Inflation / Escalation rate notified by the Central Government for different years. The Petitioner submi</w:t>
      </w:r>
      <w:r w:rsidRPr="00C60AD1">
        <w:rPr>
          <w:rFonts w:asciiTheme="majorHAnsi" w:hAnsiTheme="majorHAnsi" w:cstheme="majorBidi"/>
          <w:b/>
        </w:rPr>
        <w:t>t</w:t>
      </w:r>
      <w:r w:rsidRPr="00C60AD1">
        <w:t>ted that the inflation rate for this purpose shall be weighted average of Wholesale Price Index and Consumer Price Index in the ratio of 60:40.</w:t>
      </w:r>
    </w:p>
    <w:p w:rsidR="00D5771F" w:rsidRDefault="00C34658">
      <w:pPr>
        <w:pStyle w:val="Heading3"/>
        <w:tabs>
          <w:tab w:val="clear" w:pos="720"/>
        </w:tabs>
        <w:spacing w:after="240"/>
        <w:ind w:left="993" w:hanging="993"/>
      </w:pPr>
      <w:r w:rsidRPr="008B0C65">
        <w:t>The Petitioner submitted that for the purpose of ARR, it has used the above methodology in arriving at Inflation / Escalation rate of 4.0</w:t>
      </w:r>
      <w:r>
        <w:t>1</w:t>
      </w:r>
      <w:r w:rsidRPr="008B0C65">
        <w:t>% for FY 2015-16 and 0.</w:t>
      </w:r>
      <w:r>
        <w:t>9</w:t>
      </w:r>
      <w:r w:rsidRPr="008B0C65">
        <w:t xml:space="preserve">2% for FY 2016-17. This Inflation / Escalation rate has been used in estimation of various components of ARR. </w:t>
      </w:r>
    </w:p>
    <w:p w:rsidR="00D5771F" w:rsidRDefault="00C34658">
      <w:pPr>
        <w:pStyle w:val="Heading3"/>
        <w:tabs>
          <w:tab w:val="clear" w:pos="720"/>
        </w:tabs>
        <w:spacing w:after="240"/>
        <w:ind w:left="993" w:hanging="993"/>
      </w:pPr>
      <w:r w:rsidRPr="00C60AD1">
        <w:t xml:space="preserve">Regulation 4.3 of Distribution Tariff Regulations, 2006 specifies the </w:t>
      </w:r>
      <w:r w:rsidRPr="008B0C65">
        <w:t xml:space="preserve">methodology for consideration of the O&amp;M Expenses, wherein such expenses are linked to the inflation index determined under these Regulations. </w:t>
      </w:r>
      <w:r w:rsidRPr="008B0C65">
        <w:lastRenderedPageBreak/>
        <w:t xml:space="preserve">Accordingly, the Commission has computed escalation / inflation index of </w:t>
      </w:r>
      <w:r>
        <w:t>1.39</w:t>
      </w:r>
      <w:r w:rsidRPr="008B0C65">
        <w:t>% for FY 2015-16 and the same escalation / inflation index has been considered for FY 2016-17 as computed in Truing up Chapter of this Order</w:t>
      </w:r>
      <w:r w:rsidRPr="00C60AD1">
        <w:t>.</w:t>
      </w:r>
    </w:p>
    <w:p w:rsidR="006C63AF" w:rsidRDefault="006C63AF" w:rsidP="006C63AF">
      <w:pPr>
        <w:pStyle w:val="Heading3"/>
        <w:numPr>
          <w:ilvl w:val="0"/>
          <w:numId w:val="0"/>
        </w:numPr>
        <w:tabs>
          <w:tab w:val="clear" w:pos="720"/>
        </w:tabs>
        <w:ind w:left="993"/>
      </w:pPr>
    </w:p>
    <w:p w:rsidR="006C63AF" w:rsidRDefault="00C34658" w:rsidP="006C63AF">
      <w:pPr>
        <w:pStyle w:val="Heading2"/>
        <w:numPr>
          <w:ilvl w:val="1"/>
          <w:numId w:val="16"/>
        </w:numPr>
        <w:spacing w:before="0"/>
      </w:pPr>
      <w:bookmarkStart w:id="839" w:name="_Toc396573839"/>
      <w:bookmarkStart w:id="840" w:name="_Toc419992294"/>
      <w:bookmarkStart w:id="841" w:name="_Toc453367616"/>
      <w:bookmarkStart w:id="842" w:name="_Toc457603953"/>
      <w:r w:rsidRPr="00C60AD1">
        <w:t>O&amp;M EXPENSES</w:t>
      </w:r>
      <w:bookmarkEnd w:id="839"/>
      <w:bookmarkEnd w:id="840"/>
      <w:bookmarkEnd w:id="841"/>
      <w:bookmarkEnd w:id="842"/>
    </w:p>
    <w:p w:rsidR="00D5771F" w:rsidRDefault="00C34658">
      <w:pPr>
        <w:pStyle w:val="Heading3"/>
        <w:tabs>
          <w:tab w:val="clear" w:pos="720"/>
        </w:tabs>
        <w:spacing w:after="240"/>
        <w:ind w:left="993" w:hanging="993"/>
      </w:pPr>
      <w:r w:rsidRPr="00C60AD1">
        <w:t>The Petitioner submitted that the O&amp;M expenses comprise of Employee costs, Administrative &amp; General (A&amp;G) Expenses and Repair &amp; Maintenance (R&amp;M) expenses</w:t>
      </w:r>
      <w:r w:rsidRPr="00C60AD1">
        <w:rPr>
          <w:rFonts w:cs="Calibri"/>
        </w:rPr>
        <w:t xml:space="preserve">. </w:t>
      </w:r>
      <w:r w:rsidRPr="00C60AD1">
        <w:t>The Regulation 4.3 of the Distribution Tariff Regulations, 2006 specifies as follows:</w:t>
      </w:r>
    </w:p>
    <w:p w:rsidR="00C34658" w:rsidRPr="00C60AD1" w:rsidRDefault="00C34658" w:rsidP="00C34658">
      <w:pPr>
        <w:pStyle w:val="Heading3"/>
        <w:numPr>
          <w:ilvl w:val="0"/>
          <w:numId w:val="0"/>
        </w:numPr>
        <w:tabs>
          <w:tab w:val="left" w:pos="1407"/>
        </w:tabs>
        <w:ind w:left="900"/>
        <w:rPr>
          <w:szCs w:val="24"/>
        </w:rPr>
      </w:pPr>
      <w:r w:rsidRPr="00C60AD1">
        <w:rPr>
          <w:szCs w:val="24"/>
        </w:rPr>
        <w:tab/>
      </w:r>
      <w:r w:rsidRPr="00C60AD1">
        <w:rPr>
          <w:szCs w:val="24"/>
        </w:rPr>
        <w:tab/>
        <w:t xml:space="preserve">     “...</w:t>
      </w:r>
    </w:p>
    <w:p w:rsidR="00C34658" w:rsidRPr="00C60AD1" w:rsidRDefault="00C34658" w:rsidP="00C34658">
      <w:pPr>
        <w:numPr>
          <w:ilvl w:val="0"/>
          <w:numId w:val="12"/>
        </w:numPr>
        <w:tabs>
          <w:tab w:val="left" w:pos="720"/>
        </w:tabs>
        <w:spacing w:before="0"/>
        <w:ind w:left="1710" w:firstLine="350"/>
        <w:outlineLvl w:val="2"/>
        <w:rPr>
          <w:rFonts w:cs="Arial"/>
          <w:bCs/>
          <w:i/>
        </w:rPr>
      </w:pPr>
      <w:r w:rsidRPr="00C60AD1">
        <w:rPr>
          <w:rFonts w:cs="Arial"/>
          <w:bCs/>
          <w:i/>
        </w:rPr>
        <w:t>The O&amp;M expenses comprise of employee cost, repairs &amp; maintenance (R&amp;M) cost and administrative &amp; general (A&amp;G) cost. The O&amp;M expenses for the base year shall be calculated on the basis of historical/audited costs and past trend during the preceding five years. However, any abnormal variation during the preceding five years shall be excluded. For determination of the O&amp;M expenses of the year under consideration, the O &amp; M expenses of the base year shall be escalated at inflation rates notified by the Central Government for different years. The inflation rate for above purpose shall be the weighted average of Wholesale Price Index and Consumer Price Index in the ratio of 60:40. Base year, for these regulations means, the first year of tariff determination under these regulations.</w:t>
      </w:r>
    </w:p>
    <w:p w:rsidR="00C34658" w:rsidRPr="00C60AD1" w:rsidRDefault="00C34658" w:rsidP="00C34658">
      <w:pPr>
        <w:numPr>
          <w:ilvl w:val="0"/>
          <w:numId w:val="12"/>
        </w:numPr>
        <w:tabs>
          <w:tab w:val="left" w:pos="720"/>
        </w:tabs>
        <w:spacing w:before="0"/>
        <w:ind w:left="1710" w:firstLine="350"/>
        <w:outlineLvl w:val="2"/>
        <w:rPr>
          <w:rFonts w:cs="Arial"/>
          <w:bCs/>
          <w:i/>
        </w:rPr>
      </w:pPr>
      <w:r w:rsidRPr="00C60AD1">
        <w:rPr>
          <w:rFonts w:cs="Arial"/>
          <w:bCs/>
          <w:i/>
        </w:rPr>
        <w:t xml:space="preserve"> Where such data for the preceding five years is not available the Commission may fix O&amp;M expenses for the base year as certain percentage of the capital cost.</w:t>
      </w:r>
    </w:p>
    <w:p w:rsidR="00C34658" w:rsidRPr="00C60AD1" w:rsidRDefault="00C34658" w:rsidP="00C34658">
      <w:pPr>
        <w:numPr>
          <w:ilvl w:val="0"/>
          <w:numId w:val="12"/>
        </w:numPr>
        <w:tabs>
          <w:tab w:val="left" w:pos="720"/>
        </w:tabs>
        <w:spacing w:before="0" w:after="240"/>
        <w:ind w:left="1710" w:firstLine="450"/>
        <w:outlineLvl w:val="2"/>
        <w:rPr>
          <w:rFonts w:cs="Calibri"/>
          <w:bCs/>
        </w:rPr>
      </w:pPr>
      <w:r w:rsidRPr="00C60AD1">
        <w:rPr>
          <w:rFonts w:cs="Arial"/>
          <w:bCs/>
          <w:i/>
        </w:rPr>
        <w:t xml:space="preserve"> Incremental O&amp;M expenses for the ensuing financial year shall be 2.5% of capital addition during the current year. O&amp;M charges for the ensuing financial year shall be sum of incremental O&amp;M expenses so worked out and O&amp;M charges of current year escalated on the basis of predetermined indices as indicated in regulation 4.3 (1)..………….”</w:t>
      </w:r>
    </w:p>
    <w:p w:rsidR="00D5771F" w:rsidRDefault="00C34658">
      <w:pPr>
        <w:pStyle w:val="Heading3"/>
        <w:tabs>
          <w:tab w:val="clear" w:pos="720"/>
        </w:tabs>
        <w:spacing w:after="240"/>
        <w:ind w:left="993" w:hanging="993"/>
      </w:pPr>
      <w:r w:rsidRPr="000D2B08">
        <w:t xml:space="preserve">The Petitioner submitted that the O&amp;M expenses for FY 2016-17 have been claimed by escalating the actual component wise O&amp;M expenses for FY 2013-14 by using the yearly inflation indices approved by the Commission up </w:t>
      </w:r>
      <w:r w:rsidRPr="008B0C65">
        <w:t xml:space="preserve">to FY </w:t>
      </w:r>
      <w:r w:rsidRPr="008B0C65">
        <w:lastRenderedPageBreak/>
        <w:t xml:space="preserve">2015-16 in its Tariff Order dated June 18, 2015 and at the rate of 4.01% for FY 2016-17. </w:t>
      </w:r>
    </w:p>
    <w:p w:rsidR="00D5771F" w:rsidRDefault="00C34658">
      <w:pPr>
        <w:pStyle w:val="Heading3"/>
        <w:tabs>
          <w:tab w:val="clear" w:pos="720"/>
        </w:tabs>
        <w:spacing w:after="240"/>
        <w:ind w:left="993" w:hanging="993"/>
      </w:pPr>
      <w:r w:rsidRPr="00C60AD1">
        <w:t>The Petitioner submitted that increase in dearness pay may be higher than the escalation index determined as per the Distribution Tariff Regulations, 2006 and requested the Commission that any variation in employee expenses due to increase in dearness pay may be considered by the Commission at the time of true-up for the relevant year based on specific submissions by the Petitioner in this regard.</w:t>
      </w:r>
    </w:p>
    <w:p w:rsidR="00D5771F" w:rsidRDefault="00C34658">
      <w:pPr>
        <w:pStyle w:val="Heading3"/>
        <w:tabs>
          <w:tab w:val="clear" w:pos="720"/>
        </w:tabs>
        <w:spacing w:after="240"/>
        <w:ind w:left="993" w:hanging="993"/>
      </w:pPr>
      <w:r w:rsidRPr="00A009C0">
        <w:t>The allowable O&amp;M expenses for FY 201</w:t>
      </w:r>
      <w:r>
        <w:t>6</w:t>
      </w:r>
      <w:r w:rsidRPr="00A009C0">
        <w:t>-1</w:t>
      </w:r>
      <w:r>
        <w:t>7</w:t>
      </w:r>
      <w:r w:rsidRPr="00A009C0">
        <w:t xml:space="preserve"> have been approved by escalating the component wise O&amp;M expenses for FY 201</w:t>
      </w:r>
      <w:r>
        <w:t>3</w:t>
      </w:r>
      <w:r w:rsidRPr="00A009C0">
        <w:t>-1</w:t>
      </w:r>
      <w:r>
        <w:t>4</w:t>
      </w:r>
      <w:r w:rsidRPr="00A009C0">
        <w:t xml:space="preserve"> by using the yearly inflation indices </w:t>
      </w:r>
      <w:r w:rsidR="00D22C86">
        <w:t>as discussed above</w:t>
      </w:r>
      <w:r w:rsidRPr="008B0C65">
        <w:t>. Since, escalation index of FY 2016-17 cannot be computed at this stage, escalation index of FY 2015-16</w:t>
      </w:r>
      <w:r>
        <w:t xml:space="preserve">i.e., 1.39%, </w:t>
      </w:r>
      <w:r w:rsidRPr="008B0C65">
        <w:t xml:space="preserve">has been considered to project the normative O&amp;M expense of FY 2016-17. </w:t>
      </w:r>
    </w:p>
    <w:p w:rsidR="00D5771F" w:rsidRDefault="00C34658">
      <w:pPr>
        <w:pStyle w:val="Heading3"/>
        <w:tabs>
          <w:tab w:val="clear" w:pos="720"/>
        </w:tabs>
        <w:spacing w:after="240"/>
        <w:ind w:left="993" w:hanging="993"/>
      </w:pPr>
      <w:r w:rsidRPr="00C60AD1">
        <w:rPr>
          <w:rFonts w:cs="Calibri"/>
        </w:rPr>
        <w:t>Further,</w:t>
      </w:r>
      <w:r w:rsidRPr="00C60AD1">
        <w:t xml:space="preserve"> in addition to the O&amp;M expenses based on inflationary indices, the Commission has also worked out incremental O&amp;M expenses for FY </w:t>
      </w:r>
      <w:r>
        <w:t xml:space="preserve">2016-17 as per </w:t>
      </w:r>
      <w:r w:rsidRPr="00A009C0">
        <w:t xml:space="preserve">the </w:t>
      </w:r>
      <w:r>
        <w:t>Distribution</w:t>
      </w:r>
      <w:r w:rsidRPr="00A009C0">
        <w:t xml:space="preserve"> Tariff Regulations, 2006</w:t>
      </w:r>
      <w:r w:rsidRPr="00C60AD1">
        <w:t xml:space="preserve"> and has further allocated the same across the individual elements of the O&amp;M expenses on the basis of the contribution of each element in the O&amp;M expenses.</w:t>
      </w:r>
    </w:p>
    <w:p w:rsidR="00D5771F" w:rsidRDefault="00C34658">
      <w:pPr>
        <w:pStyle w:val="Heading3"/>
        <w:tabs>
          <w:tab w:val="clear" w:pos="720"/>
        </w:tabs>
        <w:spacing w:after="240"/>
        <w:ind w:left="993" w:hanging="993"/>
      </w:pPr>
      <w:r w:rsidRPr="008B0C65">
        <w:t>It is observed that the O&amp;M expenses estimated by the Petitioner are higher than the normative O&amp;M expenses computed by the Commission considering base year as FY 2007-08. Since the Licensee has to restrict its O&amp;M expenses within the normative level, the Commission has therefore, approved the normative O&amp;M expenses for FY 2016-17 computed in accordance with the Distribution Tariff Regulations, 2006.</w:t>
      </w:r>
    </w:p>
    <w:p w:rsidR="00D5771F" w:rsidRDefault="00C34658">
      <w:pPr>
        <w:pStyle w:val="Heading3"/>
        <w:tabs>
          <w:tab w:val="clear" w:pos="720"/>
        </w:tabs>
        <w:spacing w:after="240"/>
        <w:ind w:left="993" w:hanging="993"/>
      </w:pPr>
      <w:r w:rsidRPr="008B0C65">
        <w:t xml:space="preserve">Further, capitalization of employee expenses and administrative and general expenses has been considered as 15% of the gross employee expenses and gross A&amp;G expenses respectively, which is in line to the approach adopted by the Commission in its earlier Tariff Orders as well as that proposed by the Petitioner for FY 2016-17.   </w:t>
      </w:r>
    </w:p>
    <w:p w:rsidR="00D5771F" w:rsidRDefault="00C34658">
      <w:pPr>
        <w:pStyle w:val="Heading3"/>
        <w:tabs>
          <w:tab w:val="clear" w:pos="720"/>
        </w:tabs>
        <w:spacing w:after="240"/>
        <w:ind w:left="993" w:hanging="993"/>
      </w:pPr>
      <w:r w:rsidRPr="00C60AD1">
        <w:t xml:space="preserve">The summary of the O&amp;M expenses submitted by the Petitioner and as approved by the Commission for FY </w:t>
      </w:r>
      <w:r>
        <w:t>2016-17</w:t>
      </w:r>
      <w:r w:rsidRPr="00C60AD1">
        <w:t xml:space="preserve"> is shown in the Table below: </w:t>
      </w:r>
    </w:p>
    <w:p w:rsidR="00C34658" w:rsidRPr="00C60AD1" w:rsidRDefault="00C34658" w:rsidP="00C34658">
      <w:pPr>
        <w:spacing w:before="0" w:line="240" w:lineRule="auto"/>
        <w:jc w:val="left"/>
        <w:rPr>
          <w:rFonts w:cs="Calibri"/>
          <w:b/>
          <w:sz w:val="22"/>
          <w:szCs w:val="22"/>
          <w:lang w:val="en-US"/>
        </w:rPr>
      </w:pPr>
      <w:bookmarkStart w:id="843" w:name="_Toc395657969"/>
      <w:bookmarkStart w:id="844" w:name="_Toc396574020"/>
    </w:p>
    <w:p w:rsidR="00C34658" w:rsidRPr="00C60AD1" w:rsidRDefault="00C34658" w:rsidP="00C34658">
      <w:pPr>
        <w:spacing w:before="0"/>
        <w:jc w:val="center"/>
        <w:rPr>
          <w:rFonts w:cs="Calibri"/>
          <w:b/>
          <w:sz w:val="22"/>
          <w:szCs w:val="22"/>
          <w:lang w:val="en-US"/>
        </w:rPr>
      </w:pPr>
      <w:bookmarkStart w:id="845" w:name="_Toc419992316"/>
      <w:bookmarkStart w:id="846" w:name="_Toc453367698"/>
      <w:bookmarkStart w:id="847" w:name="_Toc457604069"/>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53</w:t>
      </w:r>
      <w:r w:rsidR="009741CA" w:rsidRPr="00C60AD1">
        <w:rPr>
          <w:rFonts w:cs="Calibri"/>
          <w:b/>
          <w:sz w:val="22"/>
          <w:szCs w:val="22"/>
          <w:lang w:val="en-US"/>
        </w:rPr>
        <w:fldChar w:fldCharType="end"/>
      </w:r>
      <w:r w:rsidRPr="00C60AD1">
        <w:rPr>
          <w:rFonts w:cs="Calibri"/>
          <w:b/>
          <w:sz w:val="22"/>
          <w:szCs w:val="22"/>
          <w:lang w:val="en-US"/>
        </w:rPr>
        <w:t xml:space="preserve">: O&amp;M EXPENSES FOR FY </w:t>
      </w:r>
      <w:r>
        <w:rPr>
          <w:rFonts w:cs="Calibri"/>
          <w:b/>
          <w:sz w:val="22"/>
          <w:szCs w:val="22"/>
          <w:lang w:val="en-US"/>
        </w:rPr>
        <w:t>2016-17</w:t>
      </w:r>
      <w:r w:rsidRPr="00C60AD1">
        <w:rPr>
          <w:rFonts w:cs="Calibri"/>
          <w:b/>
          <w:sz w:val="22"/>
          <w:szCs w:val="22"/>
          <w:lang w:val="en-US"/>
        </w:rPr>
        <w:t xml:space="preserve"> (Rs. Crore)</w:t>
      </w:r>
      <w:bookmarkEnd w:id="843"/>
      <w:bookmarkEnd w:id="844"/>
      <w:bookmarkEnd w:id="845"/>
      <w:bookmarkEnd w:id="846"/>
      <w:bookmarkEnd w:id="847"/>
    </w:p>
    <w:tbl>
      <w:tblPr>
        <w:tblW w:w="427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495"/>
        <w:gridCol w:w="1644"/>
        <w:gridCol w:w="1449"/>
      </w:tblGrid>
      <w:tr w:rsidR="00C34658" w:rsidRPr="007F04B0" w:rsidTr="00AA3DF1">
        <w:trPr>
          <w:trHeight w:val="395"/>
          <w:tblHeader/>
          <w:jc w:val="center"/>
        </w:trPr>
        <w:tc>
          <w:tcPr>
            <w:tcW w:w="2962" w:type="pct"/>
            <w:shd w:val="clear" w:color="000000" w:fill="DBE5F1"/>
            <w:noWrap/>
            <w:hideMark/>
          </w:tcPr>
          <w:p w:rsidR="00C34658" w:rsidRPr="008B0C65" w:rsidRDefault="00C34658" w:rsidP="00D55642">
            <w:pPr>
              <w:spacing w:before="0" w:line="240" w:lineRule="auto"/>
              <w:jc w:val="center"/>
              <w:rPr>
                <w:rFonts w:asciiTheme="minorHAnsi" w:hAnsiTheme="minorHAnsi"/>
                <w:b/>
                <w:sz w:val="22"/>
                <w:szCs w:val="22"/>
              </w:rPr>
            </w:pPr>
            <w:r w:rsidRPr="008B0C65">
              <w:rPr>
                <w:rFonts w:asciiTheme="minorHAnsi" w:hAnsiTheme="minorHAnsi"/>
                <w:b/>
                <w:sz w:val="22"/>
                <w:szCs w:val="22"/>
              </w:rPr>
              <w:t>Particulars</w:t>
            </w:r>
          </w:p>
        </w:tc>
        <w:tc>
          <w:tcPr>
            <w:tcW w:w="1083" w:type="pct"/>
            <w:shd w:val="clear" w:color="000000" w:fill="DBE5F1"/>
            <w:noWrap/>
            <w:hideMark/>
          </w:tcPr>
          <w:p w:rsidR="00C34658" w:rsidRPr="008B0C65" w:rsidRDefault="00C34658" w:rsidP="00D55642">
            <w:pPr>
              <w:spacing w:before="0" w:line="240" w:lineRule="auto"/>
              <w:jc w:val="center"/>
              <w:rPr>
                <w:rFonts w:asciiTheme="minorHAnsi" w:hAnsiTheme="minorHAnsi"/>
                <w:b/>
                <w:sz w:val="22"/>
                <w:szCs w:val="22"/>
              </w:rPr>
            </w:pPr>
            <w:r w:rsidRPr="008B0C65">
              <w:rPr>
                <w:rFonts w:asciiTheme="minorHAnsi" w:hAnsiTheme="minorHAnsi"/>
                <w:b/>
                <w:sz w:val="22"/>
                <w:szCs w:val="22"/>
              </w:rPr>
              <w:t>ARR Petition</w:t>
            </w:r>
          </w:p>
        </w:tc>
        <w:tc>
          <w:tcPr>
            <w:tcW w:w="955" w:type="pct"/>
            <w:shd w:val="clear" w:color="000000" w:fill="DBE5F1"/>
            <w:hideMark/>
          </w:tcPr>
          <w:p w:rsidR="00C34658" w:rsidRPr="008B0C65" w:rsidRDefault="00C34658" w:rsidP="00D55642">
            <w:pPr>
              <w:spacing w:before="0" w:line="240" w:lineRule="auto"/>
              <w:jc w:val="center"/>
              <w:rPr>
                <w:rFonts w:asciiTheme="minorHAnsi" w:hAnsiTheme="minorHAnsi"/>
                <w:b/>
                <w:sz w:val="22"/>
                <w:szCs w:val="22"/>
              </w:rPr>
            </w:pPr>
            <w:r w:rsidRPr="008B0C65">
              <w:rPr>
                <w:rFonts w:asciiTheme="minorHAnsi" w:hAnsiTheme="minorHAnsi"/>
                <w:b/>
                <w:sz w:val="22"/>
                <w:szCs w:val="22"/>
              </w:rPr>
              <w:t>FY 2016-17</w:t>
            </w:r>
            <w:r w:rsidRPr="008B0C65">
              <w:rPr>
                <w:rFonts w:asciiTheme="minorHAnsi" w:hAnsiTheme="minorHAnsi"/>
                <w:b/>
                <w:sz w:val="22"/>
                <w:szCs w:val="22"/>
              </w:rPr>
              <w:br/>
              <w:t>Approved</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b/>
                <w:sz w:val="22"/>
                <w:szCs w:val="22"/>
              </w:rPr>
            </w:pPr>
            <w:r w:rsidRPr="008B0C65">
              <w:rPr>
                <w:rFonts w:asciiTheme="minorHAnsi" w:hAnsiTheme="minorHAnsi"/>
                <w:b/>
                <w:sz w:val="22"/>
                <w:szCs w:val="22"/>
              </w:rPr>
              <w:t>Employee Expenses</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Employee Cost and Provisions</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307.90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346.10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Incremental Employee Expenses @ 2.5%</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15.52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jc w:val="right"/>
              <w:rPr>
                <w:rFonts w:asciiTheme="minorHAnsi" w:hAnsiTheme="minorHAnsi"/>
                <w:color w:val="000000"/>
                <w:sz w:val="22"/>
                <w:szCs w:val="22"/>
              </w:rPr>
            </w:pPr>
            <w:r w:rsidRPr="008B0C65">
              <w:rPr>
                <w:rFonts w:asciiTheme="minorHAnsi" w:hAnsiTheme="minorHAnsi"/>
                <w:color w:val="000000"/>
                <w:sz w:val="22"/>
                <w:szCs w:val="22"/>
              </w:rPr>
              <w:t>69.05</w:t>
            </w:r>
            <w:r w:rsidRPr="008B0C65">
              <w:rPr>
                <w:rFonts w:asciiTheme="minorHAnsi" w:hAnsiTheme="minorHAnsi"/>
                <w:color w:val="000000"/>
                <w:sz w:val="22"/>
                <w:szCs w:val="22"/>
                <w:vertAlign w:val="superscript"/>
              </w:rPr>
              <w:t xml:space="preserve">#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Gross Employee Expenses</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Cs/>
                <w:color w:val="000000"/>
                <w:sz w:val="22"/>
                <w:szCs w:val="22"/>
              </w:rPr>
              <w:t xml:space="preserve">            323.42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
                <w:bCs/>
                <w:color w:val="000000"/>
                <w:sz w:val="22"/>
                <w:szCs w:val="22"/>
              </w:rPr>
              <w:t xml:space="preserve">            415.15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Employee expenses capitalized</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48.51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62.27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Net Employee Expenses</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b/>
                <w:sz w:val="22"/>
                <w:szCs w:val="22"/>
              </w:rPr>
            </w:pPr>
            <w:r w:rsidRPr="008B0C65">
              <w:rPr>
                <w:rFonts w:asciiTheme="minorHAnsi" w:hAnsiTheme="minorHAnsi"/>
                <w:b/>
                <w:bCs/>
                <w:color w:val="000000"/>
                <w:sz w:val="22"/>
                <w:szCs w:val="22"/>
              </w:rPr>
              <w:t xml:space="preserve">            274.91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
                <w:bCs/>
                <w:color w:val="000000"/>
                <w:sz w:val="22"/>
                <w:szCs w:val="22"/>
              </w:rPr>
              <w:t xml:space="preserve">            352.88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p>
        </w:tc>
        <w:tc>
          <w:tcPr>
            <w:tcW w:w="1083" w:type="pct"/>
            <w:tcBorders>
              <w:bottom w:val="dotted" w:sz="4" w:space="0" w:color="auto"/>
            </w:tcBorders>
            <w:shd w:val="clear" w:color="auto" w:fill="auto"/>
            <w:hideMark/>
          </w:tcPr>
          <w:p w:rsidR="00C34658" w:rsidRPr="008B0C65" w:rsidRDefault="00C34658" w:rsidP="00D55642">
            <w:pPr>
              <w:spacing w:before="0" w:line="240" w:lineRule="auto"/>
              <w:rPr>
                <w:rFonts w:asciiTheme="minorHAnsi" w:hAnsiTheme="minorHAnsi"/>
                <w:sz w:val="22"/>
                <w:szCs w:val="22"/>
              </w:rPr>
            </w:pP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
                <w:bCs/>
                <w:color w:val="000000"/>
                <w:sz w:val="22"/>
                <w:szCs w:val="22"/>
              </w:rPr>
              <w:t>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b/>
                <w:sz w:val="22"/>
                <w:szCs w:val="22"/>
              </w:rPr>
            </w:pPr>
            <w:r w:rsidRPr="008B0C65">
              <w:rPr>
                <w:rFonts w:asciiTheme="minorHAnsi" w:hAnsiTheme="minorHAnsi"/>
                <w:b/>
                <w:sz w:val="22"/>
                <w:szCs w:val="22"/>
              </w:rPr>
              <w:t>A&amp;G Expenses</w:t>
            </w:r>
          </w:p>
        </w:tc>
        <w:tc>
          <w:tcPr>
            <w:tcW w:w="1083" w:type="pct"/>
            <w:tcBorders>
              <w:bottom w:val="dotted" w:sz="4" w:space="0" w:color="auto"/>
            </w:tcBorders>
            <w:shd w:val="clear" w:color="auto" w:fill="auto"/>
            <w:hideMark/>
          </w:tcPr>
          <w:p w:rsidR="00C34658" w:rsidRPr="008B0C65" w:rsidRDefault="00C34658" w:rsidP="00D55642">
            <w:pPr>
              <w:spacing w:before="0" w:line="240" w:lineRule="auto"/>
              <w:rPr>
                <w:rFonts w:asciiTheme="minorHAnsi" w:hAnsiTheme="minorHAnsi"/>
                <w:sz w:val="22"/>
                <w:szCs w:val="22"/>
              </w:rPr>
            </w:pP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
                <w:bCs/>
                <w:color w:val="000000"/>
                <w:sz w:val="22"/>
                <w:szCs w:val="22"/>
              </w:rPr>
              <w:t>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Admin &amp; Gen Expenses</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89.70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53.89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Incremental Admin &amp; Gen Expenses @ 2.5%</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18.13 </w:t>
            </w:r>
          </w:p>
        </w:tc>
        <w:tc>
          <w:tcPr>
            <w:tcW w:w="955" w:type="pct"/>
            <w:tcBorders>
              <w:bottom w:val="dotted" w:sz="4" w:space="0" w:color="auto"/>
            </w:tcBorders>
            <w:shd w:val="clear" w:color="auto" w:fill="auto"/>
            <w:noWrap/>
            <w:vAlign w:val="center"/>
            <w:hideMark/>
          </w:tcPr>
          <w:p w:rsidR="00D5771F" w:rsidRDefault="00C34658">
            <w:pPr>
              <w:spacing w:before="0" w:line="240" w:lineRule="auto"/>
              <w:jc w:val="right"/>
              <w:rPr>
                <w:rFonts w:asciiTheme="minorHAnsi" w:hAnsiTheme="minorHAnsi"/>
                <w:sz w:val="22"/>
                <w:szCs w:val="22"/>
              </w:rPr>
            </w:pPr>
            <w:r w:rsidRPr="008B0C65">
              <w:rPr>
                <w:rFonts w:asciiTheme="minorHAnsi" w:hAnsiTheme="minorHAnsi"/>
                <w:color w:val="000000"/>
                <w:sz w:val="22"/>
                <w:szCs w:val="22"/>
              </w:rPr>
              <w:t>10.72</w:t>
            </w:r>
            <w:r w:rsidRPr="008B0C65">
              <w:rPr>
                <w:rFonts w:asciiTheme="minorHAnsi" w:hAnsiTheme="minorHAnsi"/>
                <w:color w:val="000000"/>
                <w:sz w:val="22"/>
                <w:szCs w:val="22"/>
                <w:vertAlign w:val="superscript"/>
              </w:rPr>
              <w:t>#</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Gross Admin &amp; Gen Expenses</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Cs/>
                <w:color w:val="000000"/>
                <w:sz w:val="22"/>
                <w:szCs w:val="22"/>
              </w:rPr>
              <w:t xml:space="preserve">            107.83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
                <w:bCs/>
                <w:color w:val="000000"/>
                <w:sz w:val="22"/>
                <w:szCs w:val="22"/>
              </w:rPr>
              <w:t xml:space="preserve">              64.61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Admin &amp; Gen expenses capitalized</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16.17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9.69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Net Admin &amp; Gen Expenses</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b/>
                <w:sz w:val="22"/>
                <w:szCs w:val="22"/>
              </w:rPr>
            </w:pPr>
            <w:r w:rsidRPr="008B0C65">
              <w:rPr>
                <w:rFonts w:asciiTheme="minorHAnsi" w:hAnsiTheme="minorHAnsi"/>
                <w:b/>
                <w:bCs/>
                <w:color w:val="000000"/>
                <w:sz w:val="22"/>
                <w:szCs w:val="22"/>
              </w:rPr>
              <w:t xml:space="preserve">              91.65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
                <w:bCs/>
                <w:color w:val="000000"/>
                <w:sz w:val="22"/>
                <w:szCs w:val="22"/>
              </w:rPr>
              <w:t xml:space="preserve">              54.92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p>
        </w:tc>
        <w:tc>
          <w:tcPr>
            <w:tcW w:w="1083" w:type="pct"/>
            <w:tcBorders>
              <w:bottom w:val="dotted" w:sz="4" w:space="0" w:color="auto"/>
            </w:tcBorders>
            <w:shd w:val="clear" w:color="auto" w:fill="auto"/>
            <w:hideMark/>
          </w:tcPr>
          <w:p w:rsidR="00C34658" w:rsidRPr="008B0C65" w:rsidRDefault="00C34658" w:rsidP="00D55642">
            <w:pPr>
              <w:spacing w:before="0" w:line="240" w:lineRule="auto"/>
              <w:rPr>
                <w:rFonts w:asciiTheme="minorHAnsi" w:hAnsiTheme="minorHAnsi"/>
                <w:sz w:val="22"/>
                <w:szCs w:val="22"/>
              </w:rPr>
            </w:pP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
                <w:bCs/>
                <w:color w:val="000000"/>
                <w:sz w:val="22"/>
                <w:szCs w:val="22"/>
              </w:rPr>
              <w:t>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b/>
                <w:sz w:val="22"/>
                <w:szCs w:val="22"/>
              </w:rPr>
            </w:pPr>
            <w:r w:rsidRPr="008B0C65">
              <w:rPr>
                <w:rFonts w:asciiTheme="minorHAnsi" w:hAnsiTheme="minorHAnsi"/>
                <w:b/>
                <w:sz w:val="22"/>
                <w:szCs w:val="22"/>
              </w:rPr>
              <w:t>R&amp;M Expenses</w:t>
            </w:r>
          </w:p>
        </w:tc>
        <w:tc>
          <w:tcPr>
            <w:tcW w:w="1083" w:type="pct"/>
            <w:tcBorders>
              <w:bottom w:val="dotted" w:sz="4" w:space="0" w:color="auto"/>
            </w:tcBorders>
            <w:shd w:val="clear" w:color="auto" w:fill="auto"/>
            <w:hideMark/>
          </w:tcPr>
          <w:p w:rsidR="00C34658" w:rsidRPr="008B0C65" w:rsidRDefault="00C34658" w:rsidP="00D55642">
            <w:pPr>
              <w:spacing w:before="0" w:line="240" w:lineRule="auto"/>
              <w:rPr>
                <w:rFonts w:asciiTheme="minorHAnsi" w:hAnsiTheme="minorHAnsi"/>
                <w:sz w:val="22"/>
                <w:szCs w:val="22"/>
              </w:rPr>
            </w:pP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
                <w:bCs/>
                <w:color w:val="000000"/>
                <w:sz w:val="22"/>
                <w:szCs w:val="22"/>
              </w:rPr>
              <w:t>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Repair &amp; Maintenance Expenditure</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color w:val="000000"/>
                <w:sz w:val="22"/>
                <w:szCs w:val="22"/>
              </w:rPr>
            </w:pPr>
            <w:r w:rsidRPr="008B0C65">
              <w:rPr>
                <w:rFonts w:asciiTheme="minorHAnsi" w:hAnsiTheme="minorHAnsi"/>
                <w:color w:val="000000"/>
                <w:sz w:val="22"/>
                <w:szCs w:val="22"/>
              </w:rPr>
              <w:t xml:space="preserve">            372.62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color w:val="000000"/>
                <w:sz w:val="22"/>
                <w:szCs w:val="22"/>
              </w:rPr>
              <w:t xml:space="preserve">            180.24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Incremental R&amp;M Expenses @ 2.5%</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color w:val="000000"/>
                <w:sz w:val="22"/>
                <w:szCs w:val="22"/>
              </w:rPr>
            </w:pPr>
            <w:r w:rsidRPr="008B0C65">
              <w:rPr>
                <w:rFonts w:asciiTheme="minorHAnsi" w:hAnsiTheme="minorHAnsi"/>
                <w:color w:val="000000"/>
                <w:sz w:val="22"/>
                <w:szCs w:val="22"/>
              </w:rPr>
              <w:t xml:space="preserve">                5.17 </w:t>
            </w:r>
          </w:p>
        </w:tc>
        <w:tc>
          <w:tcPr>
            <w:tcW w:w="955" w:type="pct"/>
            <w:tcBorders>
              <w:bottom w:val="dotted" w:sz="4" w:space="0" w:color="auto"/>
            </w:tcBorders>
            <w:shd w:val="clear" w:color="auto" w:fill="auto"/>
            <w:noWrap/>
            <w:vAlign w:val="center"/>
            <w:hideMark/>
          </w:tcPr>
          <w:p w:rsidR="00D5771F" w:rsidRDefault="00C34658">
            <w:pPr>
              <w:spacing w:before="0" w:line="240" w:lineRule="auto"/>
              <w:jc w:val="right"/>
              <w:rPr>
                <w:rFonts w:asciiTheme="minorHAnsi" w:hAnsiTheme="minorHAnsi"/>
                <w:sz w:val="22"/>
                <w:szCs w:val="22"/>
              </w:rPr>
            </w:pPr>
            <w:r w:rsidRPr="008B0C65">
              <w:rPr>
                <w:rFonts w:asciiTheme="minorHAnsi" w:hAnsiTheme="minorHAnsi"/>
                <w:color w:val="000000"/>
                <w:sz w:val="22"/>
                <w:szCs w:val="22"/>
              </w:rPr>
              <w:t>58.59</w:t>
            </w:r>
            <w:r w:rsidRPr="008B0C65">
              <w:rPr>
                <w:rFonts w:asciiTheme="minorHAnsi" w:hAnsiTheme="minorHAnsi"/>
                <w:color w:val="000000"/>
                <w:sz w:val="22"/>
                <w:szCs w:val="22"/>
                <w:vertAlign w:val="superscript"/>
              </w:rPr>
              <w:t>#</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r w:rsidRPr="008B0C65">
              <w:rPr>
                <w:rFonts w:asciiTheme="minorHAnsi" w:hAnsiTheme="minorHAnsi"/>
                <w:sz w:val="22"/>
                <w:szCs w:val="22"/>
              </w:rPr>
              <w:t>Gross Repair &amp; Maintenance Expenses</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b/>
                <w:color w:val="000000"/>
                <w:sz w:val="22"/>
                <w:szCs w:val="22"/>
              </w:rPr>
            </w:pPr>
            <w:r w:rsidRPr="008B0C65">
              <w:rPr>
                <w:rFonts w:asciiTheme="minorHAnsi" w:hAnsiTheme="minorHAnsi"/>
                <w:b/>
                <w:bCs/>
                <w:color w:val="000000"/>
                <w:sz w:val="22"/>
                <w:szCs w:val="22"/>
              </w:rPr>
              <w:t xml:space="preserve">            377.80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
                <w:bCs/>
                <w:color w:val="000000"/>
                <w:sz w:val="22"/>
                <w:szCs w:val="22"/>
              </w:rPr>
              <w:t xml:space="preserve">            238.83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sz w:val="22"/>
                <w:szCs w:val="22"/>
              </w:rPr>
            </w:pPr>
          </w:p>
        </w:tc>
        <w:tc>
          <w:tcPr>
            <w:tcW w:w="1083" w:type="pct"/>
            <w:tcBorders>
              <w:bottom w:val="dotted" w:sz="4" w:space="0" w:color="auto"/>
            </w:tcBorders>
            <w:shd w:val="clear" w:color="auto" w:fill="auto"/>
            <w:hideMark/>
          </w:tcPr>
          <w:p w:rsidR="00C34658" w:rsidRPr="008B0C65" w:rsidRDefault="00C34658" w:rsidP="00D55642">
            <w:pPr>
              <w:spacing w:before="0" w:line="240" w:lineRule="auto"/>
              <w:rPr>
                <w:rFonts w:asciiTheme="minorHAnsi" w:hAnsiTheme="minorHAnsi"/>
                <w:bCs/>
                <w:color w:val="000000"/>
                <w:sz w:val="22"/>
                <w:szCs w:val="22"/>
              </w:rPr>
            </w:pP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bCs/>
                <w:color w:val="000000"/>
                <w:sz w:val="22"/>
                <w:szCs w:val="22"/>
              </w:rPr>
            </w:pPr>
            <w:r w:rsidRPr="008B0C65">
              <w:rPr>
                <w:rFonts w:asciiTheme="minorHAnsi" w:hAnsiTheme="minorHAnsi"/>
                <w:b/>
                <w:bCs/>
                <w:color w:val="000000"/>
                <w:sz w:val="22"/>
                <w:szCs w:val="22"/>
              </w:rPr>
              <w:t> </w:t>
            </w:r>
          </w:p>
        </w:tc>
      </w:tr>
      <w:tr w:rsidR="00C34658" w:rsidRPr="007F04B0" w:rsidTr="00D55642">
        <w:trPr>
          <w:trHeight w:val="300"/>
          <w:jc w:val="center"/>
        </w:trPr>
        <w:tc>
          <w:tcPr>
            <w:tcW w:w="2962" w:type="pct"/>
            <w:shd w:val="clear" w:color="auto" w:fill="auto"/>
            <w:hideMark/>
          </w:tcPr>
          <w:p w:rsidR="00C34658" w:rsidRPr="008B0C65" w:rsidRDefault="00C34658" w:rsidP="00D55642">
            <w:pPr>
              <w:spacing w:before="0" w:line="240" w:lineRule="auto"/>
              <w:jc w:val="left"/>
              <w:rPr>
                <w:rFonts w:asciiTheme="minorHAnsi" w:hAnsiTheme="minorHAnsi"/>
                <w:b/>
                <w:sz w:val="22"/>
                <w:szCs w:val="22"/>
              </w:rPr>
            </w:pPr>
            <w:r w:rsidRPr="008B0C65">
              <w:rPr>
                <w:rFonts w:asciiTheme="minorHAnsi" w:hAnsiTheme="minorHAnsi"/>
                <w:b/>
                <w:sz w:val="22"/>
                <w:szCs w:val="22"/>
              </w:rPr>
              <w:t>Total O&amp;M Expenses</w:t>
            </w:r>
          </w:p>
        </w:tc>
        <w:tc>
          <w:tcPr>
            <w:tcW w:w="1083" w:type="pct"/>
            <w:tcBorders>
              <w:bottom w:val="dotted" w:sz="4" w:space="0" w:color="auto"/>
            </w:tcBorders>
            <w:shd w:val="clear" w:color="auto" w:fill="auto"/>
            <w:vAlign w:val="center"/>
            <w:hideMark/>
          </w:tcPr>
          <w:p w:rsidR="00C34658" w:rsidRPr="008B0C65" w:rsidRDefault="00C34658" w:rsidP="00D55642">
            <w:pPr>
              <w:spacing w:before="0" w:line="240" w:lineRule="auto"/>
              <w:rPr>
                <w:rFonts w:asciiTheme="minorHAnsi" w:hAnsiTheme="minorHAnsi"/>
                <w:b/>
                <w:sz w:val="22"/>
                <w:szCs w:val="22"/>
              </w:rPr>
            </w:pPr>
            <w:r w:rsidRPr="008B0C65">
              <w:rPr>
                <w:rFonts w:asciiTheme="minorHAnsi" w:hAnsiTheme="minorHAnsi"/>
                <w:b/>
                <w:bCs/>
                <w:color w:val="000000"/>
                <w:sz w:val="22"/>
                <w:szCs w:val="22"/>
              </w:rPr>
              <w:t xml:space="preserve">            744.36 </w:t>
            </w:r>
          </w:p>
        </w:tc>
        <w:tc>
          <w:tcPr>
            <w:tcW w:w="955" w:type="pct"/>
            <w:tcBorders>
              <w:bottom w:val="dotted" w:sz="4" w:space="0" w:color="auto"/>
            </w:tcBorders>
            <w:shd w:val="clear" w:color="auto" w:fill="auto"/>
            <w:noWrap/>
            <w:vAlign w:val="center"/>
            <w:hideMark/>
          </w:tcPr>
          <w:p w:rsidR="00C34658" w:rsidRPr="008B0C65" w:rsidRDefault="00C34658" w:rsidP="00D55642">
            <w:pPr>
              <w:spacing w:before="0" w:line="240" w:lineRule="auto"/>
              <w:rPr>
                <w:rFonts w:asciiTheme="minorHAnsi" w:hAnsiTheme="minorHAnsi"/>
                <w:sz w:val="22"/>
                <w:szCs w:val="22"/>
              </w:rPr>
            </w:pPr>
            <w:r w:rsidRPr="008B0C65">
              <w:rPr>
                <w:rFonts w:asciiTheme="minorHAnsi" w:hAnsiTheme="minorHAnsi"/>
                <w:b/>
                <w:bCs/>
                <w:color w:val="000000"/>
                <w:sz w:val="22"/>
                <w:szCs w:val="22"/>
              </w:rPr>
              <w:t xml:space="preserve">            646.62 </w:t>
            </w:r>
          </w:p>
        </w:tc>
      </w:tr>
      <w:tr w:rsidR="00C34658" w:rsidRPr="007F04B0" w:rsidTr="00D55642">
        <w:trPr>
          <w:trHeight w:val="300"/>
          <w:jc w:val="center"/>
        </w:trPr>
        <w:tc>
          <w:tcPr>
            <w:tcW w:w="5000" w:type="pct"/>
            <w:gridSpan w:val="3"/>
            <w:shd w:val="clear" w:color="auto" w:fill="auto"/>
            <w:vAlign w:val="center"/>
          </w:tcPr>
          <w:p w:rsidR="00C34658" w:rsidRPr="008B0C65" w:rsidRDefault="00C34658" w:rsidP="00D55642">
            <w:pPr>
              <w:spacing w:before="0" w:line="240" w:lineRule="auto"/>
              <w:rPr>
                <w:rFonts w:asciiTheme="minorHAnsi" w:hAnsiTheme="minorHAnsi"/>
                <w:sz w:val="22"/>
                <w:szCs w:val="22"/>
              </w:rPr>
            </w:pPr>
            <w:r>
              <w:rPr>
                <w:rFonts w:asciiTheme="minorHAnsi" w:hAnsiTheme="minorHAnsi"/>
                <w:sz w:val="22"/>
                <w:szCs w:val="22"/>
              </w:rPr>
              <w:t>#</w:t>
            </w:r>
            <w:r w:rsidRPr="008B0C65">
              <w:rPr>
                <w:rFonts w:asciiTheme="minorHAnsi" w:hAnsiTheme="minorHAnsi"/>
                <w:sz w:val="22"/>
                <w:szCs w:val="22"/>
              </w:rPr>
              <w:t>Cumulative incremental O&amp;M Expenses allocated to Employee Expenses, R&amp;M Expenses and A&amp;G Expenses</w:t>
            </w:r>
          </w:p>
        </w:tc>
      </w:tr>
    </w:tbl>
    <w:p w:rsidR="00D5771F" w:rsidRDefault="00D5771F">
      <w:pPr>
        <w:pStyle w:val="Heading3"/>
        <w:numPr>
          <w:ilvl w:val="0"/>
          <w:numId w:val="0"/>
        </w:numPr>
        <w:tabs>
          <w:tab w:val="clear" w:pos="720"/>
        </w:tabs>
        <w:spacing w:before="0" w:after="240"/>
        <w:ind w:left="993"/>
      </w:pPr>
    </w:p>
    <w:p w:rsidR="00D5771F" w:rsidRDefault="00C34658">
      <w:pPr>
        <w:pStyle w:val="Heading3"/>
        <w:tabs>
          <w:tab w:val="clear" w:pos="720"/>
        </w:tabs>
        <w:spacing w:before="0" w:after="240"/>
        <w:ind w:left="993" w:hanging="993"/>
      </w:pPr>
      <w:r w:rsidRPr="00C60AD1">
        <w:t xml:space="preserve">Further, it is clarified that the O&amp;M expenses thus approved would be subject to Truing-up upon finalisation of audited accounts for FY </w:t>
      </w:r>
      <w:r>
        <w:t>2016-17</w:t>
      </w:r>
      <w:r w:rsidRPr="00C60AD1">
        <w:t>.</w:t>
      </w:r>
    </w:p>
    <w:p w:rsidR="006C63AF" w:rsidRDefault="006C63AF" w:rsidP="006C63AF">
      <w:pPr>
        <w:pStyle w:val="Heading3"/>
        <w:numPr>
          <w:ilvl w:val="0"/>
          <w:numId w:val="0"/>
        </w:numPr>
        <w:tabs>
          <w:tab w:val="clear" w:pos="720"/>
        </w:tabs>
        <w:spacing w:before="0"/>
        <w:ind w:left="993"/>
      </w:pPr>
    </w:p>
    <w:p w:rsidR="006C63AF" w:rsidRDefault="00C34658" w:rsidP="006C63AF">
      <w:pPr>
        <w:pStyle w:val="Heading2"/>
        <w:numPr>
          <w:ilvl w:val="1"/>
          <w:numId w:val="16"/>
        </w:numPr>
        <w:spacing w:before="0"/>
      </w:pPr>
      <w:bookmarkStart w:id="848" w:name="_Toc356322604"/>
      <w:bookmarkStart w:id="849" w:name="_Toc357718668"/>
      <w:bookmarkStart w:id="850" w:name="_Toc396573840"/>
      <w:bookmarkStart w:id="851" w:name="_Toc419992295"/>
      <w:bookmarkStart w:id="852" w:name="_Toc453367617"/>
      <w:bookmarkStart w:id="853" w:name="_Toc457603954"/>
      <w:r w:rsidRPr="00C60AD1">
        <w:t>GFA BALANCES AND CAPITAL FORMATION ASSUMPTIONS</w:t>
      </w:r>
      <w:bookmarkEnd w:id="848"/>
      <w:bookmarkEnd w:id="849"/>
      <w:bookmarkEnd w:id="850"/>
      <w:bookmarkEnd w:id="851"/>
      <w:bookmarkEnd w:id="852"/>
      <w:bookmarkEnd w:id="853"/>
    </w:p>
    <w:p w:rsidR="00D5771F" w:rsidRDefault="00C34658">
      <w:pPr>
        <w:pStyle w:val="Heading3"/>
        <w:tabs>
          <w:tab w:val="clear" w:pos="720"/>
        </w:tabs>
        <w:spacing w:after="240"/>
        <w:ind w:left="993" w:hanging="993"/>
      </w:pPr>
      <w:r w:rsidRPr="00C60AD1">
        <w:t xml:space="preserve">The Petitioner has submitted that the projected capital expenditure is proposed to be funded in a debt equity mix of 70:30, which is also in line with the Distribution Tariff Regulations, 2006 and established philosophy of the Commission. The Petitioner proposed the following capital expenditure for FY </w:t>
      </w:r>
      <w:r>
        <w:t>2016-17</w:t>
      </w:r>
      <w:r w:rsidRPr="00C60AD1">
        <w:t>.</w:t>
      </w:r>
    </w:p>
    <w:p w:rsidR="00C34658" w:rsidRDefault="00C34658" w:rsidP="00C34658">
      <w:pPr>
        <w:spacing w:before="0"/>
        <w:jc w:val="center"/>
        <w:rPr>
          <w:rFonts w:cs="Calibri"/>
          <w:b/>
          <w:sz w:val="22"/>
          <w:szCs w:val="22"/>
          <w:lang w:val="en-US"/>
        </w:rPr>
      </w:pPr>
      <w:bookmarkStart w:id="854" w:name="_Toc395657970"/>
      <w:bookmarkStart w:id="855" w:name="_Toc396574021"/>
      <w:bookmarkStart w:id="856" w:name="_Toc419992317"/>
      <w:bookmarkStart w:id="857" w:name="_Toc453367699"/>
      <w:bookmarkStart w:id="858" w:name="_Toc457604070"/>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54</w:t>
      </w:r>
      <w:r w:rsidR="009741CA" w:rsidRPr="00C60AD1">
        <w:rPr>
          <w:rFonts w:cs="Calibri"/>
          <w:b/>
          <w:sz w:val="22"/>
          <w:szCs w:val="22"/>
          <w:lang w:val="en-US"/>
        </w:rPr>
        <w:fldChar w:fldCharType="end"/>
      </w:r>
      <w:r w:rsidRPr="00C60AD1">
        <w:rPr>
          <w:rFonts w:cs="Calibri"/>
          <w:b/>
          <w:sz w:val="22"/>
          <w:szCs w:val="22"/>
          <w:lang w:val="en-US"/>
        </w:rPr>
        <w:t xml:space="preserve">: CAPITAL INVESTMENT PLAN PROPOSED BY THE PETITIONER FOR FY </w:t>
      </w:r>
      <w:r>
        <w:rPr>
          <w:rFonts w:cs="Calibri"/>
          <w:b/>
          <w:sz w:val="22"/>
          <w:szCs w:val="22"/>
          <w:lang w:val="en-US"/>
        </w:rPr>
        <w:t>2016-17</w:t>
      </w:r>
      <w:r w:rsidRPr="00C60AD1">
        <w:rPr>
          <w:rFonts w:cs="Calibri"/>
          <w:b/>
          <w:sz w:val="22"/>
          <w:szCs w:val="22"/>
          <w:lang w:val="en-US"/>
        </w:rPr>
        <w:t xml:space="preserve"> (RS. CRORE)</w:t>
      </w:r>
      <w:bookmarkEnd w:id="854"/>
      <w:bookmarkEnd w:id="855"/>
      <w:bookmarkEnd w:id="856"/>
      <w:bookmarkEnd w:id="857"/>
      <w:bookmarkEnd w:id="858"/>
    </w:p>
    <w:tbl>
      <w:tblPr>
        <w:tblW w:w="5000" w:type="pct"/>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05"/>
        <w:gridCol w:w="1155"/>
        <w:gridCol w:w="1034"/>
        <w:gridCol w:w="835"/>
        <w:gridCol w:w="990"/>
        <w:gridCol w:w="929"/>
        <w:gridCol w:w="837"/>
      </w:tblGrid>
      <w:tr w:rsidR="00C34658" w:rsidRPr="007F04B0" w:rsidTr="008334E8">
        <w:trPr>
          <w:trHeight w:val="300"/>
          <w:tblHeader/>
        </w:trPr>
        <w:tc>
          <w:tcPr>
            <w:tcW w:w="1747" w:type="pct"/>
            <w:vMerge w:val="restar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8B0C65">
              <w:rPr>
                <w:rFonts w:asciiTheme="minorHAnsi" w:hAnsiTheme="minorHAnsi"/>
                <w:b/>
                <w:bCs/>
                <w:sz w:val="22"/>
                <w:szCs w:val="22"/>
                <w:lang w:val="en-IN" w:eastAsia="en-IN"/>
              </w:rPr>
              <w:lastRenderedPageBreak/>
              <w:t>Description</w:t>
            </w:r>
          </w:p>
        </w:tc>
        <w:tc>
          <w:tcPr>
            <w:tcW w:w="650" w:type="pct"/>
            <w:vMerge w:val="restar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8B0C65">
              <w:rPr>
                <w:rFonts w:asciiTheme="minorHAnsi" w:hAnsiTheme="minorHAnsi"/>
                <w:b/>
                <w:bCs/>
                <w:sz w:val="22"/>
                <w:szCs w:val="22"/>
                <w:lang w:val="en-IN" w:eastAsia="en-IN"/>
              </w:rPr>
              <w:t>Unit</w:t>
            </w:r>
          </w:p>
        </w:tc>
        <w:tc>
          <w:tcPr>
            <w:tcW w:w="582" w:type="pct"/>
            <w:vMerge w:val="restar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8B0C65">
              <w:rPr>
                <w:rFonts w:asciiTheme="minorHAnsi" w:hAnsiTheme="minorHAnsi"/>
                <w:b/>
                <w:bCs/>
                <w:sz w:val="22"/>
                <w:szCs w:val="22"/>
                <w:lang w:val="en-IN" w:eastAsia="en-IN"/>
              </w:rPr>
              <w:t>No./</w:t>
            </w:r>
            <w:r w:rsidRPr="008B0C65">
              <w:rPr>
                <w:rFonts w:asciiTheme="minorHAnsi" w:hAnsiTheme="minorHAnsi"/>
                <w:b/>
                <w:bCs/>
                <w:sz w:val="22"/>
                <w:szCs w:val="22"/>
                <w:lang w:val="en-IN" w:eastAsia="en-IN"/>
              </w:rPr>
              <w:br/>
              <w:t>Quantity</w:t>
            </w:r>
          </w:p>
        </w:tc>
        <w:tc>
          <w:tcPr>
            <w:tcW w:w="2021" w:type="pct"/>
            <w:gridSpan w:val="4"/>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8B0C65">
              <w:rPr>
                <w:rFonts w:asciiTheme="minorHAnsi" w:hAnsiTheme="minorHAnsi"/>
                <w:b/>
                <w:bCs/>
                <w:sz w:val="22"/>
                <w:szCs w:val="22"/>
                <w:lang w:val="en-IN" w:eastAsia="en-IN"/>
              </w:rPr>
              <w:t>Capital Expenditure</w:t>
            </w:r>
          </w:p>
        </w:tc>
      </w:tr>
      <w:tr w:rsidR="00C34658" w:rsidRPr="007F04B0" w:rsidTr="008334E8">
        <w:trPr>
          <w:trHeight w:val="855"/>
          <w:tblHeader/>
        </w:trPr>
        <w:tc>
          <w:tcPr>
            <w:tcW w:w="1747" w:type="pct"/>
            <w:vMerge/>
            <w:hideMark/>
          </w:tcPr>
          <w:p w:rsidR="00337C98" w:rsidRDefault="00337C98" w:rsidP="00337C98">
            <w:pPr>
              <w:spacing w:before="0" w:line="240" w:lineRule="auto"/>
              <w:jc w:val="center"/>
              <w:rPr>
                <w:rFonts w:asciiTheme="minorHAnsi" w:hAnsiTheme="minorHAnsi"/>
                <w:b/>
                <w:bCs/>
                <w:sz w:val="22"/>
                <w:szCs w:val="22"/>
                <w:lang w:val="en-IN" w:eastAsia="en-IN"/>
              </w:rPr>
            </w:pPr>
          </w:p>
        </w:tc>
        <w:tc>
          <w:tcPr>
            <w:tcW w:w="650" w:type="pct"/>
            <w:vMerge/>
            <w:hideMark/>
          </w:tcPr>
          <w:p w:rsidR="00337C98" w:rsidRDefault="00337C98" w:rsidP="00337C98">
            <w:pPr>
              <w:spacing w:before="0" w:line="240" w:lineRule="auto"/>
              <w:jc w:val="center"/>
              <w:rPr>
                <w:rFonts w:asciiTheme="minorHAnsi" w:hAnsiTheme="minorHAnsi"/>
                <w:b/>
                <w:bCs/>
                <w:sz w:val="22"/>
                <w:szCs w:val="22"/>
                <w:lang w:val="en-IN" w:eastAsia="en-IN"/>
              </w:rPr>
            </w:pPr>
          </w:p>
        </w:tc>
        <w:tc>
          <w:tcPr>
            <w:tcW w:w="582" w:type="pct"/>
            <w:vMerge/>
            <w:hideMark/>
          </w:tcPr>
          <w:p w:rsidR="00603835" w:rsidRDefault="00603835">
            <w:pPr>
              <w:spacing w:before="0" w:line="240" w:lineRule="auto"/>
              <w:jc w:val="center"/>
              <w:rPr>
                <w:rFonts w:asciiTheme="minorHAnsi" w:hAnsiTheme="minorHAnsi"/>
                <w:b/>
                <w:bCs/>
                <w:sz w:val="22"/>
                <w:szCs w:val="22"/>
                <w:lang w:val="en-IN" w:eastAsia="en-IN"/>
              </w:rPr>
            </w:pPr>
          </w:p>
        </w:tc>
        <w:tc>
          <w:tcPr>
            <w:tcW w:w="470"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8B0C65">
              <w:rPr>
                <w:rFonts w:asciiTheme="minorHAnsi" w:hAnsiTheme="minorHAnsi"/>
                <w:b/>
                <w:bCs/>
                <w:sz w:val="22"/>
                <w:szCs w:val="22"/>
                <w:lang w:val="en-IN" w:eastAsia="en-IN"/>
              </w:rPr>
              <w:t>Loans</w:t>
            </w:r>
          </w:p>
        </w:tc>
        <w:tc>
          <w:tcPr>
            <w:tcW w:w="557"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8B0C65">
              <w:rPr>
                <w:rFonts w:asciiTheme="minorHAnsi" w:hAnsiTheme="minorHAnsi"/>
                <w:b/>
                <w:bCs/>
                <w:sz w:val="22"/>
                <w:szCs w:val="22"/>
                <w:lang w:val="en-IN" w:eastAsia="en-IN"/>
              </w:rPr>
              <w:t>Equity / Internal Accruals</w:t>
            </w:r>
          </w:p>
        </w:tc>
        <w:tc>
          <w:tcPr>
            <w:tcW w:w="523"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8B0C65">
              <w:rPr>
                <w:rFonts w:asciiTheme="minorHAnsi" w:hAnsiTheme="minorHAnsi"/>
                <w:b/>
                <w:bCs/>
                <w:sz w:val="22"/>
                <w:szCs w:val="22"/>
                <w:lang w:val="en-IN" w:eastAsia="en-IN"/>
              </w:rPr>
              <w:t>Deposit Works</w:t>
            </w:r>
          </w:p>
        </w:tc>
        <w:tc>
          <w:tcPr>
            <w:tcW w:w="470" w:type="pct"/>
            <w:shd w:val="clear" w:color="000000" w:fill="DBE5F1"/>
            <w:hideMark/>
          </w:tcPr>
          <w:p w:rsidR="00603835" w:rsidRDefault="00C34658">
            <w:pPr>
              <w:spacing w:before="0" w:line="240" w:lineRule="auto"/>
              <w:jc w:val="center"/>
              <w:rPr>
                <w:rFonts w:asciiTheme="minorHAnsi" w:hAnsiTheme="minorHAnsi"/>
                <w:b/>
                <w:bCs/>
                <w:sz w:val="22"/>
                <w:szCs w:val="22"/>
                <w:lang w:val="en-IN" w:eastAsia="en-IN"/>
              </w:rPr>
            </w:pPr>
            <w:r w:rsidRPr="008B0C65">
              <w:rPr>
                <w:rFonts w:asciiTheme="minorHAnsi" w:hAnsiTheme="minorHAnsi"/>
                <w:b/>
                <w:bCs/>
                <w:sz w:val="22"/>
                <w:szCs w:val="22"/>
                <w:lang w:val="en-IN" w:eastAsia="en-IN"/>
              </w:rPr>
              <w:t>Total</w:t>
            </w:r>
          </w:p>
        </w:tc>
      </w:tr>
      <w:tr w:rsidR="00C34658" w:rsidRPr="007F04B0" w:rsidTr="00D55642">
        <w:trPr>
          <w:trHeight w:val="300"/>
        </w:trPr>
        <w:tc>
          <w:tcPr>
            <w:tcW w:w="1747" w:type="pct"/>
            <w:shd w:val="clear" w:color="auto" w:fill="auto"/>
            <w:vAlign w:val="center"/>
            <w:hideMark/>
          </w:tcPr>
          <w:p w:rsidR="00C34658" w:rsidRPr="008B0C65" w:rsidRDefault="00C34658" w:rsidP="00D55642">
            <w:pPr>
              <w:spacing w:before="0" w:line="240" w:lineRule="auto"/>
              <w:jc w:val="left"/>
              <w:rPr>
                <w:rFonts w:asciiTheme="minorHAnsi" w:hAnsiTheme="minorHAnsi"/>
                <w:b/>
                <w:bCs/>
                <w:sz w:val="22"/>
                <w:szCs w:val="22"/>
                <w:lang w:val="en-IN" w:eastAsia="en-IN"/>
              </w:rPr>
            </w:pPr>
            <w:r w:rsidRPr="008B0C65">
              <w:rPr>
                <w:rFonts w:asciiTheme="minorHAnsi" w:hAnsiTheme="minorHAnsi"/>
                <w:b/>
                <w:bCs/>
                <w:sz w:val="22"/>
                <w:szCs w:val="22"/>
                <w:lang w:val="en-IN" w:eastAsia="en-IN"/>
              </w:rPr>
              <w:t>33 KV New Work</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57"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r>
      <w:tr w:rsidR="00C34658" w:rsidRPr="007F04B0" w:rsidTr="00D55642">
        <w:trPr>
          <w:trHeight w:val="300"/>
        </w:trPr>
        <w:tc>
          <w:tcPr>
            <w:tcW w:w="1747" w:type="pct"/>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xml:space="preserve">(a) 33 KV Line                                                                                                                                        </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Km.</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493.92</w:t>
            </w:r>
          </w:p>
        </w:tc>
        <w:tc>
          <w:tcPr>
            <w:tcW w:w="470"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52.93</w:t>
            </w:r>
          </w:p>
        </w:tc>
        <w:tc>
          <w:tcPr>
            <w:tcW w:w="557"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22.68</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75.61</w:t>
            </w:r>
          </w:p>
        </w:tc>
      </w:tr>
      <w:tr w:rsidR="00C34658" w:rsidRPr="007F04B0" w:rsidTr="00D55642">
        <w:trPr>
          <w:trHeight w:val="300"/>
        </w:trPr>
        <w:tc>
          <w:tcPr>
            <w:tcW w:w="1747" w:type="pct"/>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(b) 33/11 KV S/s (Excluding civil works)</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Nos./MVA</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55/275</w:t>
            </w:r>
          </w:p>
        </w:tc>
        <w:tc>
          <w:tcPr>
            <w:tcW w:w="470"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158.57</w:t>
            </w:r>
          </w:p>
        </w:tc>
        <w:tc>
          <w:tcPr>
            <w:tcW w:w="557"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67.96</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226.52</w:t>
            </w:r>
          </w:p>
        </w:tc>
      </w:tr>
      <w:tr w:rsidR="00C34658" w:rsidRPr="007F04B0" w:rsidTr="00D55642">
        <w:trPr>
          <w:trHeight w:val="300"/>
        </w:trPr>
        <w:tc>
          <w:tcPr>
            <w:tcW w:w="1747" w:type="pct"/>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33/11 KV Increasing Capacity</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Nos./MVA</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50/250</w:t>
            </w:r>
          </w:p>
        </w:tc>
        <w:tc>
          <w:tcPr>
            <w:tcW w:w="470"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31.66</w:t>
            </w:r>
          </w:p>
        </w:tc>
        <w:tc>
          <w:tcPr>
            <w:tcW w:w="557"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13.57</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45.23</w:t>
            </w:r>
          </w:p>
        </w:tc>
      </w:tr>
      <w:tr w:rsidR="00C34658" w:rsidRPr="007F04B0" w:rsidTr="00D55642">
        <w:trPr>
          <w:trHeight w:val="600"/>
        </w:trPr>
        <w:tc>
          <w:tcPr>
            <w:tcW w:w="1747" w:type="pct"/>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33 KV line &amp; S/s Strengthening (Replacement of higher capacity of conductor, poles, S/s apparatus etc.)</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Km.</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54</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3.42</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1.47</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4.89</w:t>
            </w:r>
          </w:p>
        </w:tc>
      </w:tr>
      <w:tr w:rsidR="00C34658" w:rsidRPr="007F04B0" w:rsidTr="00D55642">
        <w:trPr>
          <w:trHeight w:val="300"/>
        </w:trPr>
        <w:tc>
          <w:tcPr>
            <w:tcW w:w="1747" w:type="pct"/>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xml:space="preserve">11 KV New Works </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w:t>
            </w:r>
          </w:p>
        </w:tc>
        <w:tc>
          <w:tcPr>
            <w:tcW w:w="470"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57"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0.00</w:t>
            </w:r>
          </w:p>
        </w:tc>
      </w:tr>
      <w:tr w:rsidR="00C34658" w:rsidRPr="007F04B0" w:rsidTr="00D55642">
        <w:trPr>
          <w:trHeight w:val="300"/>
        </w:trPr>
        <w:tc>
          <w:tcPr>
            <w:tcW w:w="1747" w:type="pct"/>
            <w:shd w:val="clear" w:color="auto" w:fill="auto"/>
            <w:vAlign w:val="center"/>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(a) 11 KV New line (</w:t>
            </w:r>
            <w:r>
              <w:rPr>
                <w:rFonts w:asciiTheme="minorHAnsi" w:hAnsiTheme="minorHAnsi"/>
                <w:sz w:val="22"/>
                <w:szCs w:val="22"/>
                <w:lang w:val="en-IN" w:eastAsia="en-IN"/>
              </w:rPr>
              <w:t>B</w:t>
            </w:r>
            <w:r w:rsidRPr="008B0C65">
              <w:rPr>
                <w:rFonts w:asciiTheme="minorHAnsi" w:hAnsiTheme="minorHAnsi"/>
                <w:sz w:val="22"/>
                <w:szCs w:val="22"/>
                <w:lang w:val="en-IN" w:eastAsia="en-IN"/>
              </w:rPr>
              <w:t>if</w:t>
            </w:r>
            <w:r>
              <w:rPr>
                <w:rFonts w:asciiTheme="minorHAnsi" w:hAnsiTheme="minorHAnsi"/>
                <w:sz w:val="22"/>
                <w:szCs w:val="22"/>
                <w:lang w:val="en-IN" w:eastAsia="en-IN"/>
              </w:rPr>
              <w:t>u</w:t>
            </w:r>
            <w:r w:rsidRPr="008B0C65">
              <w:rPr>
                <w:rFonts w:asciiTheme="minorHAnsi" w:hAnsiTheme="minorHAnsi"/>
                <w:sz w:val="22"/>
                <w:szCs w:val="22"/>
                <w:lang w:val="en-IN" w:eastAsia="en-IN"/>
              </w:rPr>
              <w:t>rcati</w:t>
            </w:r>
            <w:r>
              <w:rPr>
                <w:rFonts w:asciiTheme="minorHAnsi" w:hAnsiTheme="minorHAnsi"/>
                <w:sz w:val="22"/>
                <w:szCs w:val="22"/>
                <w:lang w:val="en-IN" w:eastAsia="en-IN"/>
              </w:rPr>
              <w:t>o</w:t>
            </w:r>
            <w:r w:rsidRPr="008B0C65">
              <w:rPr>
                <w:rFonts w:asciiTheme="minorHAnsi" w:hAnsiTheme="minorHAnsi"/>
                <w:sz w:val="22"/>
                <w:szCs w:val="22"/>
                <w:lang w:val="en-IN" w:eastAsia="en-IN"/>
              </w:rPr>
              <w:t xml:space="preserve">n of feeders, linkline etc.)   </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Km.</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1013</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38.48</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16.49</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54.97</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(b) 11/0.4 KV S/s</w:t>
            </w:r>
          </w:p>
        </w:tc>
        <w:tc>
          <w:tcPr>
            <w:tcW w:w="650" w:type="pct"/>
            <w:shd w:val="clear" w:color="auto" w:fill="auto"/>
            <w:noWrap/>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82"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57"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23" w:type="pct"/>
            <w:shd w:val="clear" w:color="auto" w:fill="auto"/>
            <w:noWrap/>
            <w:vAlign w:val="bottom"/>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0.00</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(i) 11/0.4 KV S/s</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Nos./KVA</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608</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15.39</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6.59</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21.98</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(ii) 11/0.4 KV S/s (SC Dominated)</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Nos./KVA</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150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3.80</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1.63</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5.43</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11/0.4 KV S/s increasing capacity</w:t>
            </w:r>
          </w:p>
        </w:tc>
        <w:tc>
          <w:tcPr>
            <w:tcW w:w="650" w:type="pct"/>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p>
        </w:tc>
        <w:tc>
          <w:tcPr>
            <w:tcW w:w="582"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23"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0.00</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(i) 11/0.4 KV S/s increasing capacity</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Nos./KVA</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608</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7.70</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3.30</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11.00</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(ii) 11/0.4 KV S/s increasing capacity (SC Dominated)</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Nos./KVA</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150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1.90</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0.81</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2.71</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xml:space="preserve">Strengthening of 11 KV line &amp; 11/0.4 KV S/s etc. </w:t>
            </w:r>
          </w:p>
        </w:tc>
        <w:tc>
          <w:tcPr>
            <w:tcW w:w="650" w:type="pct"/>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p>
        </w:tc>
        <w:tc>
          <w:tcPr>
            <w:tcW w:w="582"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23"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xml:space="preserve">(i) Strengthening of 11 KV line &amp; 11/0.4 KV S/s etc. </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Nos./Km</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400/600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12.67</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5.43</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18.09</w:t>
            </w:r>
          </w:p>
        </w:tc>
      </w:tr>
      <w:tr w:rsidR="00C34658" w:rsidRPr="007F04B0" w:rsidTr="00D55642">
        <w:trPr>
          <w:trHeight w:val="6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(ii) Strengthening of 11 KV line &amp; 11/0.4 KV S/s etc. (SC Dominated)</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Nos./Km</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150/200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4.75</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2.04</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6.78</w:t>
            </w:r>
          </w:p>
        </w:tc>
      </w:tr>
      <w:tr w:rsidR="00C34658" w:rsidRPr="007F04B0" w:rsidTr="00D55642">
        <w:trPr>
          <w:trHeight w:val="306"/>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S</w:t>
            </w:r>
            <w:r>
              <w:rPr>
                <w:rFonts w:asciiTheme="minorHAnsi" w:hAnsiTheme="minorHAnsi"/>
                <w:sz w:val="22"/>
                <w:szCs w:val="22"/>
                <w:lang w:val="en-IN" w:eastAsia="en-IN"/>
              </w:rPr>
              <w:t>e</w:t>
            </w:r>
            <w:r w:rsidRPr="008B0C65">
              <w:rPr>
                <w:rFonts w:asciiTheme="minorHAnsi" w:hAnsiTheme="minorHAnsi"/>
                <w:sz w:val="22"/>
                <w:szCs w:val="22"/>
                <w:lang w:val="en-IN" w:eastAsia="en-IN"/>
              </w:rPr>
              <w:t>paration of Villages from P.T.W., S.T.W. etc. (</w:t>
            </w:r>
            <w:r w:rsidRPr="007F04B0">
              <w:rPr>
                <w:rFonts w:asciiTheme="minorHAnsi" w:hAnsiTheme="minorHAnsi"/>
                <w:sz w:val="22"/>
                <w:szCs w:val="22"/>
                <w:lang w:val="en-IN" w:eastAsia="en-IN"/>
              </w:rPr>
              <w:t>Separation</w:t>
            </w:r>
            <w:r w:rsidRPr="008B0C65">
              <w:rPr>
                <w:rFonts w:asciiTheme="minorHAnsi" w:hAnsiTheme="minorHAnsi"/>
                <w:sz w:val="22"/>
                <w:szCs w:val="22"/>
                <w:lang w:val="en-IN" w:eastAsia="en-IN"/>
              </w:rPr>
              <w:t xml:space="preserve"> of feeders) against Sanction scheme </w:t>
            </w:r>
            <w:r>
              <w:rPr>
                <w:rFonts w:asciiTheme="minorHAnsi" w:hAnsiTheme="minorHAnsi"/>
                <w:sz w:val="22"/>
                <w:szCs w:val="22"/>
                <w:lang w:val="en-IN" w:eastAsia="en-IN"/>
              </w:rPr>
              <w:t>Rs.</w:t>
            </w:r>
            <w:r w:rsidRPr="008B0C65">
              <w:rPr>
                <w:rFonts w:asciiTheme="minorHAnsi" w:hAnsiTheme="minorHAnsi"/>
                <w:sz w:val="22"/>
                <w:szCs w:val="22"/>
                <w:lang w:val="en-IN" w:eastAsia="en-IN"/>
              </w:rPr>
              <w:t xml:space="preserve">1500 </w:t>
            </w:r>
            <w:r>
              <w:rPr>
                <w:rFonts w:asciiTheme="minorHAnsi" w:hAnsiTheme="minorHAnsi"/>
                <w:sz w:val="22"/>
                <w:szCs w:val="22"/>
                <w:lang w:val="en-IN" w:eastAsia="en-IN"/>
              </w:rPr>
              <w:t>C</w:t>
            </w:r>
            <w:r w:rsidRPr="008B0C65">
              <w:rPr>
                <w:rFonts w:asciiTheme="minorHAnsi" w:hAnsiTheme="minorHAnsi"/>
                <w:sz w:val="22"/>
                <w:szCs w:val="22"/>
                <w:lang w:val="en-IN" w:eastAsia="en-IN"/>
              </w:rPr>
              <w:t xml:space="preserve">rore out of which 40% work will be proposed to be completed in this year. </w:t>
            </w:r>
          </w:p>
        </w:tc>
        <w:tc>
          <w:tcPr>
            <w:tcW w:w="650" w:type="pct"/>
            <w:shd w:val="clear" w:color="auto" w:fill="auto"/>
            <w:vAlign w:val="bottom"/>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0.00</w:t>
            </w:r>
          </w:p>
        </w:tc>
      </w:tr>
      <w:tr w:rsidR="00C34658" w:rsidRPr="007F04B0" w:rsidTr="00D55642">
        <w:trPr>
          <w:trHeight w:val="6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Replace of old &amp; damage of 11 KV capacitors &amp; other pertaining equipment 50%</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405</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15.39</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6.59</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21.98</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Providing new 11 KV capacitors 10% of S/s</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68</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3.42</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1.47</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4.89</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lastRenderedPageBreak/>
              <w:t>Construction of new L.T. line</w:t>
            </w:r>
          </w:p>
        </w:tc>
        <w:tc>
          <w:tcPr>
            <w:tcW w:w="650" w:type="pct"/>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p>
        </w:tc>
        <w:tc>
          <w:tcPr>
            <w:tcW w:w="582"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23"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(i) Construction of new L.T. line</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Km.</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675</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21.38</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9.16</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30.54</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(ii) Construction of new L.T. line (SC Dominated)</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Km.</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200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6.33</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2.71</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9.05</w:t>
            </w:r>
          </w:p>
        </w:tc>
      </w:tr>
      <w:tr w:rsidR="00C34658" w:rsidRPr="007F04B0" w:rsidTr="00D55642">
        <w:trPr>
          <w:trHeight w:val="12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xml:space="preserve">Strengthening of L.T. line (Replacing of damage conductor/pole jarjer replacement of higher capacity of conductor broken pole/wooden pole, Additional pole in long span &amp; other access etc. </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Km.</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1200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15.20</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6.51</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21.71</w:t>
            </w:r>
          </w:p>
        </w:tc>
      </w:tr>
      <w:tr w:rsidR="00C34658" w:rsidRPr="007F04B0" w:rsidTr="00D55642">
        <w:trPr>
          <w:trHeight w:val="6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Replacement of damage/very old OCB/VCB and other equipments as well as by high capacity.</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80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5.07</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2.17</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7.24</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xml:space="preserve">Construction - major workshop. </w:t>
            </w:r>
            <w:r>
              <w:rPr>
                <w:rFonts w:asciiTheme="minorHAnsi" w:hAnsiTheme="minorHAnsi"/>
                <w:sz w:val="22"/>
                <w:szCs w:val="22"/>
                <w:lang w:val="en-IN" w:eastAsia="en-IN"/>
              </w:rPr>
              <w:t>i</w:t>
            </w:r>
            <w:r w:rsidRPr="008B0C65">
              <w:rPr>
                <w:rFonts w:asciiTheme="minorHAnsi" w:hAnsiTheme="minorHAnsi"/>
                <w:sz w:val="22"/>
                <w:szCs w:val="22"/>
                <w:lang w:val="en-IN" w:eastAsia="en-IN"/>
              </w:rPr>
              <w:t>ncluding civil work</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3.80</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1.63</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5.43</w:t>
            </w:r>
          </w:p>
        </w:tc>
      </w:tr>
      <w:tr w:rsidR="00C34658" w:rsidRPr="007F04B0" w:rsidTr="00D55642">
        <w:trPr>
          <w:trHeight w:val="6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Strengthening of working workshop, store, other T&amp;P etc. Including civil works</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15</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13.93</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5.97</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19.90</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Arrange of stair mounted (</w:t>
            </w:r>
            <w:r w:rsidRPr="007F04B0">
              <w:rPr>
                <w:rFonts w:asciiTheme="minorHAnsi" w:hAnsiTheme="minorHAnsi"/>
                <w:sz w:val="22"/>
                <w:szCs w:val="22"/>
                <w:lang w:val="en-IN" w:eastAsia="en-IN"/>
              </w:rPr>
              <w:t>Hydraulic</w:t>
            </w:r>
            <w:r w:rsidRPr="008B0C65">
              <w:rPr>
                <w:rFonts w:asciiTheme="minorHAnsi" w:hAnsiTheme="minorHAnsi"/>
                <w:sz w:val="22"/>
                <w:szCs w:val="22"/>
                <w:lang w:val="en-IN" w:eastAsia="en-IN"/>
              </w:rPr>
              <w:t xml:space="preserve"> vehicle &amp; Jeeps)</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45</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6.84</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2.93</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9.77</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Non Residen</w:t>
            </w:r>
            <w:r>
              <w:rPr>
                <w:rFonts w:asciiTheme="minorHAnsi" w:hAnsiTheme="minorHAnsi"/>
                <w:sz w:val="22"/>
                <w:szCs w:val="22"/>
                <w:lang w:val="en-IN" w:eastAsia="en-IN"/>
              </w:rPr>
              <w:t>t</w:t>
            </w:r>
            <w:r w:rsidRPr="008B0C65">
              <w:rPr>
                <w:rFonts w:asciiTheme="minorHAnsi" w:hAnsiTheme="minorHAnsi"/>
                <w:sz w:val="22"/>
                <w:szCs w:val="22"/>
                <w:lang w:val="en-IN" w:eastAsia="en-IN"/>
              </w:rPr>
              <w:t>ial &amp; Residen</w:t>
            </w:r>
            <w:r>
              <w:rPr>
                <w:rFonts w:asciiTheme="minorHAnsi" w:hAnsiTheme="minorHAnsi"/>
                <w:sz w:val="22"/>
                <w:szCs w:val="22"/>
                <w:lang w:val="en-IN" w:eastAsia="en-IN"/>
              </w:rPr>
              <w:t>t</w:t>
            </w:r>
            <w:r w:rsidRPr="008B0C65">
              <w:rPr>
                <w:rFonts w:asciiTheme="minorHAnsi" w:hAnsiTheme="minorHAnsi"/>
                <w:sz w:val="22"/>
                <w:szCs w:val="22"/>
                <w:lang w:val="en-IN" w:eastAsia="en-IN"/>
              </w:rPr>
              <w:t>ial new work.</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6.33</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2.71</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9.05</w:t>
            </w:r>
          </w:p>
        </w:tc>
      </w:tr>
      <w:tr w:rsidR="00C34658" w:rsidRPr="007F04B0" w:rsidTr="00D55642">
        <w:trPr>
          <w:trHeight w:val="6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Strengthening/Maintenance of Non Residen</w:t>
            </w:r>
            <w:r>
              <w:rPr>
                <w:rFonts w:asciiTheme="minorHAnsi" w:hAnsiTheme="minorHAnsi"/>
                <w:sz w:val="22"/>
                <w:szCs w:val="22"/>
                <w:lang w:val="en-IN" w:eastAsia="en-IN"/>
              </w:rPr>
              <w:t>t</w:t>
            </w:r>
            <w:r w:rsidRPr="008B0C65">
              <w:rPr>
                <w:rFonts w:asciiTheme="minorHAnsi" w:hAnsiTheme="minorHAnsi"/>
                <w:sz w:val="22"/>
                <w:szCs w:val="22"/>
                <w:lang w:val="en-IN" w:eastAsia="en-IN"/>
              </w:rPr>
              <w:t>ial &amp; Residen</w:t>
            </w:r>
            <w:r>
              <w:rPr>
                <w:rFonts w:asciiTheme="minorHAnsi" w:hAnsiTheme="minorHAnsi"/>
                <w:sz w:val="22"/>
                <w:szCs w:val="22"/>
                <w:lang w:val="en-IN" w:eastAsia="en-IN"/>
              </w:rPr>
              <w:t>t</w:t>
            </w:r>
            <w:r w:rsidRPr="008B0C65">
              <w:rPr>
                <w:rFonts w:asciiTheme="minorHAnsi" w:hAnsiTheme="minorHAnsi"/>
                <w:sz w:val="22"/>
                <w:szCs w:val="22"/>
                <w:lang w:val="en-IN" w:eastAsia="en-IN"/>
              </w:rPr>
              <w:t>ial building/S/s etc.</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7.86</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3.37</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11.24</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Improvement of billing of R/L areas</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6.33</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2.71</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9.05</w:t>
            </w:r>
          </w:p>
        </w:tc>
      </w:tr>
      <w:tr w:rsidR="00C34658" w:rsidRPr="007F04B0" w:rsidTr="00D55642">
        <w:trPr>
          <w:trHeight w:val="6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xml:space="preserve">Reduction of commercial losses, providing pilfer proof metering against all category consumers. </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3.17</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1.36</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4.52</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Providing of double meter in all category with modem</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6.33</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2.71</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9.05</w:t>
            </w:r>
          </w:p>
        </w:tc>
      </w:tr>
      <w:tr w:rsidR="00C34658" w:rsidRPr="007F04B0" w:rsidTr="00D55642">
        <w:trPr>
          <w:trHeight w:val="6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Providing Electronic meter at S.T.W. consumers 10% in this year.</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605</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0.46</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0.20</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0.65</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System Augmentation of Distribution Network</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473.27</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202.83</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676.10</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Arrangement of prepaid meter (1-Æ  &amp; 3- Æ)</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2.53</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1.09</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3.62</w:t>
            </w:r>
          </w:p>
        </w:tc>
      </w:tr>
      <w:tr w:rsidR="00C34658" w:rsidRPr="007F04B0" w:rsidTr="00D55642">
        <w:trPr>
          <w:trHeight w:val="9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lastRenderedPageBreak/>
              <w:t>Any other works which full under network strengthening of Transformer repairing workshop and manufacturing of PCC Pole at different units.</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0.00</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(a) Repairing of Transformers</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W</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7000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5.32</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2.28</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7.60</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(b) PCC Pole manufacturing.</w:t>
            </w:r>
          </w:p>
        </w:tc>
        <w:tc>
          <w:tcPr>
            <w:tcW w:w="650" w:type="pct"/>
            <w:shd w:val="clear" w:color="auto" w:fill="auto"/>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r w:rsidRPr="008B0C65">
              <w:rPr>
                <w:rFonts w:asciiTheme="minorHAnsi" w:hAnsiTheme="minorHAnsi"/>
                <w:sz w:val="22"/>
                <w:szCs w:val="22"/>
                <w:lang w:val="en-IN" w:eastAsia="en-IN"/>
              </w:rPr>
              <w:t>Nos.</w:t>
            </w:r>
          </w:p>
        </w:tc>
        <w:tc>
          <w:tcPr>
            <w:tcW w:w="582"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65000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14.82</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6.35</w:t>
            </w:r>
          </w:p>
        </w:tc>
        <w:tc>
          <w:tcPr>
            <w:tcW w:w="523"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21.17</w:t>
            </w:r>
          </w:p>
        </w:tc>
      </w:tr>
      <w:tr w:rsidR="00C34658" w:rsidRPr="007F04B0" w:rsidTr="00D55642">
        <w:trPr>
          <w:trHeight w:val="6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Capital Investment through Support under VyaparVikasNidhi</w:t>
            </w:r>
          </w:p>
        </w:tc>
        <w:tc>
          <w:tcPr>
            <w:tcW w:w="650" w:type="pct"/>
            <w:shd w:val="clear" w:color="auto" w:fill="auto"/>
            <w:noWrap/>
            <w:vAlign w:val="center"/>
            <w:hideMark/>
          </w:tcPr>
          <w:p w:rsidR="00C34658" w:rsidRPr="008B0C65" w:rsidRDefault="00C34658" w:rsidP="00D55642">
            <w:pPr>
              <w:spacing w:before="0" w:line="240" w:lineRule="auto"/>
              <w:jc w:val="center"/>
              <w:rPr>
                <w:rFonts w:asciiTheme="minorHAnsi" w:hAnsiTheme="minorHAnsi"/>
                <w:sz w:val="22"/>
                <w:szCs w:val="22"/>
                <w:lang w:val="en-IN" w:eastAsia="en-IN"/>
              </w:rPr>
            </w:pPr>
          </w:p>
        </w:tc>
        <w:tc>
          <w:tcPr>
            <w:tcW w:w="582"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323.34</w:t>
            </w:r>
          </w:p>
        </w:tc>
        <w:tc>
          <w:tcPr>
            <w:tcW w:w="557"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138.57</w:t>
            </w:r>
          </w:p>
        </w:tc>
        <w:tc>
          <w:tcPr>
            <w:tcW w:w="523"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461.91</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R-APDRP Part A</w:t>
            </w:r>
          </w:p>
        </w:tc>
        <w:tc>
          <w:tcPr>
            <w:tcW w:w="650" w:type="pct"/>
            <w:shd w:val="clear" w:color="auto" w:fill="auto"/>
            <w:noWrap/>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82"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29.25</w:t>
            </w:r>
          </w:p>
        </w:tc>
        <w:tc>
          <w:tcPr>
            <w:tcW w:w="557"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12.54</w:t>
            </w:r>
          </w:p>
        </w:tc>
        <w:tc>
          <w:tcPr>
            <w:tcW w:w="523"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41.79</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R-APDRP Part B</w:t>
            </w:r>
          </w:p>
        </w:tc>
        <w:tc>
          <w:tcPr>
            <w:tcW w:w="650" w:type="pct"/>
            <w:shd w:val="clear" w:color="auto" w:fill="auto"/>
            <w:noWrap/>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82"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168.38</w:t>
            </w:r>
          </w:p>
        </w:tc>
        <w:tc>
          <w:tcPr>
            <w:tcW w:w="557" w:type="pct"/>
            <w:shd w:val="clear" w:color="auto" w:fill="auto"/>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72.16</w:t>
            </w:r>
          </w:p>
        </w:tc>
        <w:tc>
          <w:tcPr>
            <w:tcW w:w="523"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240.54</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Deposit Works</w:t>
            </w:r>
          </w:p>
        </w:tc>
        <w:tc>
          <w:tcPr>
            <w:tcW w:w="650" w:type="pct"/>
            <w:shd w:val="clear" w:color="auto" w:fill="auto"/>
            <w:noWrap/>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82"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23"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400.00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sz w:val="22"/>
                <w:szCs w:val="22"/>
                <w:lang w:val="en-IN" w:eastAsia="en-IN"/>
              </w:rPr>
            </w:pPr>
            <w:r w:rsidRPr="008B0C65">
              <w:rPr>
                <w:rFonts w:asciiTheme="minorHAnsi" w:hAnsiTheme="minorHAnsi"/>
                <w:sz w:val="22"/>
                <w:szCs w:val="22"/>
                <w:lang w:val="en-IN" w:eastAsia="en-IN"/>
              </w:rPr>
              <w:t>400.00</w:t>
            </w:r>
          </w:p>
        </w:tc>
      </w:tr>
      <w:tr w:rsidR="00C34658" w:rsidRPr="007F04B0" w:rsidTr="00D55642">
        <w:trPr>
          <w:trHeight w:val="300"/>
        </w:trPr>
        <w:tc>
          <w:tcPr>
            <w:tcW w:w="1747" w:type="pct"/>
            <w:shd w:val="clear" w:color="auto" w:fill="auto"/>
            <w:vAlign w:val="bottom"/>
            <w:hideMark/>
          </w:tcPr>
          <w:p w:rsidR="00C34658" w:rsidRPr="008B0C65" w:rsidRDefault="00C34658" w:rsidP="00D55642">
            <w:pPr>
              <w:spacing w:before="0" w:line="240" w:lineRule="auto"/>
              <w:jc w:val="left"/>
              <w:rPr>
                <w:rFonts w:asciiTheme="minorHAnsi" w:hAnsiTheme="minorHAnsi"/>
                <w:b/>
                <w:bCs/>
                <w:sz w:val="22"/>
                <w:szCs w:val="22"/>
                <w:lang w:val="en-IN" w:eastAsia="en-IN"/>
              </w:rPr>
            </w:pPr>
            <w:r w:rsidRPr="008B0C65">
              <w:rPr>
                <w:rFonts w:asciiTheme="minorHAnsi" w:hAnsiTheme="minorHAnsi"/>
                <w:b/>
                <w:bCs/>
                <w:sz w:val="22"/>
                <w:szCs w:val="22"/>
                <w:lang w:val="en-IN" w:eastAsia="en-IN"/>
              </w:rPr>
              <w:t>Total</w:t>
            </w:r>
          </w:p>
        </w:tc>
        <w:tc>
          <w:tcPr>
            <w:tcW w:w="650" w:type="pct"/>
            <w:shd w:val="clear" w:color="auto" w:fill="auto"/>
            <w:noWrap/>
            <w:vAlign w:val="bottom"/>
            <w:hideMark/>
          </w:tcPr>
          <w:p w:rsidR="00C34658" w:rsidRPr="008B0C65" w:rsidRDefault="00C34658" w:rsidP="00D55642">
            <w:pPr>
              <w:spacing w:before="0" w:line="240" w:lineRule="auto"/>
              <w:jc w:val="left"/>
              <w:rPr>
                <w:rFonts w:asciiTheme="minorHAnsi" w:hAnsiTheme="minorHAnsi"/>
                <w:sz w:val="22"/>
                <w:szCs w:val="22"/>
                <w:lang w:val="en-IN" w:eastAsia="en-IN"/>
              </w:rPr>
            </w:pPr>
            <w:r w:rsidRPr="008B0C65">
              <w:rPr>
                <w:rFonts w:asciiTheme="minorHAnsi" w:hAnsiTheme="minorHAnsi"/>
                <w:sz w:val="22"/>
                <w:szCs w:val="22"/>
                <w:lang w:val="en-IN" w:eastAsia="en-IN"/>
              </w:rPr>
              <w:t> </w:t>
            </w:r>
          </w:p>
        </w:tc>
        <w:tc>
          <w:tcPr>
            <w:tcW w:w="582" w:type="pct"/>
            <w:shd w:val="clear" w:color="auto" w:fill="auto"/>
            <w:noWrap/>
            <w:vAlign w:val="center"/>
            <w:hideMark/>
          </w:tcPr>
          <w:p w:rsidR="00C34658" w:rsidRPr="008B0C65" w:rsidRDefault="00C34658" w:rsidP="00D55642">
            <w:pPr>
              <w:spacing w:before="0" w:line="240" w:lineRule="auto"/>
              <w:jc w:val="right"/>
              <w:rPr>
                <w:rFonts w:asciiTheme="minorHAnsi" w:hAnsiTheme="minorHAnsi"/>
                <w:b/>
                <w:bCs/>
                <w:color w:val="000000"/>
                <w:sz w:val="22"/>
                <w:szCs w:val="22"/>
                <w:lang w:val="en-IN" w:eastAsia="en-IN"/>
              </w:rPr>
            </w:pPr>
            <w:r w:rsidRPr="008B0C65">
              <w:rPr>
                <w:rFonts w:asciiTheme="minorHAnsi" w:hAnsiTheme="minorHAnsi"/>
                <w:b/>
                <w:bCs/>
                <w:color w:val="000000"/>
                <w:sz w:val="22"/>
                <w:szCs w:val="22"/>
                <w:lang w:val="en-IN" w:eastAsia="en-IN"/>
              </w:rPr>
              <w:t> </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b/>
                <w:bCs/>
                <w:color w:val="000000"/>
                <w:sz w:val="22"/>
                <w:szCs w:val="22"/>
                <w:lang w:val="en-IN" w:eastAsia="en-IN"/>
              </w:rPr>
            </w:pPr>
            <w:r w:rsidRPr="008B0C65">
              <w:rPr>
                <w:rFonts w:asciiTheme="minorHAnsi" w:hAnsiTheme="minorHAnsi"/>
                <w:b/>
                <w:color w:val="000000"/>
                <w:sz w:val="22"/>
                <w:szCs w:val="22"/>
              </w:rPr>
              <w:t>1470</w:t>
            </w:r>
          </w:p>
        </w:tc>
        <w:tc>
          <w:tcPr>
            <w:tcW w:w="55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b/>
                <w:bCs/>
                <w:color w:val="000000"/>
                <w:sz w:val="22"/>
                <w:szCs w:val="22"/>
                <w:lang w:val="en-IN" w:eastAsia="en-IN"/>
              </w:rPr>
            </w:pPr>
            <w:r w:rsidRPr="008B0C65">
              <w:rPr>
                <w:rFonts w:asciiTheme="minorHAnsi" w:hAnsiTheme="minorHAnsi"/>
                <w:b/>
                <w:color w:val="000000"/>
                <w:sz w:val="22"/>
                <w:szCs w:val="22"/>
              </w:rPr>
              <w:t>630</w:t>
            </w:r>
          </w:p>
        </w:tc>
        <w:tc>
          <w:tcPr>
            <w:tcW w:w="523" w:type="pct"/>
            <w:shd w:val="clear" w:color="auto" w:fill="auto"/>
            <w:noWrap/>
            <w:vAlign w:val="center"/>
            <w:hideMark/>
          </w:tcPr>
          <w:p w:rsidR="00C34658" w:rsidRPr="008B0C65" w:rsidRDefault="00C34658" w:rsidP="00D55642">
            <w:pPr>
              <w:spacing w:before="0" w:line="240" w:lineRule="auto"/>
              <w:jc w:val="right"/>
              <w:rPr>
                <w:rFonts w:asciiTheme="minorHAnsi" w:hAnsiTheme="minorHAnsi"/>
                <w:b/>
                <w:bCs/>
                <w:color w:val="000000"/>
                <w:sz w:val="22"/>
                <w:szCs w:val="22"/>
                <w:lang w:val="en-IN" w:eastAsia="en-IN"/>
              </w:rPr>
            </w:pPr>
            <w:r w:rsidRPr="008B0C65">
              <w:rPr>
                <w:rFonts w:asciiTheme="minorHAnsi" w:hAnsiTheme="minorHAnsi"/>
                <w:b/>
                <w:color w:val="000000"/>
                <w:sz w:val="22"/>
                <w:szCs w:val="22"/>
              </w:rPr>
              <w:t>400</w:t>
            </w:r>
          </w:p>
        </w:tc>
        <w:tc>
          <w:tcPr>
            <w:tcW w:w="47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b/>
                <w:bCs/>
                <w:color w:val="000000"/>
                <w:sz w:val="22"/>
                <w:szCs w:val="22"/>
                <w:lang w:val="en-IN" w:eastAsia="en-IN"/>
              </w:rPr>
            </w:pPr>
            <w:r w:rsidRPr="008B0C65">
              <w:rPr>
                <w:rFonts w:asciiTheme="minorHAnsi" w:hAnsiTheme="minorHAnsi"/>
                <w:b/>
                <w:color w:val="000000"/>
                <w:sz w:val="22"/>
                <w:szCs w:val="22"/>
              </w:rPr>
              <w:t>2500</w:t>
            </w:r>
          </w:p>
        </w:tc>
      </w:tr>
    </w:tbl>
    <w:p w:rsidR="00C34658" w:rsidRDefault="00C34658" w:rsidP="00C34658">
      <w:pPr>
        <w:spacing w:before="0"/>
        <w:rPr>
          <w:rFonts w:cs="Calibri"/>
          <w:b/>
          <w:sz w:val="22"/>
          <w:szCs w:val="22"/>
          <w:lang w:val="en-US"/>
        </w:rPr>
      </w:pPr>
    </w:p>
    <w:p w:rsidR="00C34658" w:rsidRDefault="00C34658" w:rsidP="00C34658">
      <w:pPr>
        <w:spacing w:before="0"/>
        <w:rPr>
          <w:rFonts w:cs="Calibri"/>
          <w:b/>
          <w:sz w:val="22"/>
          <w:szCs w:val="22"/>
          <w:lang w:val="en-US"/>
        </w:rPr>
      </w:pPr>
    </w:p>
    <w:p w:rsidR="00D5771F" w:rsidRDefault="00C34658">
      <w:pPr>
        <w:pStyle w:val="Heading3"/>
        <w:tabs>
          <w:tab w:val="clear" w:pos="720"/>
        </w:tabs>
        <w:spacing w:before="0"/>
        <w:ind w:left="993" w:hanging="993"/>
      </w:pPr>
      <w:r w:rsidRPr="00C60AD1">
        <w:t xml:space="preserve">The Petitioner submitted that the following assumptions were used for projecting GFA and CWIP for FY </w:t>
      </w:r>
      <w:r>
        <w:t>2016-17</w:t>
      </w:r>
      <w:r w:rsidRPr="00C60AD1">
        <w:t>:</w:t>
      </w:r>
    </w:p>
    <w:p w:rsidR="00C34658" w:rsidRPr="001E77B8" w:rsidRDefault="00C34658" w:rsidP="00C34658">
      <w:pPr>
        <w:pStyle w:val="ListParagraph"/>
        <w:numPr>
          <w:ilvl w:val="0"/>
          <w:numId w:val="116"/>
        </w:numPr>
        <w:spacing w:before="0" w:after="120"/>
        <w:rPr>
          <w:rFonts w:cs="Calibri"/>
        </w:rPr>
      </w:pPr>
      <w:r w:rsidRPr="008B0C65">
        <w:rPr>
          <w:rFonts w:cs="Calibri"/>
        </w:rPr>
        <w:t>The opening GFA and CWIP for FY 2015-16 have been taken as per the closing figures from provisional annual accounts of FY 2014-15.</w:t>
      </w:r>
    </w:p>
    <w:p w:rsidR="00C34658" w:rsidRPr="001E77B8" w:rsidRDefault="00C34658" w:rsidP="00C34658">
      <w:pPr>
        <w:pStyle w:val="ListParagraph"/>
        <w:numPr>
          <w:ilvl w:val="0"/>
          <w:numId w:val="116"/>
        </w:numPr>
        <w:spacing w:before="0" w:after="120"/>
        <w:rPr>
          <w:rFonts w:cs="Calibri"/>
        </w:rPr>
      </w:pPr>
      <w:r w:rsidRPr="008B0C65">
        <w:rPr>
          <w:rFonts w:cs="Calibri"/>
        </w:rPr>
        <w:t>40% of the opening CWIP and 40% of investment made during the year, expenses capitalized &amp; interest capitalized (40% of total investment) has been assumed to get capitalized during the year.</w:t>
      </w:r>
    </w:p>
    <w:p w:rsidR="00C34658" w:rsidRPr="001E77B8" w:rsidRDefault="00C34658" w:rsidP="00C34658">
      <w:pPr>
        <w:pStyle w:val="ListParagraph"/>
        <w:numPr>
          <w:ilvl w:val="0"/>
          <w:numId w:val="116"/>
        </w:numPr>
        <w:spacing w:before="0" w:after="120"/>
        <w:rPr>
          <w:rFonts w:cs="Calibri"/>
        </w:rPr>
      </w:pPr>
      <w:r w:rsidRPr="008B0C65">
        <w:rPr>
          <w:rFonts w:cs="Calibri"/>
        </w:rPr>
        <w:t xml:space="preserve">Investment through “deposit work “has been taken for capital formation. However depreciation thereon has not been charged to the ARR in line with the policy adopted by </w:t>
      </w:r>
      <w:r>
        <w:rPr>
          <w:rFonts w:cs="Calibri"/>
        </w:rPr>
        <w:t>the</w:t>
      </w:r>
      <w:r w:rsidRPr="008B0C65">
        <w:rPr>
          <w:rFonts w:cs="Calibri"/>
        </w:rPr>
        <w:t xml:space="preserve"> Commission in its </w:t>
      </w:r>
      <w:r>
        <w:rPr>
          <w:rFonts w:cs="Calibri"/>
        </w:rPr>
        <w:t>previous</w:t>
      </w:r>
      <w:r w:rsidRPr="008B0C65">
        <w:rPr>
          <w:rFonts w:cs="Calibri"/>
        </w:rPr>
        <w:t xml:space="preserve"> Tariff Orders.</w:t>
      </w:r>
    </w:p>
    <w:p w:rsidR="00C34658" w:rsidRPr="001E77B8" w:rsidRDefault="00C34658" w:rsidP="00C34658">
      <w:pPr>
        <w:pStyle w:val="ListParagraph"/>
        <w:numPr>
          <w:ilvl w:val="0"/>
          <w:numId w:val="116"/>
        </w:numPr>
        <w:spacing w:before="0" w:after="120"/>
        <w:rPr>
          <w:rFonts w:cs="Calibri"/>
        </w:rPr>
      </w:pPr>
      <w:r w:rsidRPr="008B0C65">
        <w:rPr>
          <w:rFonts w:cs="Calibri"/>
        </w:rPr>
        <w:t>The capital investment for FY 2015-16 has been pegged at Rs. 2,241.94 Crore out of which</w:t>
      </w:r>
      <w:r>
        <w:rPr>
          <w:rFonts w:cs="Calibri"/>
        </w:rPr>
        <w:t xml:space="preserve">, </w:t>
      </w:r>
      <w:r w:rsidRPr="008B0C65">
        <w:rPr>
          <w:rFonts w:cs="Calibri"/>
        </w:rPr>
        <w:t xml:space="preserve">deposit works have been envisaged at Rs. 336.29 </w:t>
      </w:r>
      <w:r>
        <w:rPr>
          <w:rFonts w:cs="Calibri"/>
        </w:rPr>
        <w:t>C</w:t>
      </w:r>
      <w:r w:rsidRPr="008B0C65">
        <w:rPr>
          <w:rFonts w:cs="Calibri"/>
        </w:rPr>
        <w:t>rore.</w:t>
      </w:r>
    </w:p>
    <w:p w:rsidR="00D5771F" w:rsidRDefault="00C34658">
      <w:pPr>
        <w:pStyle w:val="Heading3"/>
        <w:tabs>
          <w:tab w:val="clear" w:pos="720"/>
        </w:tabs>
        <w:spacing w:after="240"/>
        <w:ind w:left="993" w:hanging="993"/>
      </w:pPr>
      <w:r w:rsidRPr="008B0C65">
        <w:t xml:space="preserve">The Petitioner </w:t>
      </w:r>
      <w:r>
        <w:t>has proposed</w:t>
      </w:r>
      <w:r w:rsidRPr="008B0C65">
        <w:t xml:space="preserve"> a capital investment of Rs. 2,500 </w:t>
      </w:r>
      <w:r>
        <w:t>C</w:t>
      </w:r>
      <w:r w:rsidRPr="008B0C65">
        <w:t xml:space="preserve">rore in FY 2016-17 out of </w:t>
      </w:r>
      <w:r w:rsidRPr="00085C64">
        <w:t>which</w:t>
      </w:r>
      <w:r w:rsidRPr="008B0C65">
        <w:t xml:space="preserve"> deposit works have been </w:t>
      </w:r>
      <w:r>
        <w:t>estimated</w:t>
      </w:r>
      <w:r w:rsidRPr="008B0C65">
        <w:t xml:space="preserve"> at Rs. 400 </w:t>
      </w:r>
      <w:r>
        <w:t>C</w:t>
      </w:r>
      <w:r w:rsidRPr="008B0C65">
        <w:t xml:space="preserve">rore. </w:t>
      </w:r>
    </w:p>
    <w:p w:rsidR="00D5771F" w:rsidRDefault="00C34658">
      <w:pPr>
        <w:pStyle w:val="Heading3"/>
        <w:tabs>
          <w:tab w:val="clear" w:pos="720"/>
        </w:tabs>
        <w:spacing w:after="240"/>
        <w:ind w:left="993" w:hanging="993"/>
      </w:pPr>
      <w:r w:rsidRPr="008B0C65">
        <w:t>The capital investment plan (net of deposit works) has been projected to be funded in the ratio of 70:30 (debt to equity).</w:t>
      </w:r>
    </w:p>
    <w:p w:rsidR="00D5771F" w:rsidRDefault="00C34658">
      <w:pPr>
        <w:pStyle w:val="Heading3"/>
        <w:tabs>
          <w:tab w:val="clear" w:pos="720"/>
        </w:tabs>
        <w:spacing w:after="240"/>
        <w:ind w:left="993" w:hanging="993"/>
      </w:pPr>
      <w:r w:rsidRPr="00C60AD1">
        <w:lastRenderedPageBreak/>
        <w:t>With a view to approve realistic levels of gross fixed asset (GFA) balance, and consequent tariff components such as depreciation, interest on loan and return on equity, the Commission has referred to the gross fixed asset balances, capital additions, capital deletions, capital work in progress balances, etc., up to FY 2014</w:t>
      </w:r>
      <w:r>
        <w:t>-15</w:t>
      </w:r>
      <w:r w:rsidRPr="00C60AD1">
        <w:t xml:space="preserve"> as per the provisional accounts for FY 2014</w:t>
      </w:r>
      <w:r>
        <w:t>-15</w:t>
      </w:r>
      <w:r w:rsidRPr="00C60AD1">
        <w:t xml:space="preserve"> as also considered by the Licensee in its Petition.</w:t>
      </w:r>
    </w:p>
    <w:p w:rsidR="00D5771F" w:rsidRDefault="00C34658">
      <w:pPr>
        <w:pStyle w:val="Heading3"/>
        <w:tabs>
          <w:tab w:val="clear" w:pos="720"/>
        </w:tabs>
        <w:spacing w:after="240"/>
        <w:ind w:left="993" w:hanging="993"/>
        <w:rPr>
          <w:bCs w:val="0"/>
        </w:rPr>
      </w:pPr>
      <w:r w:rsidRPr="00C60AD1">
        <w:t xml:space="preserve">The Commission has finalised the philosophy for capital investments and capital additions in the Tariff Order dated </w:t>
      </w:r>
      <w:r w:rsidRPr="00C60AD1">
        <w:rPr>
          <w:bCs w:val="0"/>
        </w:rPr>
        <w:t>May</w:t>
      </w:r>
      <w:r>
        <w:rPr>
          <w:bCs w:val="0"/>
        </w:rPr>
        <w:t xml:space="preserve"> 31</w:t>
      </w:r>
      <w:r w:rsidRPr="00C60AD1">
        <w:rPr>
          <w:bCs w:val="0"/>
        </w:rPr>
        <w:t>, 2013 as below:</w:t>
      </w:r>
    </w:p>
    <w:p w:rsidR="00C34658" w:rsidRDefault="00C34658" w:rsidP="00C34658">
      <w:pPr>
        <w:pStyle w:val="Heading4"/>
        <w:numPr>
          <w:ilvl w:val="0"/>
          <w:numId w:val="0"/>
        </w:numPr>
        <w:spacing w:before="0"/>
        <w:ind w:left="993"/>
        <w:rPr>
          <w:bCs w:val="0"/>
          <w:i/>
        </w:rPr>
      </w:pPr>
      <w:r w:rsidRPr="00C60AD1">
        <w:rPr>
          <w:i/>
        </w:rPr>
        <w:t>“...The Commission has observed that the capital investment claimed by the Licensee is not in strict accordan</w:t>
      </w:r>
      <w:r w:rsidRPr="00C60AD1">
        <w:rPr>
          <w:bCs w:val="0"/>
          <w:i/>
        </w:rPr>
        <w:t>ce with the Distribution Tariff Regulations. In order to reprimand the Licensee, the Commission disallows 30% of the capital investment claimed in the ARR / Tariff Petition....”</w:t>
      </w:r>
    </w:p>
    <w:p w:rsidR="00C34658" w:rsidRPr="00C60AD1" w:rsidRDefault="00C34658" w:rsidP="00C34658">
      <w:pPr>
        <w:pStyle w:val="Heading4"/>
        <w:numPr>
          <w:ilvl w:val="0"/>
          <w:numId w:val="0"/>
        </w:numPr>
        <w:spacing w:before="0"/>
        <w:ind w:left="993"/>
        <w:rPr>
          <w:bCs w:val="0"/>
          <w:i/>
        </w:rPr>
      </w:pPr>
    </w:p>
    <w:p w:rsidR="00D5771F" w:rsidRDefault="00C34658">
      <w:pPr>
        <w:pStyle w:val="Heading3"/>
        <w:tabs>
          <w:tab w:val="clear" w:pos="720"/>
        </w:tabs>
        <w:spacing w:after="240"/>
        <w:ind w:left="993" w:hanging="993"/>
      </w:pPr>
      <w:r w:rsidRPr="00C60AD1">
        <w:t xml:space="preserve">Regulation 4.5 of Distribution Tariff Regulation, 2006 stipulates as below: </w:t>
      </w:r>
    </w:p>
    <w:p w:rsidR="00C34658" w:rsidRPr="00C60AD1" w:rsidRDefault="00C34658" w:rsidP="00C34658">
      <w:pPr>
        <w:rPr>
          <w:b/>
        </w:rPr>
      </w:pPr>
      <w:r w:rsidRPr="00C60AD1">
        <w:rPr>
          <w:rFonts w:eastAsiaTheme="minorEastAsia"/>
        </w:rPr>
        <w:tab/>
      </w:r>
      <w:r w:rsidRPr="00C60AD1">
        <w:rPr>
          <w:rFonts w:eastAsiaTheme="minorEastAsia"/>
          <w:b/>
        </w:rPr>
        <w:t>“4.5 Capital Investment Plan:</w:t>
      </w:r>
    </w:p>
    <w:p w:rsidR="00C34658" w:rsidRPr="00C60AD1" w:rsidRDefault="00C34658" w:rsidP="00C34658">
      <w:pPr>
        <w:pStyle w:val="ListParagraph"/>
        <w:ind w:left="1260"/>
        <w:rPr>
          <w:i/>
        </w:rPr>
      </w:pPr>
      <w:r w:rsidRPr="00C60AD1">
        <w:rPr>
          <w:i/>
        </w:rPr>
        <w:t xml:space="preserve">1. The licensee shall in its ARR/Tariff filing identify projects for the ensuing financial year and subsequent four years and submit detailed capital investment plan along with a financing plan for undertaking the identified projects in order to meet the requirement of load growth, refurbishment and replacement of equipment, reduction in distribution losses, improvement of voltage profile, improvement in quality of supply &amp; system reliability, metering, communication, computerization, etc. </w:t>
      </w:r>
    </w:p>
    <w:p w:rsidR="00C34658" w:rsidRPr="00C60AD1" w:rsidRDefault="00C34658" w:rsidP="00C34658">
      <w:pPr>
        <w:pStyle w:val="ListParagraph"/>
        <w:ind w:left="1260"/>
        <w:rPr>
          <w:i/>
        </w:rPr>
      </w:pPr>
      <w:r w:rsidRPr="00C60AD1">
        <w:rPr>
          <w:i/>
        </w:rPr>
        <w:t>2. The Commission shall consider and approve the licensee’s capital investment plan, subject to prudence check. The costs corresponding to the approved investment plan of the licensee for a given year shall be considered for determining its annual revenue requirement. Provided that prior approval would not be required in cases where the normal distribution projects cost is below 1 Crs.</w:t>
      </w:r>
    </w:p>
    <w:p w:rsidR="00C34658" w:rsidRPr="00C60AD1" w:rsidRDefault="00C34658" w:rsidP="00C34658">
      <w:pPr>
        <w:pStyle w:val="ListParagraph"/>
        <w:ind w:left="1260"/>
        <w:rPr>
          <w:i/>
        </w:rPr>
      </w:pPr>
      <w:r w:rsidRPr="00C60AD1">
        <w:rPr>
          <w:i/>
        </w:rPr>
        <w:t>3. The detailed capital investment plan shall separately show ongoing projects that will spill into the year under review, and new projects that will commence but may be completed within or beyond the tariff period. For the new projects, the filing must provide the justification as stipulated under investment guidelines of the Commission.</w:t>
      </w:r>
    </w:p>
    <w:p w:rsidR="00C34658" w:rsidRPr="00C60AD1" w:rsidRDefault="00C34658" w:rsidP="00C34658">
      <w:pPr>
        <w:pStyle w:val="ListParagraph"/>
        <w:ind w:left="1260"/>
        <w:rPr>
          <w:i/>
        </w:rPr>
      </w:pPr>
      <w:r w:rsidRPr="00C60AD1">
        <w:rPr>
          <w:i/>
        </w:rPr>
        <w:lastRenderedPageBreak/>
        <w:t>...........</w:t>
      </w:r>
    </w:p>
    <w:p w:rsidR="00C34658" w:rsidRPr="00C60AD1" w:rsidRDefault="00C34658" w:rsidP="00C34658">
      <w:pPr>
        <w:pStyle w:val="ListParagraph"/>
        <w:ind w:left="1260"/>
        <w:rPr>
          <w:i/>
        </w:rPr>
      </w:pPr>
      <w:r w:rsidRPr="00C60AD1">
        <w:rPr>
          <w:i/>
        </w:rPr>
        <w:t>7. The Licensee shall provide Project Completion Report in respect of those projects for which prior approval has been sought from the Commission, as and when they achieve the Commercial Operation.</w:t>
      </w:r>
    </w:p>
    <w:p w:rsidR="00C34658" w:rsidRPr="00C60AD1" w:rsidRDefault="00C34658" w:rsidP="00C34658">
      <w:pPr>
        <w:pStyle w:val="ListParagraph"/>
        <w:ind w:left="1260"/>
        <w:rPr>
          <w:i/>
        </w:rPr>
      </w:pPr>
      <w:r w:rsidRPr="00C60AD1">
        <w:rPr>
          <w:i/>
        </w:rPr>
        <w:t xml:space="preserve">8. Capitalisation of works by the Licensee will be linked to the physical completion of the works. </w:t>
      </w:r>
      <w:r w:rsidRPr="00C60AD1">
        <w:rPr>
          <w:b/>
          <w:i/>
        </w:rPr>
        <w:t xml:space="preserve">The Commission will not accept any capitalisation that does not have work completion certificates and the work is put to beneficial use of consumers. </w:t>
      </w:r>
    </w:p>
    <w:p w:rsidR="00C34658" w:rsidRPr="00C60AD1" w:rsidRDefault="00C34658" w:rsidP="00C34658">
      <w:pPr>
        <w:pStyle w:val="ListParagraph"/>
        <w:ind w:left="1260"/>
        <w:rPr>
          <w:i/>
        </w:rPr>
      </w:pPr>
      <w:r w:rsidRPr="00C60AD1">
        <w:rPr>
          <w:i/>
        </w:rPr>
        <w:t>9. The Licensee will maintain asset registers at each operating circle/ division that will capture all necessary details on the asset, including the cost incurred, date of commissioning, location of asset, and all other technical details.”</w:t>
      </w:r>
      <w:r w:rsidR="00D22C86" w:rsidRPr="00C60AD1">
        <w:rPr>
          <w:b/>
          <w:i/>
        </w:rPr>
        <w:t>(Emphasis added)</w:t>
      </w:r>
    </w:p>
    <w:p w:rsidR="00D5771F" w:rsidRDefault="00C34658">
      <w:pPr>
        <w:pStyle w:val="Heading3"/>
        <w:tabs>
          <w:tab w:val="clear" w:pos="720"/>
        </w:tabs>
        <w:spacing w:after="240"/>
        <w:ind w:left="993" w:hanging="993"/>
      </w:pPr>
      <w:r w:rsidRPr="00C60AD1">
        <w:t xml:space="preserve">For FY </w:t>
      </w:r>
      <w:r>
        <w:t>2016-17</w:t>
      </w:r>
      <w:r w:rsidRPr="00C60AD1">
        <w:t xml:space="preserve"> also, the Commission observed that the capital investment claimed by the Licensee is not in strict accordance with the Distribution Tariff Regulations, 2006 as reproduced above and hence, based on the philosophy adopted by the Commission in its Order dated </w:t>
      </w:r>
      <w:r w:rsidR="00146268">
        <w:t>June 18, 2015</w:t>
      </w:r>
      <w:r w:rsidRPr="00C60AD1">
        <w:t>, approves 70% of capital investment proposed by the Petitioner.</w:t>
      </w:r>
    </w:p>
    <w:p w:rsidR="00D5771F" w:rsidRDefault="00C34658">
      <w:pPr>
        <w:pStyle w:val="Heading3"/>
        <w:tabs>
          <w:tab w:val="clear" w:pos="720"/>
        </w:tabs>
        <w:spacing w:after="240"/>
        <w:ind w:left="993" w:hanging="993"/>
      </w:pPr>
      <w:r w:rsidRPr="00C60AD1">
        <w:t xml:space="preserve">The capitalisation of expenses and interest has been considered as detailed in the sections dealing with O&amp;M expenses and Interest on long term loans. Further, in line with the methodology adopted by the Commission in its Order dated </w:t>
      </w:r>
      <w:r w:rsidR="00146268">
        <w:t>June 18, 2015</w:t>
      </w:r>
      <w:r w:rsidRPr="00C60AD1">
        <w:t xml:space="preserve">, 40% of the total investments including opening CWIP, expenses and interest capitalisation during the year have been projected to be capitalised in FY </w:t>
      </w:r>
      <w:r>
        <w:t>2016-17</w:t>
      </w:r>
      <w:r w:rsidRPr="00C60AD1">
        <w:t>.</w:t>
      </w:r>
    </w:p>
    <w:p w:rsidR="00D5771F" w:rsidRDefault="00C34658">
      <w:pPr>
        <w:pStyle w:val="Heading3"/>
        <w:tabs>
          <w:tab w:val="clear" w:pos="720"/>
        </w:tabs>
        <w:spacing w:after="240"/>
        <w:ind w:left="993" w:hanging="993"/>
      </w:pPr>
      <w:r w:rsidRPr="00C60AD1">
        <w:t xml:space="preserve">Accordingly, the details of Capitalisation and Work-in-progress up to FY </w:t>
      </w:r>
      <w:r>
        <w:t>2016-17</w:t>
      </w:r>
      <w:r w:rsidRPr="00C60AD1">
        <w:t xml:space="preserve"> are shown in the Table below:</w:t>
      </w:r>
    </w:p>
    <w:p w:rsidR="00C34658" w:rsidRPr="00C60AD1" w:rsidRDefault="00C34658" w:rsidP="00C34658">
      <w:pPr>
        <w:spacing w:before="0"/>
        <w:jc w:val="center"/>
        <w:rPr>
          <w:rFonts w:cs="Calibri"/>
          <w:b/>
          <w:sz w:val="22"/>
          <w:szCs w:val="22"/>
          <w:lang w:val="en-US"/>
        </w:rPr>
      </w:pPr>
      <w:bookmarkStart w:id="859" w:name="_Toc338310710"/>
      <w:bookmarkStart w:id="860" w:name="_Toc338419540"/>
      <w:bookmarkStart w:id="861" w:name="_Toc357718747"/>
      <w:bookmarkStart w:id="862" w:name="_Toc396574022"/>
      <w:bookmarkStart w:id="863" w:name="_Toc419992318"/>
      <w:bookmarkStart w:id="864" w:name="_Toc453367700"/>
      <w:bookmarkStart w:id="865" w:name="_Toc457604071"/>
      <w:r w:rsidRPr="00C60AD1">
        <w:rPr>
          <w:rFonts w:cs="Calibri"/>
          <w:b/>
          <w:sz w:val="22"/>
          <w:szCs w:val="22"/>
          <w:lang w:val="en-US"/>
        </w:rPr>
        <w:t xml:space="preserve">TABLE </w:t>
      </w:r>
      <w:r w:rsidR="009741CA" w:rsidRPr="00C60AD1">
        <w:rPr>
          <w:rFonts w:cs="Calibri"/>
          <w:b/>
          <w:sz w:val="22"/>
          <w:szCs w:val="22"/>
          <w:lang w:val="en-US"/>
        </w:rPr>
        <w:fldChar w:fldCharType="begin"/>
      </w:r>
      <w:r w:rsidRPr="00C60AD1">
        <w:rPr>
          <w:rFonts w:cs="Calibri"/>
          <w:b/>
          <w:sz w:val="22"/>
          <w:szCs w:val="22"/>
          <w:lang w:val="en-US"/>
        </w:rPr>
        <w:instrText xml:space="preserve"> STYLEREF 1 \s </w:instrText>
      </w:r>
      <w:r w:rsidR="009741CA" w:rsidRPr="00C60AD1">
        <w:rPr>
          <w:rFonts w:cs="Calibri"/>
          <w:b/>
          <w:sz w:val="22"/>
          <w:szCs w:val="22"/>
          <w:lang w:val="en-US"/>
        </w:rPr>
        <w:fldChar w:fldCharType="separate"/>
      </w:r>
      <w:r w:rsidR="00BA08F0">
        <w:rPr>
          <w:rFonts w:cs="Calibri"/>
          <w:b/>
          <w:noProof/>
          <w:sz w:val="22"/>
          <w:szCs w:val="22"/>
          <w:lang w:val="en-US"/>
        </w:rPr>
        <w:t>5</w:t>
      </w:r>
      <w:r w:rsidR="009741CA" w:rsidRPr="00C60AD1">
        <w:rPr>
          <w:rFonts w:cs="Calibri"/>
          <w:b/>
          <w:sz w:val="22"/>
          <w:szCs w:val="22"/>
          <w:lang w:val="en-US"/>
        </w:rPr>
        <w:fldChar w:fldCharType="end"/>
      </w:r>
      <w:r w:rsidRPr="00C60AD1">
        <w:rPr>
          <w:rFonts w:cs="Calibri"/>
          <w:b/>
          <w:sz w:val="22"/>
          <w:szCs w:val="22"/>
          <w:lang w:val="en-US"/>
        </w:rPr>
        <w:noBreakHyphen/>
      </w:r>
      <w:r w:rsidR="009741CA" w:rsidRPr="00C60AD1">
        <w:rPr>
          <w:rFonts w:cs="Calibri"/>
          <w:b/>
          <w:sz w:val="22"/>
          <w:szCs w:val="22"/>
          <w:lang w:val="en-US"/>
        </w:rPr>
        <w:fldChar w:fldCharType="begin"/>
      </w:r>
      <w:r w:rsidRPr="00C60AD1">
        <w:rPr>
          <w:rFonts w:cs="Calibri"/>
          <w:b/>
          <w:sz w:val="22"/>
          <w:szCs w:val="22"/>
          <w:lang w:val="en-US"/>
        </w:rPr>
        <w:instrText xml:space="preserve"> SEQ Table \* ARABIC \s 1 </w:instrText>
      </w:r>
      <w:r w:rsidR="009741CA" w:rsidRPr="00C60AD1">
        <w:rPr>
          <w:rFonts w:cs="Calibri"/>
          <w:b/>
          <w:sz w:val="22"/>
          <w:szCs w:val="22"/>
          <w:lang w:val="en-US"/>
        </w:rPr>
        <w:fldChar w:fldCharType="separate"/>
      </w:r>
      <w:r w:rsidR="00BA08F0">
        <w:rPr>
          <w:rFonts w:cs="Calibri"/>
          <w:b/>
          <w:noProof/>
          <w:sz w:val="22"/>
          <w:szCs w:val="22"/>
          <w:lang w:val="en-US"/>
        </w:rPr>
        <w:t>55</w:t>
      </w:r>
      <w:r w:rsidR="009741CA" w:rsidRPr="00C60AD1">
        <w:rPr>
          <w:rFonts w:cs="Calibri"/>
          <w:b/>
          <w:sz w:val="22"/>
          <w:szCs w:val="22"/>
          <w:lang w:val="en-US"/>
        </w:rPr>
        <w:fldChar w:fldCharType="end"/>
      </w:r>
      <w:r w:rsidRPr="00C60AD1">
        <w:rPr>
          <w:rFonts w:cs="Calibri"/>
          <w:b/>
          <w:sz w:val="22"/>
          <w:szCs w:val="22"/>
          <w:lang w:val="en-US"/>
        </w:rPr>
        <w:t>:</w:t>
      </w:r>
      <w:bookmarkStart w:id="866" w:name="_Toc395657971"/>
      <w:r w:rsidRPr="00C60AD1">
        <w:rPr>
          <w:rFonts w:cs="Calibri"/>
          <w:b/>
          <w:sz w:val="22"/>
          <w:szCs w:val="22"/>
          <w:lang w:val="en-US"/>
        </w:rPr>
        <w:t xml:space="preserve"> CAPITALISATION &amp; WIP UP TO FY </w:t>
      </w:r>
      <w:r>
        <w:rPr>
          <w:rFonts w:cs="Calibri"/>
          <w:b/>
          <w:sz w:val="22"/>
          <w:szCs w:val="22"/>
          <w:lang w:val="en-US"/>
        </w:rPr>
        <w:t>2016-17</w:t>
      </w:r>
      <w:r w:rsidRPr="00C60AD1">
        <w:rPr>
          <w:rFonts w:cs="Calibri"/>
          <w:b/>
          <w:sz w:val="22"/>
          <w:szCs w:val="22"/>
          <w:lang w:val="en-US"/>
        </w:rPr>
        <w:t xml:space="preserve"> (Rs. Crore)</w:t>
      </w:r>
      <w:bookmarkEnd w:id="859"/>
      <w:bookmarkEnd w:id="860"/>
      <w:bookmarkEnd w:id="861"/>
      <w:bookmarkEnd w:id="862"/>
      <w:bookmarkEnd w:id="863"/>
      <w:bookmarkEnd w:id="864"/>
      <w:bookmarkEnd w:id="865"/>
      <w:bookmarkEnd w:id="866"/>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076"/>
        <w:gridCol w:w="1702"/>
        <w:gridCol w:w="1701"/>
        <w:gridCol w:w="1406"/>
      </w:tblGrid>
      <w:tr w:rsidR="00C34658" w:rsidRPr="00C60AD1" w:rsidTr="008334E8">
        <w:trPr>
          <w:trHeight w:val="600"/>
          <w:tblHeader/>
          <w:jc w:val="center"/>
        </w:trPr>
        <w:tc>
          <w:tcPr>
            <w:tcW w:w="2294" w:type="pct"/>
            <w:shd w:val="clear" w:color="000000" w:fill="DBE5F1"/>
            <w:hideMark/>
          </w:tcPr>
          <w:p w:rsidR="00603835" w:rsidRDefault="00C34658">
            <w:pPr>
              <w:spacing w:before="0" w:line="240" w:lineRule="auto"/>
              <w:jc w:val="center"/>
              <w:rPr>
                <w:b/>
                <w:sz w:val="22"/>
              </w:rPr>
            </w:pPr>
            <w:r w:rsidRPr="00C60AD1">
              <w:rPr>
                <w:b/>
                <w:sz w:val="22"/>
              </w:rPr>
              <w:t>Particulars</w:t>
            </w:r>
          </w:p>
        </w:tc>
        <w:tc>
          <w:tcPr>
            <w:tcW w:w="958" w:type="pct"/>
            <w:shd w:val="clear" w:color="000000" w:fill="DBE5F1"/>
            <w:noWrap/>
            <w:hideMark/>
          </w:tcPr>
          <w:p w:rsidR="00603835" w:rsidRDefault="00C34658">
            <w:pPr>
              <w:spacing w:before="0" w:line="240" w:lineRule="auto"/>
              <w:jc w:val="center"/>
              <w:rPr>
                <w:b/>
                <w:sz w:val="22"/>
              </w:rPr>
            </w:pPr>
            <w:r w:rsidRPr="00C60AD1">
              <w:rPr>
                <w:b/>
                <w:sz w:val="22"/>
              </w:rPr>
              <w:t>Derivation</w:t>
            </w:r>
          </w:p>
        </w:tc>
        <w:tc>
          <w:tcPr>
            <w:tcW w:w="957" w:type="pct"/>
            <w:shd w:val="clear" w:color="000000" w:fill="DBE5F1"/>
            <w:noWrap/>
            <w:hideMark/>
          </w:tcPr>
          <w:p w:rsidR="00603835" w:rsidRDefault="00C34658">
            <w:pPr>
              <w:spacing w:before="0" w:line="240" w:lineRule="auto"/>
              <w:jc w:val="center"/>
              <w:rPr>
                <w:b/>
                <w:sz w:val="22"/>
              </w:rPr>
            </w:pPr>
            <w:r w:rsidRPr="00C60AD1">
              <w:rPr>
                <w:b/>
                <w:sz w:val="22"/>
              </w:rPr>
              <w:t>ARR Petition</w:t>
            </w:r>
          </w:p>
        </w:tc>
        <w:tc>
          <w:tcPr>
            <w:tcW w:w="791" w:type="pct"/>
            <w:shd w:val="clear" w:color="000000" w:fill="DBE5F1"/>
            <w:hideMark/>
          </w:tcPr>
          <w:p w:rsidR="00603835" w:rsidRDefault="00C34658">
            <w:pPr>
              <w:spacing w:before="0" w:line="240" w:lineRule="auto"/>
              <w:jc w:val="center"/>
              <w:rPr>
                <w:b/>
                <w:sz w:val="22"/>
              </w:rPr>
            </w:pPr>
            <w:r w:rsidRPr="00C60AD1">
              <w:rPr>
                <w:b/>
                <w:sz w:val="22"/>
              </w:rPr>
              <w:t xml:space="preserve">FY </w:t>
            </w:r>
            <w:r>
              <w:rPr>
                <w:b/>
                <w:sz w:val="22"/>
              </w:rPr>
              <w:t>2016-17</w:t>
            </w:r>
            <w:r w:rsidRPr="00C60AD1">
              <w:rPr>
                <w:b/>
                <w:sz w:val="22"/>
              </w:rPr>
              <w:br/>
              <w:t>Approved</w:t>
            </w:r>
          </w:p>
        </w:tc>
      </w:tr>
      <w:tr w:rsidR="00C34658" w:rsidRPr="00C60AD1" w:rsidTr="00D55642">
        <w:trPr>
          <w:trHeight w:val="269"/>
          <w:jc w:val="center"/>
        </w:trPr>
        <w:tc>
          <w:tcPr>
            <w:tcW w:w="2294" w:type="pct"/>
            <w:shd w:val="clear" w:color="auto" w:fill="auto"/>
            <w:vAlign w:val="center"/>
            <w:hideMark/>
          </w:tcPr>
          <w:p w:rsidR="00C34658" w:rsidRDefault="00C34658" w:rsidP="00D55642">
            <w:pPr>
              <w:spacing w:before="0" w:line="240" w:lineRule="auto"/>
              <w:rPr>
                <w:sz w:val="22"/>
                <w:szCs w:val="18"/>
              </w:rPr>
            </w:pPr>
            <w:r w:rsidRPr="00C60AD1">
              <w:rPr>
                <w:sz w:val="22"/>
              </w:rPr>
              <w:t>Opening WIP  as on 1</w:t>
            </w:r>
            <w:r w:rsidRPr="00C60AD1">
              <w:rPr>
                <w:sz w:val="22"/>
                <w:vertAlign w:val="superscript"/>
              </w:rPr>
              <w:t>st</w:t>
            </w:r>
            <w:r w:rsidRPr="00C60AD1">
              <w:rPr>
                <w:sz w:val="22"/>
              </w:rPr>
              <w:t xml:space="preserve"> April</w:t>
            </w:r>
          </w:p>
        </w:tc>
        <w:tc>
          <w:tcPr>
            <w:tcW w:w="958" w:type="pct"/>
            <w:shd w:val="clear" w:color="auto" w:fill="auto"/>
            <w:noWrap/>
            <w:vAlign w:val="center"/>
            <w:hideMark/>
          </w:tcPr>
          <w:p w:rsidR="00C34658" w:rsidRDefault="00C34658" w:rsidP="00D55642">
            <w:pPr>
              <w:spacing w:before="0" w:line="240" w:lineRule="auto"/>
              <w:jc w:val="center"/>
              <w:rPr>
                <w:sz w:val="22"/>
                <w:szCs w:val="18"/>
              </w:rPr>
            </w:pPr>
            <w:r w:rsidRPr="00C60AD1">
              <w:rPr>
                <w:sz w:val="22"/>
              </w:rPr>
              <w:t>A</w:t>
            </w:r>
          </w:p>
        </w:tc>
        <w:tc>
          <w:tcPr>
            <w:tcW w:w="957" w:type="pct"/>
            <w:shd w:val="clear" w:color="auto" w:fill="auto"/>
            <w:noWrap/>
            <w:vAlign w:val="center"/>
            <w:hideMark/>
          </w:tcPr>
          <w:p w:rsidR="00C34658" w:rsidRDefault="00C34658" w:rsidP="00D55642">
            <w:pPr>
              <w:spacing w:before="0" w:line="240" w:lineRule="auto"/>
              <w:jc w:val="right"/>
              <w:rPr>
                <w:sz w:val="22"/>
              </w:rPr>
            </w:pPr>
            <w:r>
              <w:rPr>
                <w:color w:val="000000"/>
                <w:sz w:val="22"/>
                <w:szCs w:val="22"/>
              </w:rPr>
              <w:t xml:space="preserve">        2,329.58 </w:t>
            </w:r>
          </w:p>
        </w:tc>
        <w:tc>
          <w:tcPr>
            <w:tcW w:w="791" w:type="pct"/>
            <w:shd w:val="clear" w:color="auto" w:fill="auto"/>
            <w:vAlign w:val="center"/>
            <w:hideMark/>
          </w:tcPr>
          <w:p w:rsidR="00C34658" w:rsidRDefault="00C34658" w:rsidP="00146268">
            <w:pPr>
              <w:spacing w:before="0" w:line="240" w:lineRule="auto"/>
              <w:jc w:val="right"/>
              <w:rPr>
                <w:sz w:val="22"/>
              </w:rPr>
            </w:pPr>
            <w:r>
              <w:rPr>
                <w:color w:val="000000"/>
                <w:sz w:val="22"/>
                <w:szCs w:val="22"/>
              </w:rPr>
              <w:t xml:space="preserve">        1,931.</w:t>
            </w:r>
            <w:r w:rsidR="00146268">
              <w:rPr>
                <w:color w:val="000000"/>
                <w:sz w:val="22"/>
                <w:szCs w:val="22"/>
              </w:rPr>
              <w:t>94</w:t>
            </w:r>
          </w:p>
        </w:tc>
      </w:tr>
      <w:tr w:rsidR="00C34658" w:rsidRPr="00C60AD1" w:rsidTr="00D55642">
        <w:trPr>
          <w:trHeight w:val="305"/>
          <w:jc w:val="center"/>
        </w:trPr>
        <w:tc>
          <w:tcPr>
            <w:tcW w:w="2294" w:type="pct"/>
            <w:shd w:val="clear" w:color="auto" w:fill="auto"/>
            <w:vAlign w:val="center"/>
            <w:hideMark/>
          </w:tcPr>
          <w:p w:rsidR="00C34658" w:rsidRDefault="00C34658" w:rsidP="00D55642">
            <w:pPr>
              <w:spacing w:before="0" w:line="240" w:lineRule="auto"/>
              <w:rPr>
                <w:sz w:val="22"/>
                <w:szCs w:val="18"/>
              </w:rPr>
            </w:pPr>
            <w:r w:rsidRPr="00C60AD1">
              <w:rPr>
                <w:sz w:val="22"/>
              </w:rPr>
              <w:t>Investments</w:t>
            </w:r>
          </w:p>
        </w:tc>
        <w:tc>
          <w:tcPr>
            <w:tcW w:w="958" w:type="pct"/>
            <w:shd w:val="clear" w:color="auto" w:fill="auto"/>
            <w:noWrap/>
            <w:vAlign w:val="center"/>
            <w:hideMark/>
          </w:tcPr>
          <w:p w:rsidR="00C34658" w:rsidRDefault="00C34658" w:rsidP="00D55642">
            <w:pPr>
              <w:spacing w:before="0" w:line="240" w:lineRule="auto"/>
              <w:jc w:val="center"/>
              <w:rPr>
                <w:sz w:val="22"/>
                <w:szCs w:val="18"/>
              </w:rPr>
            </w:pPr>
            <w:r w:rsidRPr="00C60AD1">
              <w:rPr>
                <w:sz w:val="22"/>
              </w:rPr>
              <w:t>B</w:t>
            </w:r>
          </w:p>
        </w:tc>
        <w:tc>
          <w:tcPr>
            <w:tcW w:w="957" w:type="pct"/>
            <w:shd w:val="clear" w:color="auto" w:fill="auto"/>
            <w:noWrap/>
            <w:vAlign w:val="center"/>
            <w:hideMark/>
          </w:tcPr>
          <w:p w:rsidR="00C34658" w:rsidRDefault="00C34658" w:rsidP="00D55642">
            <w:pPr>
              <w:spacing w:before="0" w:line="240" w:lineRule="auto"/>
              <w:jc w:val="right"/>
              <w:rPr>
                <w:sz w:val="22"/>
              </w:rPr>
            </w:pPr>
            <w:r>
              <w:rPr>
                <w:color w:val="000000"/>
                <w:sz w:val="22"/>
                <w:szCs w:val="22"/>
              </w:rPr>
              <w:t>2,500.00</w:t>
            </w:r>
          </w:p>
        </w:tc>
        <w:tc>
          <w:tcPr>
            <w:tcW w:w="791" w:type="pct"/>
            <w:shd w:val="clear" w:color="auto" w:fill="auto"/>
            <w:vAlign w:val="center"/>
            <w:hideMark/>
          </w:tcPr>
          <w:p w:rsidR="00C34658" w:rsidRDefault="00C34658" w:rsidP="00D55642">
            <w:pPr>
              <w:spacing w:before="0" w:line="240" w:lineRule="auto"/>
              <w:jc w:val="right"/>
              <w:rPr>
                <w:sz w:val="22"/>
              </w:rPr>
            </w:pPr>
            <w:r>
              <w:rPr>
                <w:color w:val="000000"/>
                <w:sz w:val="22"/>
                <w:szCs w:val="22"/>
              </w:rPr>
              <w:t xml:space="preserve">        1,750.00 </w:t>
            </w:r>
          </w:p>
        </w:tc>
      </w:tr>
      <w:tr w:rsidR="00C34658" w:rsidRPr="00C60AD1" w:rsidTr="00D55642">
        <w:trPr>
          <w:trHeight w:val="350"/>
          <w:jc w:val="center"/>
        </w:trPr>
        <w:tc>
          <w:tcPr>
            <w:tcW w:w="2294" w:type="pct"/>
            <w:shd w:val="clear" w:color="auto" w:fill="auto"/>
            <w:vAlign w:val="center"/>
            <w:hideMark/>
          </w:tcPr>
          <w:p w:rsidR="00C34658" w:rsidRDefault="00C34658" w:rsidP="00D55642">
            <w:pPr>
              <w:spacing w:before="0" w:line="240" w:lineRule="auto"/>
              <w:rPr>
                <w:sz w:val="22"/>
                <w:szCs w:val="18"/>
              </w:rPr>
            </w:pPr>
            <w:r w:rsidRPr="00C60AD1">
              <w:rPr>
                <w:sz w:val="22"/>
              </w:rPr>
              <w:t>Employee Expenses Capitalisation</w:t>
            </w:r>
          </w:p>
        </w:tc>
        <w:tc>
          <w:tcPr>
            <w:tcW w:w="958" w:type="pct"/>
            <w:shd w:val="clear" w:color="auto" w:fill="auto"/>
            <w:noWrap/>
            <w:vAlign w:val="center"/>
            <w:hideMark/>
          </w:tcPr>
          <w:p w:rsidR="00C34658" w:rsidRDefault="00C34658" w:rsidP="00D55642">
            <w:pPr>
              <w:spacing w:before="0" w:line="240" w:lineRule="auto"/>
              <w:jc w:val="center"/>
              <w:rPr>
                <w:sz w:val="22"/>
                <w:szCs w:val="18"/>
              </w:rPr>
            </w:pPr>
            <w:r w:rsidRPr="00C60AD1">
              <w:rPr>
                <w:sz w:val="22"/>
              </w:rPr>
              <w:t>C</w:t>
            </w:r>
          </w:p>
        </w:tc>
        <w:tc>
          <w:tcPr>
            <w:tcW w:w="957" w:type="pct"/>
            <w:shd w:val="clear" w:color="auto" w:fill="auto"/>
            <w:noWrap/>
            <w:vAlign w:val="center"/>
            <w:hideMark/>
          </w:tcPr>
          <w:p w:rsidR="00C34658" w:rsidRDefault="00C34658" w:rsidP="00D55642">
            <w:pPr>
              <w:spacing w:before="0" w:line="240" w:lineRule="auto"/>
              <w:jc w:val="right"/>
              <w:rPr>
                <w:sz w:val="22"/>
              </w:rPr>
            </w:pPr>
            <w:r>
              <w:rPr>
                <w:color w:val="000000"/>
                <w:sz w:val="22"/>
                <w:szCs w:val="22"/>
              </w:rPr>
              <w:t xml:space="preserve">              48.51 </w:t>
            </w:r>
          </w:p>
        </w:tc>
        <w:tc>
          <w:tcPr>
            <w:tcW w:w="791" w:type="pct"/>
            <w:shd w:val="clear" w:color="auto" w:fill="auto"/>
            <w:vAlign w:val="center"/>
            <w:hideMark/>
          </w:tcPr>
          <w:p w:rsidR="00C34658" w:rsidRPr="008B0C65" w:rsidRDefault="00C34658" w:rsidP="00D55642">
            <w:pPr>
              <w:spacing w:before="0" w:line="240" w:lineRule="auto"/>
              <w:jc w:val="right"/>
              <w:rPr>
                <w:color w:val="000000"/>
                <w:sz w:val="22"/>
                <w:szCs w:val="22"/>
              </w:rPr>
            </w:pPr>
            <w:r>
              <w:rPr>
                <w:color w:val="000000"/>
                <w:sz w:val="22"/>
                <w:szCs w:val="22"/>
              </w:rPr>
              <w:t xml:space="preserve">             62.27 </w:t>
            </w:r>
          </w:p>
        </w:tc>
      </w:tr>
      <w:tr w:rsidR="00C34658" w:rsidRPr="00C60AD1" w:rsidTr="00D55642">
        <w:trPr>
          <w:trHeight w:val="341"/>
          <w:jc w:val="center"/>
        </w:trPr>
        <w:tc>
          <w:tcPr>
            <w:tcW w:w="2294" w:type="pct"/>
            <w:shd w:val="clear" w:color="auto" w:fill="auto"/>
            <w:vAlign w:val="center"/>
            <w:hideMark/>
          </w:tcPr>
          <w:p w:rsidR="00C34658" w:rsidRDefault="00C34658" w:rsidP="00D55642">
            <w:pPr>
              <w:spacing w:before="0" w:line="240" w:lineRule="auto"/>
              <w:rPr>
                <w:sz w:val="22"/>
                <w:szCs w:val="18"/>
              </w:rPr>
            </w:pPr>
            <w:r w:rsidRPr="00C60AD1">
              <w:rPr>
                <w:sz w:val="22"/>
              </w:rPr>
              <w:t>A&amp;G Expenses Capitalisation</w:t>
            </w:r>
          </w:p>
        </w:tc>
        <w:tc>
          <w:tcPr>
            <w:tcW w:w="958" w:type="pct"/>
            <w:shd w:val="clear" w:color="auto" w:fill="auto"/>
            <w:noWrap/>
            <w:vAlign w:val="center"/>
            <w:hideMark/>
          </w:tcPr>
          <w:p w:rsidR="00C34658" w:rsidRDefault="00C34658" w:rsidP="00D55642">
            <w:pPr>
              <w:spacing w:before="0" w:line="240" w:lineRule="auto"/>
              <w:jc w:val="center"/>
              <w:rPr>
                <w:sz w:val="22"/>
                <w:szCs w:val="18"/>
              </w:rPr>
            </w:pPr>
            <w:r w:rsidRPr="00C60AD1">
              <w:rPr>
                <w:sz w:val="22"/>
              </w:rPr>
              <w:t>D</w:t>
            </w:r>
          </w:p>
        </w:tc>
        <w:tc>
          <w:tcPr>
            <w:tcW w:w="957" w:type="pct"/>
            <w:shd w:val="clear" w:color="auto" w:fill="auto"/>
            <w:noWrap/>
            <w:vAlign w:val="center"/>
            <w:hideMark/>
          </w:tcPr>
          <w:p w:rsidR="00C34658" w:rsidRDefault="00C34658" w:rsidP="00D55642">
            <w:pPr>
              <w:spacing w:before="0" w:line="240" w:lineRule="auto"/>
              <w:jc w:val="right"/>
              <w:rPr>
                <w:sz w:val="22"/>
              </w:rPr>
            </w:pPr>
            <w:r>
              <w:rPr>
                <w:color w:val="000000"/>
                <w:sz w:val="22"/>
                <w:szCs w:val="22"/>
              </w:rPr>
              <w:t xml:space="preserve">              16.17 </w:t>
            </w:r>
          </w:p>
        </w:tc>
        <w:tc>
          <w:tcPr>
            <w:tcW w:w="791" w:type="pct"/>
            <w:shd w:val="clear" w:color="auto" w:fill="auto"/>
            <w:vAlign w:val="center"/>
            <w:hideMark/>
          </w:tcPr>
          <w:p w:rsidR="00C34658" w:rsidRDefault="00C34658" w:rsidP="00D55642">
            <w:pPr>
              <w:spacing w:before="0" w:line="240" w:lineRule="auto"/>
              <w:jc w:val="right"/>
              <w:rPr>
                <w:sz w:val="22"/>
              </w:rPr>
            </w:pPr>
            <w:r>
              <w:rPr>
                <w:color w:val="000000"/>
                <w:sz w:val="22"/>
                <w:szCs w:val="22"/>
              </w:rPr>
              <w:t xml:space="preserve">                9.69</w:t>
            </w:r>
          </w:p>
        </w:tc>
      </w:tr>
      <w:tr w:rsidR="00C34658" w:rsidRPr="00C60AD1" w:rsidTr="00D55642">
        <w:trPr>
          <w:trHeight w:val="600"/>
          <w:jc w:val="center"/>
        </w:trPr>
        <w:tc>
          <w:tcPr>
            <w:tcW w:w="2294" w:type="pct"/>
            <w:shd w:val="clear" w:color="auto" w:fill="auto"/>
            <w:vAlign w:val="center"/>
            <w:hideMark/>
          </w:tcPr>
          <w:p w:rsidR="00C34658" w:rsidRDefault="00C34658" w:rsidP="00D55642">
            <w:pPr>
              <w:spacing w:before="0" w:line="240" w:lineRule="auto"/>
              <w:rPr>
                <w:sz w:val="22"/>
                <w:szCs w:val="18"/>
              </w:rPr>
            </w:pPr>
            <w:r w:rsidRPr="00C60AD1">
              <w:rPr>
                <w:sz w:val="22"/>
              </w:rPr>
              <w:t>Interest Capitalisation on Interest on long term loans</w:t>
            </w:r>
          </w:p>
        </w:tc>
        <w:tc>
          <w:tcPr>
            <w:tcW w:w="958" w:type="pct"/>
            <w:shd w:val="clear" w:color="auto" w:fill="auto"/>
            <w:noWrap/>
            <w:vAlign w:val="center"/>
            <w:hideMark/>
          </w:tcPr>
          <w:p w:rsidR="00C34658" w:rsidRDefault="00C34658" w:rsidP="00D55642">
            <w:pPr>
              <w:spacing w:before="0" w:line="240" w:lineRule="auto"/>
              <w:jc w:val="center"/>
              <w:rPr>
                <w:sz w:val="22"/>
                <w:szCs w:val="18"/>
              </w:rPr>
            </w:pPr>
            <w:r w:rsidRPr="00C60AD1">
              <w:rPr>
                <w:sz w:val="22"/>
              </w:rPr>
              <w:t>E</w:t>
            </w:r>
          </w:p>
        </w:tc>
        <w:tc>
          <w:tcPr>
            <w:tcW w:w="957" w:type="pct"/>
            <w:shd w:val="clear" w:color="auto" w:fill="auto"/>
            <w:noWrap/>
            <w:vAlign w:val="center"/>
            <w:hideMark/>
          </w:tcPr>
          <w:p w:rsidR="00C34658" w:rsidRDefault="00C34658" w:rsidP="00D55642">
            <w:pPr>
              <w:spacing w:before="0" w:line="240" w:lineRule="auto"/>
              <w:jc w:val="right"/>
              <w:rPr>
                <w:sz w:val="22"/>
              </w:rPr>
            </w:pPr>
            <w:r>
              <w:rPr>
                <w:color w:val="000000"/>
                <w:sz w:val="22"/>
                <w:szCs w:val="22"/>
              </w:rPr>
              <w:t xml:space="preserve">           113.09 </w:t>
            </w:r>
          </w:p>
        </w:tc>
        <w:tc>
          <w:tcPr>
            <w:tcW w:w="791" w:type="pct"/>
            <w:shd w:val="clear" w:color="auto" w:fill="auto"/>
            <w:vAlign w:val="center"/>
            <w:hideMark/>
          </w:tcPr>
          <w:p w:rsidR="00C34658" w:rsidRDefault="00C34658" w:rsidP="00D55642">
            <w:pPr>
              <w:spacing w:before="0" w:line="240" w:lineRule="auto"/>
              <w:jc w:val="right"/>
              <w:rPr>
                <w:sz w:val="22"/>
              </w:rPr>
            </w:pPr>
            <w:r>
              <w:rPr>
                <w:color w:val="000000"/>
                <w:sz w:val="22"/>
                <w:szCs w:val="22"/>
              </w:rPr>
              <w:t xml:space="preserve">             78.33 </w:t>
            </w:r>
          </w:p>
        </w:tc>
      </w:tr>
      <w:tr w:rsidR="00C34658" w:rsidRPr="00C60AD1" w:rsidTr="00D55642">
        <w:trPr>
          <w:trHeight w:val="359"/>
          <w:jc w:val="center"/>
        </w:trPr>
        <w:tc>
          <w:tcPr>
            <w:tcW w:w="2294" w:type="pct"/>
            <w:shd w:val="clear" w:color="auto" w:fill="auto"/>
            <w:vAlign w:val="center"/>
            <w:hideMark/>
          </w:tcPr>
          <w:p w:rsidR="00C34658" w:rsidRPr="008B0C65" w:rsidRDefault="00C34658" w:rsidP="00D55642">
            <w:pPr>
              <w:spacing w:before="0" w:line="240" w:lineRule="auto"/>
              <w:rPr>
                <w:b/>
                <w:sz w:val="22"/>
              </w:rPr>
            </w:pPr>
            <w:r w:rsidRPr="008B0C65">
              <w:rPr>
                <w:b/>
                <w:sz w:val="22"/>
              </w:rPr>
              <w:lastRenderedPageBreak/>
              <w:t>Total Investments</w:t>
            </w:r>
          </w:p>
        </w:tc>
        <w:tc>
          <w:tcPr>
            <w:tcW w:w="958" w:type="pct"/>
            <w:shd w:val="clear" w:color="auto" w:fill="auto"/>
            <w:noWrap/>
            <w:vAlign w:val="center"/>
            <w:hideMark/>
          </w:tcPr>
          <w:p w:rsidR="00C34658" w:rsidRPr="008B0C65" w:rsidRDefault="00C34658" w:rsidP="00D55642">
            <w:pPr>
              <w:spacing w:before="0" w:line="240" w:lineRule="auto"/>
              <w:jc w:val="center"/>
              <w:rPr>
                <w:b/>
                <w:sz w:val="22"/>
              </w:rPr>
            </w:pPr>
            <w:r w:rsidRPr="008B0C65">
              <w:rPr>
                <w:b/>
                <w:sz w:val="22"/>
              </w:rPr>
              <w:t>F= A+B+C+D+E</w:t>
            </w:r>
          </w:p>
        </w:tc>
        <w:tc>
          <w:tcPr>
            <w:tcW w:w="957" w:type="pct"/>
            <w:shd w:val="clear" w:color="auto" w:fill="auto"/>
            <w:noWrap/>
            <w:vAlign w:val="center"/>
            <w:hideMark/>
          </w:tcPr>
          <w:p w:rsidR="00C34658" w:rsidRDefault="00C34658" w:rsidP="00D55642">
            <w:pPr>
              <w:spacing w:before="0" w:line="240" w:lineRule="auto"/>
              <w:jc w:val="right"/>
              <w:rPr>
                <w:sz w:val="22"/>
              </w:rPr>
            </w:pPr>
            <w:r>
              <w:rPr>
                <w:b/>
                <w:bCs/>
                <w:color w:val="000000"/>
                <w:sz w:val="22"/>
                <w:szCs w:val="22"/>
              </w:rPr>
              <w:t xml:space="preserve">        5,007.35 </w:t>
            </w:r>
          </w:p>
        </w:tc>
        <w:tc>
          <w:tcPr>
            <w:tcW w:w="791" w:type="pct"/>
            <w:shd w:val="clear" w:color="auto" w:fill="auto"/>
            <w:vAlign w:val="center"/>
            <w:hideMark/>
          </w:tcPr>
          <w:p w:rsidR="00C34658" w:rsidRDefault="00C34658" w:rsidP="00D55642">
            <w:pPr>
              <w:spacing w:before="0" w:line="240" w:lineRule="auto"/>
              <w:jc w:val="right"/>
              <w:rPr>
                <w:sz w:val="22"/>
              </w:rPr>
            </w:pPr>
            <w:r>
              <w:rPr>
                <w:b/>
                <w:bCs/>
                <w:color w:val="000000"/>
                <w:sz w:val="22"/>
                <w:szCs w:val="22"/>
              </w:rPr>
              <w:t xml:space="preserve">        3,832.23</w:t>
            </w:r>
          </w:p>
        </w:tc>
      </w:tr>
      <w:tr w:rsidR="00C34658" w:rsidRPr="00C60AD1" w:rsidTr="00D55642">
        <w:trPr>
          <w:trHeight w:val="350"/>
          <w:jc w:val="center"/>
        </w:trPr>
        <w:tc>
          <w:tcPr>
            <w:tcW w:w="2294" w:type="pct"/>
            <w:shd w:val="clear" w:color="auto" w:fill="auto"/>
            <w:vAlign w:val="center"/>
            <w:hideMark/>
          </w:tcPr>
          <w:p w:rsidR="00C34658" w:rsidRDefault="00C34658" w:rsidP="00D55642">
            <w:pPr>
              <w:spacing w:before="0" w:line="240" w:lineRule="auto"/>
              <w:rPr>
                <w:sz w:val="22"/>
                <w:szCs w:val="18"/>
              </w:rPr>
            </w:pPr>
            <w:r w:rsidRPr="00C60AD1">
              <w:rPr>
                <w:sz w:val="22"/>
              </w:rPr>
              <w:t>Transferred to GFA (Total Capitalisation)</w:t>
            </w:r>
          </w:p>
        </w:tc>
        <w:tc>
          <w:tcPr>
            <w:tcW w:w="958" w:type="pct"/>
            <w:shd w:val="clear" w:color="auto" w:fill="auto"/>
            <w:noWrap/>
            <w:vAlign w:val="center"/>
            <w:hideMark/>
          </w:tcPr>
          <w:p w:rsidR="00C34658" w:rsidRDefault="00C34658" w:rsidP="00D55642">
            <w:pPr>
              <w:spacing w:before="0" w:line="240" w:lineRule="auto"/>
              <w:jc w:val="center"/>
              <w:rPr>
                <w:sz w:val="22"/>
                <w:szCs w:val="18"/>
              </w:rPr>
            </w:pPr>
            <w:r w:rsidRPr="00C60AD1">
              <w:rPr>
                <w:sz w:val="22"/>
              </w:rPr>
              <w:t>G=F*40%</w:t>
            </w:r>
          </w:p>
        </w:tc>
        <w:tc>
          <w:tcPr>
            <w:tcW w:w="957" w:type="pct"/>
            <w:shd w:val="clear" w:color="auto" w:fill="auto"/>
            <w:noWrap/>
            <w:vAlign w:val="center"/>
            <w:hideMark/>
          </w:tcPr>
          <w:p w:rsidR="00C34658" w:rsidRDefault="00C34658" w:rsidP="00D55642">
            <w:pPr>
              <w:spacing w:before="0" w:line="240" w:lineRule="auto"/>
              <w:jc w:val="right"/>
              <w:rPr>
                <w:sz w:val="22"/>
              </w:rPr>
            </w:pPr>
            <w:r>
              <w:rPr>
                <w:color w:val="000000"/>
                <w:sz w:val="22"/>
                <w:szCs w:val="22"/>
              </w:rPr>
              <w:t xml:space="preserve">        2,002.94 </w:t>
            </w:r>
          </w:p>
        </w:tc>
        <w:tc>
          <w:tcPr>
            <w:tcW w:w="791" w:type="pct"/>
            <w:shd w:val="clear" w:color="auto" w:fill="auto"/>
            <w:vAlign w:val="center"/>
            <w:hideMark/>
          </w:tcPr>
          <w:p w:rsidR="00C34658" w:rsidRDefault="00C34658" w:rsidP="00D55642">
            <w:pPr>
              <w:spacing w:before="0" w:line="240" w:lineRule="auto"/>
              <w:jc w:val="right"/>
              <w:rPr>
                <w:sz w:val="22"/>
              </w:rPr>
            </w:pPr>
            <w:r>
              <w:rPr>
                <w:color w:val="000000"/>
                <w:sz w:val="22"/>
                <w:szCs w:val="22"/>
              </w:rPr>
              <w:t xml:space="preserve">        1,532.89</w:t>
            </w:r>
          </w:p>
        </w:tc>
      </w:tr>
      <w:tr w:rsidR="00C34658" w:rsidRPr="00C60AD1" w:rsidTr="00D55642">
        <w:trPr>
          <w:trHeight w:val="341"/>
          <w:jc w:val="center"/>
        </w:trPr>
        <w:tc>
          <w:tcPr>
            <w:tcW w:w="2294" w:type="pct"/>
            <w:shd w:val="clear" w:color="auto" w:fill="auto"/>
            <w:vAlign w:val="center"/>
            <w:hideMark/>
          </w:tcPr>
          <w:p w:rsidR="00C34658" w:rsidRPr="008B0C65" w:rsidRDefault="00C34658" w:rsidP="00D55642">
            <w:pPr>
              <w:spacing w:before="0" w:line="240" w:lineRule="auto"/>
              <w:rPr>
                <w:b/>
                <w:sz w:val="22"/>
              </w:rPr>
            </w:pPr>
            <w:r w:rsidRPr="008B0C65">
              <w:rPr>
                <w:b/>
                <w:sz w:val="22"/>
              </w:rPr>
              <w:t>Closing WIP</w:t>
            </w:r>
          </w:p>
        </w:tc>
        <w:tc>
          <w:tcPr>
            <w:tcW w:w="958" w:type="pct"/>
            <w:shd w:val="clear" w:color="auto" w:fill="auto"/>
            <w:noWrap/>
            <w:vAlign w:val="center"/>
            <w:hideMark/>
          </w:tcPr>
          <w:p w:rsidR="00C34658" w:rsidRPr="008B0C65" w:rsidRDefault="00C34658" w:rsidP="00D55642">
            <w:pPr>
              <w:spacing w:before="0" w:line="240" w:lineRule="auto"/>
              <w:jc w:val="center"/>
              <w:rPr>
                <w:b/>
                <w:sz w:val="22"/>
              </w:rPr>
            </w:pPr>
            <w:r w:rsidRPr="008B0C65">
              <w:rPr>
                <w:b/>
                <w:sz w:val="22"/>
              </w:rPr>
              <w:t>H = F-G</w:t>
            </w:r>
          </w:p>
        </w:tc>
        <w:tc>
          <w:tcPr>
            <w:tcW w:w="957" w:type="pct"/>
            <w:shd w:val="clear" w:color="auto" w:fill="auto"/>
            <w:noWrap/>
            <w:vAlign w:val="center"/>
            <w:hideMark/>
          </w:tcPr>
          <w:p w:rsidR="00C34658" w:rsidRDefault="00C34658" w:rsidP="00D55642">
            <w:pPr>
              <w:spacing w:before="0" w:line="240" w:lineRule="auto"/>
              <w:jc w:val="right"/>
              <w:rPr>
                <w:sz w:val="22"/>
              </w:rPr>
            </w:pPr>
            <w:r>
              <w:rPr>
                <w:b/>
                <w:bCs/>
                <w:color w:val="000000"/>
                <w:sz w:val="22"/>
                <w:szCs w:val="22"/>
              </w:rPr>
              <w:t xml:space="preserve">        3,004.41 </w:t>
            </w:r>
          </w:p>
        </w:tc>
        <w:tc>
          <w:tcPr>
            <w:tcW w:w="791" w:type="pct"/>
            <w:shd w:val="clear" w:color="auto" w:fill="auto"/>
            <w:vAlign w:val="center"/>
            <w:hideMark/>
          </w:tcPr>
          <w:p w:rsidR="00C34658" w:rsidRDefault="00C34658" w:rsidP="00D55642">
            <w:pPr>
              <w:spacing w:before="0" w:line="240" w:lineRule="auto"/>
              <w:jc w:val="right"/>
              <w:rPr>
                <w:sz w:val="22"/>
              </w:rPr>
            </w:pPr>
            <w:r>
              <w:rPr>
                <w:b/>
                <w:bCs/>
                <w:color w:val="000000"/>
                <w:sz w:val="22"/>
                <w:szCs w:val="22"/>
              </w:rPr>
              <w:t xml:space="preserve">        2,299.34</w:t>
            </w:r>
          </w:p>
        </w:tc>
      </w:tr>
    </w:tbl>
    <w:p w:rsidR="00C34658" w:rsidRPr="00C60AD1" w:rsidRDefault="00C34658" w:rsidP="00C34658">
      <w:pPr>
        <w:keepNext/>
        <w:outlineLvl w:val="1"/>
        <w:rPr>
          <w:rFonts w:cs="Calibri"/>
          <w:b/>
          <w:bCs/>
          <w:color w:val="000000"/>
        </w:rPr>
      </w:pPr>
      <w:bookmarkStart w:id="867" w:name="_Toc357274230"/>
      <w:bookmarkStart w:id="868" w:name="_Toc357718669"/>
      <w:bookmarkStart w:id="869" w:name="_Toc356322605"/>
    </w:p>
    <w:p w:rsidR="00C34658" w:rsidRPr="00C60AD1" w:rsidRDefault="00C34658" w:rsidP="00C34658">
      <w:pPr>
        <w:pStyle w:val="Heading2"/>
        <w:numPr>
          <w:ilvl w:val="1"/>
          <w:numId w:val="16"/>
        </w:numPr>
      </w:pPr>
      <w:bookmarkStart w:id="870" w:name="_Toc396573841"/>
      <w:bookmarkStart w:id="871" w:name="_Toc419992296"/>
      <w:bookmarkStart w:id="872" w:name="_Toc453367618"/>
      <w:bookmarkStart w:id="873" w:name="_Toc457603955"/>
      <w:r w:rsidRPr="00C60AD1">
        <w:t>FINANCING OF THE CAPITAL INVESTMENT</w:t>
      </w:r>
      <w:bookmarkEnd w:id="867"/>
      <w:bookmarkEnd w:id="868"/>
      <w:bookmarkEnd w:id="870"/>
      <w:bookmarkEnd w:id="871"/>
      <w:bookmarkEnd w:id="872"/>
      <w:bookmarkEnd w:id="873"/>
    </w:p>
    <w:p w:rsidR="00D5771F" w:rsidRDefault="00C34658">
      <w:pPr>
        <w:pStyle w:val="Heading3"/>
        <w:tabs>
          <w:tab w:val="clear" w:pos="720"/>
        </w:tabs>
        <w:spacing w:after="240"/>
        <w:ind w:left="993" w:hanging="993"/>
      </w:pPr>
      <w:r w:rsidRPr="00C60AD1">
        <w:t>The</w:t>
      </w:r>
      <w:r w:rsidRPr="00C60AD1">
        <w:rPr>
          <w:rFonts w:cs="Calibri"/>
        </w:rPr>
        <w:t xml:space="preserve"> Petitioner submitted that it has considered a normative ratio of 70:30. Considering this approach, 70% of the capital expenditure undertaken in any year has been considered to be financed through loan and balance 30% has been considered to be financed through equity contributions. The portion of capital expenditure financed throug</w:t>
      </w:r>
      <w:r w:rsidRPr="00C60AD1">
        <w:t xml:space="preserve">h consumer contribution, capital subsidies and grants has been separated as the depreciation and interest thereon would not be charged to the beneficiaries. </w:t>
      </w:r>
    </w:p>
    <w:p w:rsidR="00D5771F" w:rsidRDefault="00C34658">
      <w:pPr>
        <w:pStyle w:val="Heading3"/>
        <w:tabs>
          <w:tab w:val="clear" w:pos="720"/>
        </w:tabs>
        <w:spacing w:after="240"/>
        <w:ind w:left="993" w:hanging="993"/>
        <w:rPr>
          <w:rFonts w:cs="Calibri"/>
        </w:rPr>
      </w:pPr>
      <w:r w:rsidRPr="008B0C65">
        <w:t>The Petitioner further submitted that the amounts received as consumer contributions, capita</w:t>
      </w:r>
      <w:r w:rsidRPr="008B0C65">
        <w:rPr>
          <w:rFonts w:cs="Calibri"/>
        </w:rPr>
        <w:t xml:space="preserve">l </w:t>
      </w:r>
      <w:r w:rsidRPr="008B0C65">
        <w:t>subsidies</w:t>
      </w:r>
      <w:r w:rsidRPr="008B0C65">
        <w:rPr>
          <w:rFonts w:cs="Calibri"/>
        </w:rPr>
        <w:t xml:space="preserve"> and grants are traced from the provisional accounts for FY 2014-15. Further, the consumer contributions, capital subsidies and grants for FY 2015-16 and 2016-17 have been considered to be in the same ratio to the total investments, as received by it in FY 2014-15.</w:t>
      </w:r>
    </w:p>
    <w:p w:rsidR="00D5771F" w:rsidRDefault="00C34658">
      <w:pPr>
        <w:pStyle w:val="Heading3"/>
        <w:tabs>
          <w:tab w:val="clear" w:pos="720"/>
        </w:tabs>
        <w:spacing w:after="240"/>
        <w:ind w:left="993" w:hanging="993"/>
        <w:rPr>
          <w:rFonts w:cs="Calibri"/>
        </w:rPr>
      </w:pPr>
      <w:r w:rsidRPr="00C60AD1">
        <w:t>Thus</w:t>
      </w:r>
      <w:r w:rsidRPr="00C60AD1">
        <w:rPr>
          <w:rFonts w:cs="Calibri"/>
        </w:rPr>
        <w:t>, the Petitioner submitted that out of the total capital investment of Rs. 2,</w:t>
      </w:r>
      <w:r>
        <w:rPr>
          <w:rFonts w:cs="Calibri"/>
        </w:rPr>
        <w:t>500.00</w:t>
      </w:r>
      <w:r w:rsidRPr="00C60AD1">
        <w:rPr>
          <w:rFonts w:cs="Calibri"/>
        </w:rPr>
        <w:t xml:space="preserve"> Crore in FY </w:t>
      </w:r>
      <w:r>
        <w:rPr>
          <w:rFonts w:cs="Calibri"/>
        </w:rPr>
        <w:t>2016-17</w:t>
      </w:r>
      <w:r w:rsidRPr="00C60AD1">
        <w:rPr>
          <w:rFonts w:cs="Calibri"/>
        </w:rPr>
        <w:t xml:space="preserve">, the capital investment through deposit works is to the tune of Rs. </w:t>
      </w:r>
      <w:r>
        <w:rPr>
          <w:rFonts w:cs="Calibri"/>
        </w:rPr>
        <w:t>400.00</w:t>
      </w:r>
      <w:r w:rsidRPr="00C60AD1">
        <w:rPr>
          <w:rFonts w:cs="Calibri"/>
        </w:rPr>
        <w:t xml:space="preserve"> Crore and balance Rs. </w:t>
      </w:r>
      <w:r>
        <w:rPr>
          <w:rFonts w:cs="Calibri"/>
        </w:rPr>
        <w:t>2,100.00</w:t>
      </w:r>
      <w:r w:rsidRPr="00C60AD1">
        <w:rPr>
          <w:rFonts w:cs="Calibri"/>
        </w:rPr>
        <w:t xml:space="preserve"> Crore has been considered to be funded through debt and equity. Considering a debt equity ratio of 70:30, i.e., Rs. </w:t>
      </w:r>
      <w:r>
        <w:rPr>
          <w:rFonts w:cs="Calibri"/>
        </w:rPr>
        <w:t>1,470.00</w:t>
      </w:r>
      <w:r w:rsidRPr="00C60AD1">
        <w:rPr>
          <w:rFonts w:cs="Calibri"/>
        </w:rPr>
        <w:t xml:space="preserve"> Crore or 70% of the capital investment is proposed to be funded through debt and balance 30% equivalent to Rs. </w:t>
      </w:r>
      <w:r>
        <w:rPr>
          <w:rFonts w:cs="Calibri"/>
        </w:rPr>
        <w:t>630.00</w:t>
      </w:r>
      <w:r w:rsidRPr="00C60AD1">
        <w:rPr>
          <w:rFonts w:cs="Calibri"/>
        </w:rPr>
        <w:t xml:space="preserve"> Crore through equity.</w:t>
      </w:r>
    </w:p>
    <w:p w:rsidR="00D5771F" w:rsidRDefault="00C34658">
      <w:pPr>
        <w:pStyle w:val="Heading3"/>
        <w:tabs>
          <w:tab w:val="clear" w:pos="720"/>
        </w:tabs>
        <w:spacing w:after="240"/>
        <w:ind w:left="993" w:hanging="993"/>
      </w:pPr>
      <w:r w:rsidRPr="008B0C65">
        <w:t>The Commission, on the similar lines, has re-worked the portion of capital expenditure financed through consumer contribution capital grants and subsidies. The Trued-up closing balance of consumer contribution, capital grants and subsidies of FY 2013-14 based on the audited accounts has been considered and subsequent additions in FY 2014-15 as per the provisional accounts have been considered to arrive at the opening amount of consumer contribution, capital grants and subsidies</w:t>
      </w:r>
      <w:r w:rsidRPr="00A1175B">
        <w:t>.</w:t>
      </w:r>
    </w:p>
    <w:p w:rsidR="00D5771F" w:rsidRDefault="00C34658">
      <w:pPr>
        <w:pStyle w:val="Heading3"/>
        <w:tabs>
          <w:tab w:val="clear" w:pos="720"/>
        </w:tabs>
        <w:spacing w:before="0" w:after="240"/>
        <w:ind w:left="993" w:hanging="993"/>
      </w:pPr>
      <w:r w:rsidRPr="008B0C65">
        <w:lastRenderedPageBreak/>
        <w:t>Since, the Commission has reduced the 30% of capital investment claimed by the Petitioner, the same treatment has been given to the additions to the consumer contribution, capital grants and subsidies and accordingly the Commission has allowed only 70% of the total additions in consumer contribution, capital grants and subsidies claimed by the Petitioner in the ARR / Tariff Petition for FY 2016-17.</w:t>
      </w:r>
    </w:p>
    <w:p w:rsidR="00D5771F" w:rsidRDefault="00C34658">
      <w:pPr>
        <w:pStyle w:val="Heading3"/>
        <w:tabs>
          <w:tab w:val="clear" w:pos="720"/>
        </w:tabs>
        <w:spacing w:after="240"/>
        <w:ind w:left="993" w:hanging="993"/>
      </w:pPr>
      <w:r w:rsidRPr="00C60AD1">
        <w:t xml:space="preserve">The Table below summarises the amounts considered towards consumer contributions, capital grants and subsidies up to FY </w:t>
      </w:r>
      <w:r>
        <w:t>2016-17</w:t>
      </w:r>
      <w:r w:rsidRPr="00C60AD1">
        <w:t>:</w:t>
      </w:r>
    </w:p>
    <w:p w:rsidR="00C34658" w:rsidRPr="00C60AD1" w:rsidRDefault="00C34658" w:rsidP="00C34658">
      <w:pPr>
        <w:jc w:val="center"/>
        <w:rPr>
          <w:rFonts w:cstheme="minorHAnsi"/>
          <w:b/>
        </w:rPr>
      </w:pPr>
      <w:bookmarkStart w:id="874" w:name="_Toc356913133"/>
      <w:bookmarkStart w:id="875" w:name="_Toc357274497"/>
      <w:bookmarkStart w:id="876" w:name="_Toc357718748"/>
      <w:bookmarkStart w:id="877" w:name="_Toc395657972"/>
      <w:bookmarkStart w:id="878" w:name="_Toc396574023"/>
      <w:bookmarkStart w:id="879" w:name="_Toc419992319"/>
      <w:bookmarkStart w:id="880" w:name="_Toc453367701"/>
      <w:bookmarkStart w:id="881" w:name="_Toc457604072"/>
      <w:r w:rsidRPr="00C60AD1">
        <w:rPr>
          <w:rFonts w:cstheme="minorHAnsi"/>
          <w:b/>
        </w:rPr>
        <w:t xml:space="preserve">Table </w:t>
      </w:r>
      <w:r w:rsidR="009741CA" w:rsidRPr="00C60AD1">
        <w:rPr>
          <w:rFonts w:cstheme="minorHAnsi"/>
          <w:b/>
        </w:rPr>
        <w:fldChar w:fldCharType="begin"/>
      </w:r>
      <w:r w:rsidRPr="00C60AD1">
        <w:rPr>
          <w:rFonts w:cstheme="minorHAnsi"/>
          <w:b/>
        </w:rPr>
        <w:instrText xml:space="preserve"> STYLEREF 1 \s </w:instrText>
      </w:r>
      <w:r w:rsidR="009741CA" w:rsidRPr="00C60AD1">
        <w:rPr>
          <w:rFonts w:cstheme="minorHAnsi"/>
          <w:b/>
        </w:rPr>
        <w:fldChar w:fldCharType="separate"/>
      </w:r>
      <w:r w:rsidR="00BA08F0">
        <w:rPr>
          <w:rFonts w:cstheme="minorHAnsi"/>
          <w:b/>
          <w:noProof/>
        </w:rPr>
        <w:t>5</w:t>
      </w:r>
      <w:r w:rsidR="009741CA" w:rsidRPr="00C60AD1">
        <w:rPr>
          <w:rFonts w:cstheme="minorHAnsi"/>
          <w:b/>
        </w:rPr>
        <w:fldChar w:fldCharType="end"/>
      </w:r>
      <w:r w:rsidRPr="00C60AD1">
        <w:rPr>
          <w:rFonts w:cstheme="minorHAnsi"/>
          <w:b/>
        </w:rPr>
        <w:noBreakHyphen/>
      </w:r>
      <w:r w:rsidR="009741CA" w:rsidRPr="00C60AD1">
        <w:rPr>
          <w:rFonts w:cstheme="minorHAnsi"/>
          <w:b/>
        </w:rPr>
        <w:fldChar w:fldCharType="begin"/>
      </w:r>
      <w:r w:rsidRPr="00C60AD1">
        <w:rPr>
          <w:rFonts w:cstheme="minorHAnsi"/>
          <w:b/>
        </w:rPr>
        <w:instrText xml:space="preserve"> SEQ Table \* ARABIC \s 1 </w:instrText>
      </w:r>
      <w:r w:rsidR="009741CA" w:rsidRPr="00C60AD1">
        <w:rPr>
          <w:rFonts w:cstheme="minorHAnsi"/>
          <w:b/>
        </w:rPr>
        <w:fldChar w:fldCharType="separate"/>
      </w:r>
      <w:r w:rsidR="00BA08F0">
        <w:rPr>
          <w:rFonts w:cstheme="minorHAnsi"/>
          <w:b/>
          <w:noProof/>
        </w:rPr>
        <w:t>56</w:t>
      </w:r>
      <w:r w:rsidR="009741CA" w:rsidRPr="00C60AD1">
        <w:rPr>
          <w:rFonts w:cstheme="minorHAnsi"/>
          <w:b/>
        </w:rPr>
        <w:fldChar w:fldCharType="end"/>
      </w:r>
      <w:r w:rsidRPr="00C60AD1">
        <w:rPr>
          <w:rFonts w:cstheme="minorHAnsi"/>
          <w:b/>
        </w:rPr>
        <w:t xml:space="preserve">: CONSUMER CONTRIBUTIONS, CAPITAL GRANTS AND SUBSIDIES CONSIDERED UP TO FY </w:t>
      </w:r>
      <w:r>
        <w:rPr>
          <w:rFonts w:cstheme="minorHAnsi"/>
          <w:b/>
        </w:rPr>
        <w:t>2016-17</w:t>
      </w:r>
      <w:r w:rsidRPr="00C60AD1">
        <w:rPr>
          <w:rFonts w:cstheme="minorHAnsi"/>
          <w:b/>
        </w:rPr>
        <w:t xml:space="preserve"> (Rs. Crore)</w:t>
      </w:r>
      <w:bookmarkEnd w:id="874"/>
      <w:bookmarkEnd w:id="875"/>
      <w:bookmarkEnd w:id="876"/>
      <w:bookmarkEnd w:id="877"/>
      <w:bookmarkEnd w:id="878"/>
      <w:bookmarkEnd w:id="879"/>
      <w:bookmarkEnd w:id="880"/>
      <w:bookmarkEnd w:id="881"/>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248"/>
        <w:gridCol w:w="1349"/>
        <w:gridCol w:w="1621"/>
        <w:gridCol w:w="1667"/>
      </w:tblGrid>
      <w:tr w:rsidR="00C34658" w:rsidRPr="00C60AD1" w:rsidTr="008334E8">
        <w:trPr>
          <w:trHeight w:val="600"/>
          <w:tblHeader/>
          <w:jc w:val="center"/>
        </w:trPr>
        <w:tc>
          <w:tcPr>
            <w:tcW w:w="2391" w:type="pct"/>
            <w:shd w:val="clear" w:color="000000" w:fill="DBE5F1"/>
            <w:hideMark/>
          </w:tcPr>
          <w:p w:rsidR="00603835" w:rsidRDefault="00C34658">
            <w:pPr>
              <w:spacing w:before="0" w:line="240" w:lineRule="auto"/>
              <w:jc w:val="center"/>
              <w:rPr>
                <w:b/>
                <w:sz w:val="22"/>
                <w:szCs w:val="22"/>
              </w:rPr>
            </w:pPr>
            <w:r w:rsidRPr="00C60AD1">
              <w:rPr>
                <w:b/>
                <w:sz w:val="22"/>
                <w:szCs w:val="22"/>
              </w:rPr>
              <w:t>Particulars</w:t>
            </w:r>
          </w:p>
        </w:tc>
        <w:tc>
          <w:tcPr>
            <w:tcW w:w="759" w:type="pct"/>
            <w:shd w:val="clear" w:color="000000" w:fill="DBE5F1"/>
            <w:hideMark/>
          </w:tcPr>
          <w:p w:rsidR="00603835" w:rsidRDefault="00C34658">
            <w:pPr>
              <w:spacing w:before="0" w:line="240" w:lineRule="auto"/>
              <w:jc w:val="center"/>
              <w:rPr>
                <w:b/>
                <w:sz w:val="22"/>
                <w:szCs w:val="22"/>
              </w:rPr>
            </w:pPr>
            <w:r w:rsidRPr="00C60AD1">
              <w:rPr>
                <w:b/>
                <w:sz w:val="22"/>
                <w:szCs w:val="22"/>
              </w:rPr>
              <w:t>Derivation</w:t>
            </w:r>
          </w:p>
        </w:tc>
        <w:tc>
          <w:tcPr>
            <w:tcW w:w="912" w:type="pct"/>
            <w:shd w:val="clear" w:color="000000" w:fill="DBE5F1"/>
            <w:noWrap/>
            <w:hideMark/>
          </w:tcPr>
          <w:p w:rsidR="00603835" w:rsidRDefault="00C34658">
            <w:pPr>
              <w:spacing w:before="0" w:line="240" w:lineRule="auto"/>
              <w:jc w:val="center"/>
              <w:rPr>
                <w:b/>
                <w:sz w:val="22"/>
                <w:szCs w:val="22"/>
              </w:rPr>
            </w:pPr>
            <w:r w:rsidRPr="00C60AD1">
              <w:rPr>
                <w:b/>
                <w:sz w:val="22"/>
                <w:szCs w:val="22"/>
              </w:rPr>
              <w:t>ARR Petition</w:t>
            </w:r>
          </w:p>
        </w:tc>
        <w:tc>
          <w:tcPr>
            <w:tcW w:w="938" w:type="pct"/>
            <w:shd w:val="clear" w:color="000000" w:fill="DBE5F1"/>
            <w:hideMark/>
          </w:tcPr>
          <w:p w:rsidR="00603835" w:rsidRDefault="00C34658">
            <w:pPr>
              <w:spacing w:before="0" w:line="240" w:lineRule="auto"/>
              <w:jc w:val="center"/>
              <w:rPr>
                <w:b/>
                <w:sz w:val="22"/>
                <w:szCs w:val="22"/>
              </w:rPr>
            </w:pPr>
            <w:r w:rsidRPr="00C60AD1">
              <w:rPr>
                <w:b/>
                <w:sz w:val="22"/>
                <w:szCs w:val="22"/>
              </w:rPr>
              <w:t xml:space="preserve">FY </w:t>
            </w:r>
            <w:r>
              <w:rPr>
                <w:b/>
                <w:sz w:val="22"/>
                <w:szCs w:val="22"/>
              </w:rPr>
              <w:t>2016-17</w:t>
            </w:r>
            <w:r w:rsidRPr="00C60AD1">
              <w:rPr>
                <w:b/>
                <w:sz w:val="22"/>
                <w:szCs w:val="22"/>
              </w:rPr>
              <w:br/>
              <w:t>Approved</w:t>
            </w:r>
          </w:p>
        </w:tc>
      </w:tr>
      <w:tr w:rsidR="00C34658" w:rsidRPr="00C60AD1" w:rsidTr="00D55642">
        <w:trPr>
          <w:trHeight w:val="323"/>
          <w:jc w:val="center"/>
        </w:trPr>
        <w:tc>
          <w:tcPr>
            <w:tcW w:w="2391" w:type="pct"/>
            <w:shd w:val="clear" w:color="auto" w:fill="auto"/>
            <w:vAlign w:val="center"/>
            <w:hideMark/>
          </w:tcPr>
          <w:p w:rsidR="00C34658" w:rsidRDefault="00C34658" w:rsidP="00D55642">
            <w:pPr>
              <w:spacing w:before="0" w:line="240" w:lineRule="auto"/>
              <w:jc w:val="left"/>
              <w:rPr>
                <w:b/>
                <w:sz w:val="22"/>
                <w:szCs w:val="22"/>
              </w:rPr>
            </w:pPr>
            <w:r w:rsidRPr="00C60AD1">
              <w:rPr>
                <w:sz w:val="22"/>
                <w:szCs w:val="22"/>
              </w:rPr>
              <w:t>Opening Balance of Consumer Contributions, Grants and Subsidies towards Cost of Capital Assets</w:t>
            </w:r>
          </w:p>
        </w:tc>
        <w:tc>
          <w:tcPr>
            <w:tcW w:w="759" w:type="pct"/>
            <w:shd w:val="clear" w:color="auto" w:fill="auto"/>
            <w:vAlign w:val="center"/>
            <w:hideMark/>
          </w:tcPr>
          <w:p w:rsidR="00C34658" w:rsidRDefault="00C34658" w:rsidP="00D55642">
            <w:pPr>
              <w:spacing w:before="0" w:line="240" w:lineRule="auto"/>
              <w:jc w:val="center"/>
              <w:rPr>
                <w:b/>
                <w:sz w:val="22"/>
                <w:szCs w:val="22"/>
              </w:rPr>
            </w:pPr>
            <w:r w:rsidRPr="00C60AD1">
              <w:rPr>
                <w:sz w:val="22"/>
                <w:szCs w:val="22"/>
              </w:rPr>
              <w:t>A</w:t>
            </w: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color w:val="000000"/>
                <w:sz w:val="22"/>
                <w:szCs w:val="22"/>
              </w:rPr>
              <w:t xml:space="preserve">    1,602.96 </w:t>
            </w:r>
          </w:p>
        </w:tc>
        <w:tc>
          <w:tcPr>
            <w:tcW w:w="938" w:type="pct"/>
            <w:shd w:val="clear" w:color="auto" w:fill="auto"/>
            <w:vAlign w:val="center"/>
            <w:hideMark/>
          </w:tcPr>
          <w:p w:rsidR="00C34658" w:rsidRDefault="00C34658" w:rsidP="00D55642">
            <w:pPr>
              <w:spacing w:before="0" w:line="240" w:lineRule="auto"/>
              <w:jc w:val="right"/>
              <w:rPr>
                <w:b/>
                <w:sz w:val="22"/>
                <w:szCs w:val="22"/>
              </w:rPr>
            </w:pPr>
            <w:r>
              <w:rPr>
                <w:color w:val="000000"/>
                <w:sz w:val="22"/>
                <w:szCs w:val="22"/>
              </w:rPr>
              <w:t xml:space="preserve">       1,504.88 </w:t>
            </w:r>
          </w:p>
        </w:tc>
      </w:tr>
      <w:tr w:rsidR="00C34658" w:rsidRPr="00C60AD1" w:rsidTr="00D55642">
        <w:trPr>
          <w:trHeight w:val="323"/>
          <w:jc w:val="center"/>
        </w:trPr>
        <w:tc>
          <w:tcPr>
            <w:tcW w:w="2391" w:type="pct"/>
            <w:shd w:val="clear" w:color="auto" w:fill="auto"/>
            <w:vAlign w:val="center"/>
            <w:hideMark/>
          </w:tcPr>
          <w:p w:rsidR="00C34658" w:rsidRDefault="00C34658" w:rsidP="00D55642">
            <w:pPr>
              <w:spacing w:before="0" w:line="240" w:lineRule="auto"/>
              <w:jc w:val="left"/>
              <w:rPr>
                <w:b/>
                <w:sz w:val="22"/>
                <w:szCs w:val="22"/>
              </w:rPr>
            </w:pPr>
            <w:r w:rsidRPr="00C60AD1">
              <w:rPr>
                <w:sz w:val="22"/>
                <w:szCs w:val="22"/>
              </w:rPr>
              <w:t>Additions during the year</w:t>
            </w:r>
          </w:p>
        </w:tc>
        <w:tc>
          <w:tcPr>
            <w:tcW w:w="759" w:type="pct"/>
            <w:shd w:val="clear" w:color="auto" w:fill="auto"/>
            <w:vAlign w:val="center"/>
            <w:hideMark/>
          </w:tcPr>
          <w:p w:rsidR="00C34658" w:rsidRDefault="00C34658" w:rsidP="00D55642">
            <w:pPr>
              <w:spacing w:before="0" w:line="240" w:lineRule="auto"/>
              <w:jc w:val="center"/>
              <w:rPr>
                <w:b/>
                <w:sz w:val="22"/>
                <w:szCs w:val="22"/>
              </w:rPr>
            </w:pPr>
            <w:r w:rsidRPr="00C60AD1">
              <w:rPr>
                <w:sz w:val="22"/>
                <w:szCs w:val="22"/>
              </w:rPr>
              <w:t>B</w:t>
            </w: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color w:val="000000"/>
                <w:sz w:val="22"/>
                <w:szCs w:val="22"/>
              </w:rPr>
              <w:t xml:space="preserve">        400.00 </w:t>
            </w:r>
          </w:p>
        </w:tc>
        <w:tc>
          <w:tcPr>
            <w:tcW w:w="938" w:type="pct"/>
            <w:shd w:val="clear" w:color="auto" w:fill="auto"/>
            <w:vAlign w:val="center"/>
            <w:hideMark/>
          </w:tcPr>
          <w:p w:rsidR="00C34658" w:rsidRDefault="00C34658" w:rsidP="00D55642">
            <w:pPr>
              <w:spacing w:before="0" w:line="240" w:lineRule="auto"/>
              <w:jc w:val="right"/>
              <w:rPr>
                <w:b/>
                <w:sz w:val="22"/>
                <w:szCs w:val="22"/>
              </w:rPr>
            </w:pPr>
            <w:r>
              <w:rPr>
                <w:color w:val="000000"/>
                <w:sz w:val="22"/>
                <w:szCs w:val="22"/>
              </w:rPr>
              <w:t xml:space="preserve">          280.00 </w:t>
            </w:r>
          </w:p>
        </w:tc>
      </w:tr>
      <w:tr w:rsidR="00C34658" w:rsidRPr="00C60AD1" w:rsidTr="00D55642">
        <w:trPr>
          <w:trHeight w:val="323"/>
          <w:jc w:val="center"/>
        </w:trPr>
        <w:tc>
          <w:tcPr>
            <w:tcW w:w="2391" w:type="pct"/>
            <w:shd w:val="clear" w:color="auto" w:fill="auto"/>
            <w:vAlign w:val="center"/>
            <w:hideMark/>
          </w:tcPr>
          <w:p w:rsidR="00C34658" w:rsidRDefault="00C34658" w:rsidP="00D55642">
            <w:pPr>
              <w:spacing w:before="0" w:line="240" w:lineRule="auto"/>
              <w:jc w:val="left"/>
              <w:rPr>
                <w:b/>
                <w:sz w:val="22"/>
                <w:szCs w:val="22"/>
              </w:rPr>
            </w:pPr>
            <w:r w:rsidRPr="00C60AD1">
              <w:rPr>
                <w:sz w:val="22"/>
                <w:szCs w:val="22"/>
              </w:rPr>
              <w:t>Less: Amortization (Depreciation on assets created out of Consumer Contribution)</w:t>
            </w:r>
          </w:p>
        </w:tc>
        <w:tc>
          <w:tcPr>
            <w:tcW w:w="759" w:type="pct"/>
            <w:shd w:val="clear" w:color="auto" w:fill="auto"/>
            <w:vAlign w:val="center"/>
            <w:hideMark/>
          </w:tcPr>
          <w:p w:rsidR="00C34658" w:rsidRDefault="00C34658" w:rsidP="00D55642">
            <w:pPr>
              <w:spacing w:before="0" w:line="240" w:lineRule="auto"/>
              <w:jc w:val="center"/>
              <w:rPr>
                <w:b/>
                <w:sz w:val="22"/>
                <w:szCs w:val="22"/>
              </w:rPr>
            </w:pPr>
            <w:r w:rsidRPr="00C60AD1">
              <w:rPr>
                <w:sz w:val="22"/>
                <w:szCs w:val="22"/>
              </w:rPr>
              <w:t>C</w:t>
            </w: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color w:val="000000"/>
                <w:sz w:val="22"/>
                <w:szCs w:val="22"/>
              </w:rPr>
              <w:t xml:space="preserve">        166.88 </w:t>
            </w:r>
          </w:p>
        </w:tc>
        <w:tc>
          <w:tcPr>
            <w:tcW w:w="938" w:type="pct"/>
            <w:shd w:val="clear" w:color="auto" w:fill="auto"/>
            <w:vAlign w:val="center"/>
            <w:hideMark/>
          </w:tcPr>
          <w:p w:rsidR="00C34658" w:rsidRDefault="00C34658" w:rsidP="00D55642">
            <w:pPr>
              <w:spacing w:before="0" w:line="240" w:lineRule="auto"/>
              <w:jc w:val="right"/>
              <w:rPr>
                <w:b/>
                <w:sz w:val="22"/>
                <w:szCs w:val="22"/>
              </w:rPr>
            </w:pPr>
            <w:r>
              <w:rPr>
                <w:color w:val="000000"/>
                <w:sz w:val="22"/>
                <w:szCs w:val="22"/>
              </w:rPr>
              <w:t xml:space="preserve">          156.25 </w:t>
            </w:r>
          </w:p>
        </w:tc>
      </w:tr>
      <w:tr w:rsidR="00C34658" w:rsidRPr="00C60AD1" w:rsidTr="00D55642">
        <w:trPr>
          <w:trHeight w:val="323"/>
          <w:jc w:val="center"/>
        </w:trPr>
        <w:tc>
          <w:tcPr>
            <w:tcW w:w="2391" w:type="pct"/>
            <w:shd w:val="clear" w:color="auto" w:fill="auto"/>
            <w:vAlign w:val="center"/>
            <w:hideMark/>
          </w:tcPr>
          <w:p w:rsidR="00C34658" w:rsidRDefault="00C34658" w:rsidP="00D55642">
            <w:pPr>
              <w:spacing w:before="0" w:line="240" w:lineRule="auto"/>
              <w:jc w:val="left"/>
              <w:rPr>
                <w:b/>
                <w:sz w:val="22"/>
                <w:szCs w:val="22"/>
              </w:rPr>
            </w:pPr>
            <w:r w:rsidRPr="00C60AD1">
              <w:rPr>
                <w:sz w:val="22"/>
                <w:szCs w:val="22"/>
              </w:rPr>
              <w:t>Closing Balance</w:t>
            </w:r>
          </w:p>
        </w:tc>
        <w:tc>
          <w:tcPr>
            <w:tcW w:w="759" w:type="pct"/>
            <w:shd w:val="clear" w:color="auto" w:fill="auto"/>
            <w:vAlign w:val="center"/>
            <w:hideMark/>
          </w:tcPr>
          <w:p w:rsidR="00C34658" w:rsidRDefault="00C34658" w:rsidP="00D55642">
            <w:pPr>
              <w:spacing w:before="0" w:line="240" w:lineRule="auto"/>
              <w:jc w:val="center"/>
              <w:rPr>
                <w:b/>
                <w:sz w:val="22"/>
                <w:szCs w:val="22"/>
              </w:rPr>
            </w:pPr>
            <w:r w:rsidRPr="00C60AD1">
              <w:rPr>
                <w:sz w:val="22"/>
                <w:szCs w:val="22"/>
              </w:rPr>
              <w:t>D=A+B-C</w:t>
            </w: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    1,836.08 </w:t>
            </w:r>
          </w:p>
        </w:tc>
        <w:tc>
          <w:tcPr>
            <w:tcW w:w="938" w:type="pct"/>
            <w:shd w:val="clear" w:color="auto" w:fill="auto"/>
            <w:vAlign w:val="center"/>
            <w:hideMark/>
          </w:tcPr>
          <w:p w:rsidR="00C34658" w:rsidRDefault="00C34658" w:rsidP="00D55642">
            <w:pPr>
              <w:spacing w:before="0" w:line="240" w:lineRule="auto"/>
              <w:jc w:val="right"/>
              <w:rPr>
                <w:b/>
                <w:sz w:val="22"/>
                <w:szCs w:val="22"/>
              </w:rPr>
            </w:pPr>
            <w:r>
              <w:rPr>
                <w:b/>
                <w:bCs/>
                <w:color w:val="000000"/>
                <w:sz w:val="22"/>
                <w:szCs w:val="22"/>
              </w:rPr>
              <w:t xml:space="preserve">       1,628.63 </w:t>
            </w:r>
          </w:p>
        </w:tc>
      </w:tr>
    </w:tbl>
    <w:p w:rsidR="00C34658" w:rsidRPr="00C60AD1" w:rsidRDefault="00C34658" w:rsidP="00C34658">
      <w:pPr>
        <w:pStyle w:val="Heading3"/>
        <w:numPr>
          <w:ilvl w:val="0"/>
          <w:numId w:val="0"/>
        </w:numPr>
        <w:tabs>
          <w:tab w:val="clear" w:pos="720"/>
        </w:tabs>
        <w:spacing w:before="0" w:after="240"/>
        <w:ind w:left="993"/>
      </w:pPr>
    </w:p>
    <w:p w:rsidR="00D5771F" w:rsidRDefault="00C34658">
      <w:pPr>
        <w:pStyle w:val="Heading3"/>
        <w:tabs>
          <w:tab w:val="clear" w:pos="720"/>
        </w:tabs>
        <w:spacing w:before="0" w:after="240"/>
        <w:ind w:left="993" w:hanging="993"/>
      </w:pPr>
      <w:r w:rsidRPr="00C60AD1">
        <w:t>Thus, the financing of the capital investment as considered by the Commission is shown in the Table below:</w:t>
      </w:r>
    </w:p>
    <w:p w:rsidR="00C34658" w:rsidRPr="00C60AD1" w:rsidRDefault="00C34658" w:rsidP="00C34658">
      <w:pPr>
        <w:jc w:val="center"/>
        <w:rPr>
          <w:rFonts w:cstheme="minorHAnsi"/>
          <w:b/>
        </w:rPr>
      </w:pPr>
      <w:bookmarkStart w:id="882" w:name="_Toc357274498"/>
      <w:bookmarkStart w:id="883" w:name="_Toc357718749"/>
      <w:bookmarkStart w:id="884" w:name="_Toc395657973"/>
      <w:bookmarkStart w:id="885" w:name="_Toc396574024"/>
      <w:bookmarkStart w:id="886" w:name="_Toc419992320"/>
      <w:bookmarkStart w:id="887" w:name="_Toc453367702"/>
      <w:bookmarkStart w:id="888" w:name="_Toc457604073"/>
      <w:bookmarkStart w:id="889" w:name="_Toc356913135"/>
      <w:r w:rsidRPr="00C60AD1">
        <w:rPr>
          <w:rFonts w:cstheme="minorHAnsi"/>
          <w:b/>
        </w:rPr>
        <w:t xml:space="preserve">Table </w:t>
      </w:r>
      <w:r w:rsidR="009741CA" w:rsidRPr="00C60AD1">
        <w:rPr>
          <w:rFonts w:cstheme="minorHAnsi"/>
          <w:b/>
        </w:rPr>
        <w:fldChar w:fldCharType="begin"/>
      </w:r>
      <w:r w:rsidRPr="00C60AD1">
        <w:rPr>
          <w:rFonts w:cstheme="minorHAnsi"/>
          <w:b/>
        </w:rPr>
        <w:instrText xml:space="preserve"> STYLEREF 1 \s </w:instrText>
      </w:r>
      <w:r w:rsidR="009741CA" w:rsidRPr="00C60AD1">
        <w:rPr>
          <w:rFonts w:cstheme="minorHAnsi"/>
          <w:b/>
        </w:rPr>
        <w:fldChar w:fldCharType="separate"/>
      </w:r>
      <w:r w:rsidR="00BA08F0">
        <w:rPr>
          <w:rFonts w:cstheme="minorHAnsi"/>
          <w:b/>
          <w:noProof/>
        </w:rPr>
        <w:t>5</w:t>
      </w:r>
      <w:r w:rsidR="009741CA" w:rsidRPr="00C60AD1">
        <w:rPr>
          <w:rFonts w:cstheme="minorHAnsi"/>
          <w:b/>
        </w:rPr>
        <w:fldChar w:fldCharType="end"/>
      </w:r>
      <w:r w:rsidRPr="00C60AD1">
        <w:rPr>
          <w:rFonts w:cstheme="minorHAnsi"/>
          <w:b/>
        </w:rPr>
        <w:noBreakHyphen/>
      </w:r>
      <w:r w:rsidR="009741CA" w:rsidRPr="00C60AD1">
        <w:rPr>
          <w:rFonts w:cstheme="minorHAnsi"/>
          <w:b/>
        </w:rPr>
        <w:fldChar w:fldCharType="begin"/>
      </w:r>
      <w:r w:rsidRPr="00C60AD1">
        <w:rPr>
          <w:rFonts w:cstheme="minorHAnsi"/>
          <w:b/>
        </w:rPr>
        <w:instrText xml:space="preserve"> SEQ Table \* ARABIC \s 1 </w:instrText>
      </w:r>
      <w:r w:rsidR="009741CA" w:rsidRPr="00C60AD1">
        <w:rPr>
          <w:rFonts w:cstheme="minorHAnsi"/>
          <w:b/>
        </w:rPr>
        <w:fldChar w:fldCharType="separate"/>
      </w:r>
      <w:r w:rsidR="00BA08F0">
        <w:rPr>
          <w:rFonts w:cstheme="minorHAnsi"/>
          <w:b/>
          <w:noProof/>
        </w:rPr>
        <w:t>57</w:t>
      </w:r>
      <w:r w:rsidR="009741CA" w:rsidRPr="00C60AD1">
        <w:rPr>
          <w:rFonts w:cstheme="minorHAnsi"/>
          <w:b/>
        </w:rPr>
        <w:fldChar w:fldCharType="end"/>
      </w:r>
      <w:r w:rsidRPr="00C60AD1">
        <w:rPr>
          <w:rFonts w:cstheme="minorHAnsi"/>
          <w:b/>
        </w:rPr>
        <w:t xml:space="preserve">: FINANCING OF THE CAPITAL INVESTMENTS UP TO FY </w:t>
      </w:r>
      <w:bookmarkEnd w:id="882"/>
      <w:r>
        <w:rPr>
          <w:rFonts w:cstheme="minorHAnsi"/>
          <w:b/>
        </w:rPr>
        <w:t>2016-17</w:t>
      </w:r>
      <w:r w:rsidRPr="00C60AD1">
        <w:rPr>
          <w:rFonts w:cstheme="minorHAnsi"/>
          <w:b/>
        </w:rPr>
        <w:t xml:space="preserve"> (Rs. Crore)</w:t>
      </w:r>
      <w:bookmarkEnd w:id="883"/>
      <w:bookmarkEnd w:id="884"/>
      <w:bookmarkEnd w:id="885"/>
      <w:bookmarkEnd w:id="886"/>
      <w:bookmarkEnd w:id="887"/>
      <w:bookmarkEnd w:id="888"/>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708"/>
        <w:gridCol w:w="1619"/>
        <w:gridCol w:w="1621"/>
        <w:gridCol w:w="1937"/>
      </w:tblGrid>
      <w:tr w:rsidR="00C34658" w:rsidRPr="00C60AD1" w:rsidTr="008334E8">
        <w:trPr>
          <w:trHeight w:val="600"/>
          <w:tblHeader/>
        </w:trPr>
        <w:tc>
          <w:tcPr>
            <w:tcW w:w="2087" w:type="pct"/>
            <w:shd w:val="clear" w:color="000000" w:fill="DBE5F1"/>
            <w:hideMark/>
          </w:tcPr>
          <w:p w:rsidR="00603835" w:rsidRDefault="00C34658">
            <w:pPr>
              <w:spacing w:before="0" w:line="240" w:lineRule="auto"/>
              <w:jc w:val="center"/>
              <w:rPr>
                <w:b/>
                <w:sz w:val="22"/>
                <w:szCs w:val="22"/>
              </w:rPr>
            </w:pPr>
            <w:r w:rsidRPr="00C60AD1">
              <w:rPr>
                <w:b/>
                <w:sz w:val="22"/>
                <w:szCs w:val="22"/>
              </w:rPr>
              <w:t>Particulars</w:t>
            </w:r>
          </w:p>
        </w:tc>
        <w:tc>
          <w:tcPr>
            <w:tcW w:w="911" w:type="pct"/>
            <w:shd w:val="clear" w:color="000000" w:fill="DBE5F1"/>
            <w:hideMark/>
          </w:tcPr>
          <w:p w:rsidR="00603835" w:rsidRDefault="00C34658">
            <w:pPr>
              <w:spacing w:before="0" w:line="240" w:lineRule="auto"/>
              <w:jc w:val="center"/>
              <w:rPr>
                <w:b/>
                <w:sz w:val="22"/>
                <w:szCs w:val="22"/>
              </w:rPr>
            </w:pPr>
            <w:r w:rsidRPr="00C60AD1">
              <w:rPr>
                <w:b/>
                <w:sz w:val="22"/>
                <w:szCs w:val="22"/>
              </w:rPr>
              <w:t>Derivation</w:t>
            </w:r>
          </w:p>
        </w:tc>
        <w:tc>
          <w:tcPr>
            <w:tcW w:w="912" w:type="pct"/>
            <w:shd w:val="clear" w:color="000000" w:fill="DBE5F1"/>
            <w:noWrap/>
            <w:hideMark/>
          </w:tcPr>
          <w:p w:rsidR="00603835" w:rsidRDefault="00C34658">
            <w:pPr>
              <w:spacing w:before="0" w:line="240" w:lineRule="auto"/>
              <w:jc w:val="center"/>
              <w:rPr>
                <w:b/>
                <w:sz w:val="22"/>
                <w:szCs w:val="22"/>
              </w:rPr>
            </w:pPr>
            <w:r w:rsidRPr="00C60AD1">
              <w:rPr>
                <w:b/>
                <w:sz w:val="22"/>
                <w:szCs w:val="22"/>
              </w:rPr>
              <w:t>ARR Petition</w:t>
            </w:r>
          </w:p>
        </w:tc>
        <w:tc>
          <w:tcPr>
            <w:tcW w:w="1090" w:type="pct"/>
            <w:shd w:val="clear" w:color="000000" w:fill="DBE5F1"/>
            <w:hideMark/>
          </w:tcPr>
          <w:p w:rsidR="00603835" w:rsidRDefault="00C34658">
            <w:pPr>
              <w:spacing w:before="0" w:line="240" w:lineRule="auto"/>
              <w:jc w:val="center"/>
              <w:rPr>
                <w:b/>
                <w:sz w:val="22"/>
                <w:szCs w:val="22"/>
              </w:rPr>
            </w:pPr>
            <w:r w:rsidRPr="00C60AD1">
              <w:rPr>
                <w:b/>
                <w:sz w:val="22"/>
                <w:szCs w:val="22"/>
              </w:rPr>
              <w:t xml:space="preserve">FY </w:t>
            </w:r>
            <w:r>
              <w:rPr>
                <w:b/>
                <w:sz w:val="22"/>
                <w:szCs w:val="22"/>
              </w:rPr>
              <w:t>2016-17</w:t>
            </w:r>
            <w:r w:rsidRPr="00C60AD1">
              <w:rPr>
                <w:b/>
                <w:sz w:val="22"/>
                <w:szCs w:val="22"/>
              </w:rPr>
              <w:br/>
              <w:t>Approved</w:t>
            </w:r>
          </w:p>
        </w:tc>
      </w:tr>
      <w:tr w:rsidR="00C34658" w:rsidRPr="00C60AD1" w:rsidTr="00D55642">
        <w:trPr>
          <w:trHeight w:val="251"/>
        </w:trPr>
        <w:tc>
          <w:tcPr>
            <w:tcW w:w="2087" w:type="pct"/>
            <w:shd w:val="clear" w:color="auto" w:fill="auto"/>
            <w:hideMark/>
          </w:tcPr>
          <w:p w:rsidR="00C34658" w:rsidRDefault="00C34658" w:rsidP="00D55642">
            <w:pPr>
              <w:spacing w:before="0" w:line="240" w:lineRule="auto"/>
              <w:jc w:val="left"/>
              <w:rPr>
                <w:b/>
                <w:sz w:val="22"/>
                <w:szCs w:val="22"/>
              </w:rPr>
            </w:pPr>
            <w:r w:rsidRPr="00C60AD1">
              <w:rPr>
                <w:sz w:val="22"/>
                <w:szCs w:val="22"/>
              </w:rPr>
              <w:t>Investment</w:t>
            </w:r>
          </w:p>
        </w:tc>
        <w:tc>
          <w:tcPr>
            <w:tcW w:w="911" w:type="pct"/>
            <w:shd w:val="clear" w:color="auto" w:fill="auto"/>
            <w:vAlign w:val="bottom"/>
            <w:hideMark/>
          </w:tcPr>
          <w:p w:rsidR="00C34658" w:rsidRDefault="00C34658" w:rsidP="00D55642">
            <w:pPr>
              <w:spacing w:before="0" w:line="240" w:lineRule="auto"/>
              <w:jc w:val="center"/>
              <w:rPr>
                <w:b/>
                <w:sz w:val="22"/>
                <w:szCs w:val="22"/>
              </w:rPr>
            </w:pPr>
            <w:r w:rsidRPr="00C60AD1">
              <w:rPr>
                <w:sz w:val="22"/>
                <w:szCs w:val="22"/>
              </w:rPr>
              <w:t>A</w:t>
            </w: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color w:val="000000"/>
                <w:sz w:val="22"/>
                <w:szCs w:val="22"/>
              </w:rPr>
              <w:t xml:space="preserve">        2,500.00 </w:t>
            </w:r>
          </w:p>
        </w:tc>
        <w:tc>
          <w:tcPr>
            <w:tcW w:w="1090" w:type="pct"/>
            <w:shd w:val="clear" w:color="auto" w:fill="auto"/>
            <w:vAlign w:val="center"/>
            <w:hideMark/>
          </w:tcPr>
          <w:p w:rsidR="00C34658" w:rsidRDefault="00C34658" w:rsidP="00D55642">
            <w:pPr>
              <w:spacing w:before="0" w:line="240" w:lineRule="auto"/>
              <w:jc w:val="right"/>
              <w:rPr>
                <w:b/>
                <w:sz w:val="22"/>
                <w:szCs w:val="22"/>
              </w:rPr>
            </w:pPr>
            <w:r>
              <w:rPr>
                <w:color w:val="000000"/>
                <w:sz w:val="22"/>
                <w:szCs w:val="22"/>
              </w:rPr>
              <w:t xml:space="preserve">        1,750.00 </w:t>
            </w:r>
          </w:p>
        </w:tc>
      </w:tr>
      <w:tr w:rsidR="00C34658" w:rsidRPr="00C60AD1" w:rsidTr="00D55642">
        <w:trPr>
          <w:trHeight w:val="251"/>
        </w:trPr>
        <w:tc>
          <w:tcPr>
            <w:tcW w:w="2087" w:type="pct"/>
            <w:shd w:val="clear" w:color="auto" w:fill="auto"/>
            <w:hideMark/>
          </w:tcPr>
          <w:p w:rsidR="00C34658" w:rsidRDefault="00C34658" w:rsidP="00D55642">
            <w:pPr>
              <w:spacing w:before="0" w:line="240" w:lineRule="auto"/>
              <w:jc w:val="left"/>
              <w:rPr>
                <w:b/>
                <w:sz w:val="22"/>
                <w:szCs w:val="22"/>
              </w:rPr>
            </w:pPr>
            <w:r w:rsidRPr="00C60AD1">
              <w:rPr>
                <w:sz w:val="22"/>
                <w:szCs w:val="22"/>
              </w:rPr>
              <w:t xml:space="preserve">Less: </w:t>
            </w:r>
          </w:p>
        </w:tc>
        <w:tc>
          <w:tcPr>
            <w:tcW w:w="911" w:type="pct"/>
            <w:shd w:val="clear" w:color="auto" w:fill="auto"/>
            <w:vAlign w:val="bottom"/>
            <w:hideMark/>
          </w:tcPr>
          <w:p w:rsidR="00C34658" w:rsidRDefault="00C34658" w:rsidP="00D55642">
            <w:pPr>
              <w:spacing w:before="0" w:line="240" w:lineRule="auto"/>
              <w:jc w:val="center"/>
              <w:rPr>
                <w:b/>
                <w:sz w:val="22"/>
                <w:szCs w:val="22"/>
              </w:rPr>
            </w:pP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color w:val="000000"/>
                <w:sz w:val="22"/>
                <w:szCs w:val="22"/>
              </w:rPr>
              <w:t> </w:t>
            </w:r>
          </w:p>
        </w:tc>
        <w:tc>
          <w:tcPr>
            <w:tcW w:w="1090" w:type="pct"/>
            <w:shd w:val="clear" w:color="auto" w:fill="auto"/>
            <w:vAlign w:val="center"/>
            <w:hideMark/>
          </w:tcPr>
          <w:p w:rsidR="00C34658" w:rsidRDefault="00C34658" w:rsidP="00D55642">
            <w:pPr>
              <w:spacing w:before="0" w:line="240" w:lineRule="auto"/>
              <w:jc w:val="right"/>
              <w:rPr>
                <w:b/>
                <w:sz w:val="22"/>
                <w:szCs w:val="22"/>
              </w:rPr>
            </w:pPr>
            <w:r>
              <w:rPr>
                <w:color w:val="000000"/>
                <w:sz w:val="22"/>
                <w:szCs w:val="22"/>
              </w:rPr>
              <w:t> </w:t>
            </w:r>
          </w:p>
        </w:tc>
      </w:tr>
      <w:tr w:rsidR="00C34658" w:rsidRPr="00C60AD1" w:rsidTr="00D55642">
        <w:trPr>
          <w:trHeight w:val="251"/>
        </w:trPr>
        <w:tc>
          <w:tcPr>
            <w:tcW w:w="2087" w:type="pct"/>
            <w:shd w:val="clear" w:color="auto" w:fill="auto"/>
            <w:hideMark/>
          </w:tcPr>
          <w:p w:rsidR="00C34658" w:rsidRDefault="00C34658" w:rsidP="00D55642">
            <w:pPr>
              <w:spacing w:before="0" w:line="240" w:lineRule="auto"/>
              <w:jc w:val="left"/>
              <w:rPr>
                <w:b/>
                <w:sz w:val="22"/>
                <w:szCs w:val="22"/>
              </w:rPr>
            </w:pPr>
            <w:r w:rsidRPr="00C60AD1">
              <w:rPr>
                <w:sz w:val="22"/>
                <w:szCs w:val="22"/>
              </w:rPr>
              <w:t>Consumer Contribution and Capital Assets Subsidy</w:t>
            </w:r>
          </w:p>
        </w:tc>
        <w:tc>
          <w:tcPr>
            <w:tcW w:w="911" w:type="pct"/>
            <w:shd w:val="clear" w:color="auto" w:fill="auto"/>
            <w:vAlign w:val="bottom"/>
            <w:hideMark/>
          </w:tcPr>
          <w:p w:rsidR="00C34658" w:rsidRDefault="00C34658" w:rsidP="00D55642">
            <w:pPr>
              <w:spacing w:before="0" w:line="240" w:lineRule="auto"/>
              <w:jc w:val="center"/>
              <w:rPr>
                <w:b/>
                <w:sz w:val="22"/>
                <w:szCs w:val="22"/>
              </w:rPr>
            </w:pPr>
            <w:r w:rsidRPr="00C60AD1">
              <w:rPr>
                <w:sz w:val="22"/>
                <w:szCs w:val="22"/>
              </w:rPr>
              <w:t>B</w:t>
            </w: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color w:val="000000"/>
                <w:sz w:val="22"/>
                <w:szCs w:val="22"/>
              </w:rPr>
              <w:t xml:space="preserve">           400.00 </w:t>
            </w:r>
          </w:p>
        </w:tc>
        <w:tc>
          <w:tcPr>
            <w:tcW w:w="1090" w:type="pct"/>
            <w:shd w:val="clear" w:color="auto" w:fill="auto"/>
            <w:vAlign w:val="center"/>
            <w:hideMark/>
          </w:tcPr>
          <w:p w:rsidR="00C34658" w:rsidRDefault="00C34658" w:rsidP="00D55642">
            <w:pPr>
              <w:spacing w:before="0" w:line="240" w:lineRule="auto"/>
              <w:jc w:val="right"/>
              <w:rPr>
                <w:b/>
                <w:sz w:val="22"/>
                <w:szCs w:val="22"/>
              </w:rPr>
            </w:pPr>
            <w:r>
              <w:rPr>
                <w:color w:val="000000"/>
                <w:sz w:val="22"/>
                <w:szCs w:val="22"/>
              </w:rPr>
              <w:t xml:space="preserve">           280.00 </w:t>
            </w:r>
          </w:p>
        </w:tc>
      </w:tr>
      <w:tr w:rsidR="00C34658" w:rsidRPr="00C60AD1" w:rsidTr="00D55642">
        <w:trPr>
          <w:trHeight w:val="251"/>
        </w:trPr>
        <w:tc>
          <w:tcPr>
            <w:tcW w:w="2087" w:type="pct"/>
            <w:shd w:val="clear" w:color="auto" w:fill="auto"/>
            <w:hideMark/>
          </w:tcPr>
          <w:p w:rsidR="00C34658" w:rsidRDefault="00C34658" w:rsidP="00D55642">
            <w:pPr>
              <w:spacing w:before="0" w:line="240" w:lineRule="auto"/>
              <w:jc w:val="left"/>
              <w:rPr>
                <w:b/>
                <w:sz w:val="22"/>
                <w:szCs w:val="22"/>
              </w:rPr>
            </w:pPr>
            <w:r w:rsidRPr="00C60AD1">
              <w:rPr>
                <w:sz w:val="22"/>
                <w:szCs w:val="22"/>
              </w:rPr>
              <w:t>Total</w:t>
            </w:r>
          </w:p>
        </w:tc>
        <w:tc>
          <w:tcPr>
            <w:tcW w:w="911" w:type="pct"/>
            <w:shd w:val="clear" w:color="auto" w:fill="auto"/>
            <w:vAlign w:val="bottom"/>
            <w:hideMark/>
          </w:tcPr>
          <w:p w:rsidR="00C34658" w:rsidRDefault="00C34658" w:rsidP="00D55642">
            <w:pPr>
              <w:spacing w:before="0" w:line="240" w:lineRule="auto"/>
              <w:jc w:val="center"/>
              <w:rPr>
                <w:b/>
                <w:sz w:val="22"/>
                <w:szCs w:val="22"/>
              </w:rPr>
            </w:pPr>
            <w:r w:rsidRPr="00C60AD1">
              <w:rPr>
                <w:sz w:val="22"/>
                <w:szCs w:val="22"/>
              </w:rPr>
              <w:t>C = A- B</w:t>
            </w: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        2,100.00 </w:t>
            </w:r>
          </w:p>
        </w:tc>
        <w:tc>
          <w:tcPr>
            <w:tcW w:w="1090" w:type="pct"/>
            <w:shd w:val="clear" w:color="auto" w:fill="auto"/>
            <w:vAlign w:val="center"/>
            <w:hideMark/>
          </w:tcPr>
          <w:p w:rsidR="00C34658" w:rsidRDefault="00C34658" w:rsidP="00D55642">
            <w:pPr>
              <w:spacing w:before="0" w:line="240" w:lineRule="auto"/>
              <w:jc w:val="right"/>
              <w:rPr>
                <w:b/>
                <w:sz w:val="22"/>
                <w:szCs w:val="22"/>
              </w:rPr>
            </w:pPr>
            <w:r>
              <w:rPr>
                <w:b/>
                <w:bCs/>
                <w:color w:val="000000"/>
                <w:sz w:val="22"/>
                <w:szCs w:val="22"/>
              </w:rPr>
              <w:t xml:space="preserve">        1,470.00 </w:t>
            </w:r>
          </w:p>
        </w:tc>
      </w:tr>
      <w:tr w:rsidR="00C34658" w:rsidRPr="00C60AD1" w:rsidTr="00D55642">
        <w:trPr>
          <w:trHeight w:val="251"/>
        </w:trPr>
        <w:tc>
          <w:tcPr>
            <w:tcW w:w="2087" w:type="pct"/>
            <w:shd w:val="clear" w:color="auto" w:fill="auto"/>
            <w:hideMark/>
          </w:tcPr>
          <w:p w:rsidR="00C34658" w:rsidRDefault="00C34658" w:rsidP="00D55642">
            <w:pPr>
              <w:spacing w:before="0" w:line="240" w:lineRule="auto"/>
              <w:jc w:val="left"/>
              <w:rPr>
                <w:b/>
                <w:sz w:val="22"/>
                <w:szCs w:val="22"/>
              </w:rPr>
            </w:pPr>
            <w:r w:rsidRPr="00C60AD1">
              <w:rPr>
                <w:sz w:val="22"/>
                <w:szCs w:val="22"/>
              </w:rPr>
              <w:t>Investment funded by debt and equity</w:t>
            </w:r>
          </w:p>
        </w:tc>
        <w:tc>
          <w:tcPr>
            <w:tcW w:w="911" w:type="pct"/>
            <w:shd w:val="clear" w:color="auto" w:fill="auto"/>
            <w:vAlign w:val="bottom"/>
            <w:hideMark/>
          </w:tcPr>
          <w:p w:rsidR="00C34658" w:rsidRDefault="00C34658" w:rsidP="00D55642">
            <w:pPr>
              <w:spacing w:before="0" w:line="240" w:lineRule="auto"/>
              <w:jc w:val="center"/>
              <w:rPr>
                <w:b/>
                <w:sz w:val="22"/>
                <w:szCs w:val="22"/>
              </w:rPr>
            </w:pP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color w:val="000000"/>
                <w:sz w:val="22"/>
                <w:szCs w:val="22"/>
              </w:rPr>
              <w:t> </w:t>
            </w:r>
          </w:p>
        </w:tc>
        <w:tc>
          <w:tcPr>
            <w:tcW w:w="1090" w:type="pct"/>
            <w:shd w:val="clear" w:color="auto" w:fill="auto"/>
            <w:vAlign w:val="center"/>
            <w:hideMark/>
          </w:tcPr>
          <w:p w:rsidR="00C34658" w:rsidRDefault="00C34658" w:rsidP="00D55642">
            <w:pPr>
              <w:spacing w:before="0" w:line="240" w:lineRule="auto"/>
              <w:jc w:val="right"/>
              <w:rPr>
                <w:b/>
                <w:sz w:val="22"/>
                <w:szCs w:val="22"/>
              </w:rPr>
            </w:pPr>
            <w:r>
              <w:rPr>
                <w:color w:val="000000"/>
                <w:sz w:val="22"/>
                <w:szCs w:val="22"/>
              </w:rPr>
              <w:t> </w:t>
            </w:r>
          </w:p>
        </w:tc>
      </w:tr>
      <w:tr w:rsidR="00C34658" w:rsidRPr="00C60AD1" w:rsidTr="00D55642">
        <w:trPr>
          <w:trHeight w:val="251"/>
        </w:trPr>
        <w:tc>
          <w:tcPr>
            <w:tcW w:w="2087" w:type="pct"/>
            <w:shd w:val="clear" w:color="auto" w:fill="auto"/>
            <w:hideMark/>
          </w:tcPr>
          <w:p w:rsidR="00C34658" w:rsidRDefault="00C34658" w:rsidP="00D55642">
            <w:pPr>
              <w:spacing w:before="0" w:line="240" w:lineRule="auto"/>
              <w:jc w:val="left"/>
              <w:rPr>
                <w:b/>
                <w:sz w:val="22"/>
                <w:szCs w:val="22"/>
              </w:rPr>
            </w:pPr>
            <w:r w:rsidRPr="00C60AD1">
              <w:rPr>
                <w:sz w:val="22"/>
                <w:szCs w:val="22"/>
              </w:rPr>
              <w:t xml:space="preserve">Debt Funded </w:t>
            </w:r>
          </w:p>
        </w:tc>
        <w:tc>
          <w:tcPr>
            <w:tcW w:w="911" w:type="pct"/>
            <w:shd w:val="clear" w:color="auto" w:fill="auto"/>
            <w:vAlign w:val="bottom"/>
            <w:hideMark/>
          </w:tcPr>
          <w:p w:rsidR="00C34658" w:rsidRDefault="00C34658" w:rsidP="00D55642">
            <w:pPr>
              <w:spacing w:before="0" w:line="240" w:lineRule="auto"/>
              <w:jc w:val="center"/>
              <w:rPr>
                <w:b/>
                <w:sz w:val="22"/>
                <w:szCs w:val="22"/>
              </w:rPr>
            </w:pPr>
            <w:r w:rsidRPr="00C60AD1">
              <w:rPr>
                <w:sz w:val="22"/>
                <w:szCs w:val="22"/>
              </w:rPr>
              <w:t>70%</w:t>
            </w: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color w:val="000000"/>
                <w:sz w:val="22"/>
                <w:szCs w:val="22"/>
              </w:rPr>
              <w:t xml:space="preserve">        1,470.00 </w:t>
            </w:r>
          </w:p>
        </w:tc>
        <w:tc>
          <w:tcPr>
            <w:tcW w:w="1090" w:type="pct"/>
            <w:shd w:val="clear" w:color="auto" w:fill="auto"/>
            <w:vAlign w:val="center"/>
            <w:hideMark/>
          </w:tcPr>
          <w:p w:rsidR="00C34658" w:rsidRDefault="00C34658" w:rsidP="00D55642">
            <w:pPr>
              <w:spacing w:before="0" w:line="240" w:lineRule="auto"/>
              <w:jc w:val="right"/>
              <w:rPr>
                <w:b/>
                <w:sz w:val="22"/>
                <w:szCs w:val="22"/>
              </w:rPr>
            </w:pPr>
            <w:r>
              <w:rPr>
                <w:color w:val="000000"/>
                <w:sz w:val="22"/>
                <w:szCs w:val="22"/>
              </w:rPr>
              <w:t xml:space="preserve">        1,029.00 </w:t>
            </w:r>
          </w:p>
        </w:tc>
      </w:tr>
      <w:tr w:rsidR="00C34658" w:rsidRPr="00C60AD1" w:rsidTr="00D55642">
        <w:trPr>
          <w:trHeight w:val="251"/>
        </w:trPr>
        <w:tc>
          <w:tcPr>
            <w:tcW w:w="2087" w:type="pct"/>
            <w:shd w:val="clear" w:color="auto" w:fill="auto"/>
            <w:hideMark/>
          </w:tcPr>
          <w:p w:rsidR="00C34658" w:rsidRDefault="00C34658" w:rsidP="00D55642">
            <w:pPr>
              <w:spacing w:before="0" w:line="240" w:lineRule="auto"/>
              <w:jc w:val="left"/>
              <w:rPr>
                <w:b/>
                <w:sz w:val="22"/>
                <w:szCs w:val="22"/>
              </w:rPr>
            </w:pPr>
            <w:r w:rsidRPr="00C60AD1">
              <w:rPr>
                <w:sz w:val="22"/>
                <w:szCs w:val="22"/>
              </w:rPr>
              <w:t>Equity Funded</w:t>
            </w:r>
          </w:p>
        </w:tc>
        <w:tc>
          <w:tcPr>
            <w:tcW w:w="911" w:type="pct"/>
            <w:shd w:val="clear" w:color="auto" w:fill="auto"/>
            <w:vAlign w:val="bottom"/>
            <w:hideMark/>
          </w:tcPr>
          <w:p w:rsidR="00C34658" w:rsidRDefault="00C34658" w:rsidP="00D55642">
            <w:pPr>
              <w:spacing w:before="0" w:line="240" w:lineRule="auto"/>
              <w:jc w:val="center"/>
              <w:rPr>
                <w:b/>
                <w:sz w:val="22"/>
                <w:szCs w:val="22"/>
              </w:rPr>
            </w:pPr>
            <w:r w:rsidRPr="00C60AD1">
              <w:rPr>
                <w:sz w:val="22"/>
                <w:szCs w:val="22"/>
              </w:rPr>
              <w:t>30%</w:t>
            </w:r>
          </w:p>
        </w:tc>
        <w:tc>
          <w:tcPr>
            <w:tcW w:w="912" w:type="pct"/>
            <w:shd w:val="clear" w:color="auto" w:fill="auto"/>
            <w:noWrap/>
            <w:vAlign w:val="center"/>
            <w:hideMark/>
          </w:tcPr>
          <w:p w:rsidR="00C34658" w:rsidRDefault="00C34658" w:rsidP="00D55642">
            <w:pPr>
              <w:spacing w:before="0" w:line="240" w:lineRule="auto"/>
              <w:jc w:val="right"/>
              <w:rPr>
                <w:b/>
                <w:sz w:val="22"/>
                <w:szCs w:val="22"/>
              </w:rPr>
            </w:pPr>
            <w:r>
              <w:rPr>
                <w:color w:val="000000"/>
                <w:sz w:val="22"/>
                <w:szCs w:val="22"/>
              </w:rPr>
              <w:t xml:space="preserve">           630.00 </w:t>
            </w:r>
          </w:p>
        </w:tc>
        <w:tc>
          <w:tcPr>
            <w:tcW w:w="1090" w:type="pct"/>
            <w:shd w:val="clear" w:color="auto" w:fill="auto"/>
            <w:vAlign w:val="center"/>
            <w:hideMark/>
          </w:tcPr>
          <w:p w:rsidR="00C34658" w:rsidRDefault="00C34658" w:rsidP="00D55642">
            <w:pPr>
              <w:spacing w:before="0" w:line="240" w:lineRule="auto"/>
              <w:jc w:val="right"/>
              <w:rPr>
                <w:b/>
                <w:sz w:val="22"/>
                <w:szCs w:val="22"/>
              </w:rPr>
            </w:pPr>
            <w:r>
              <w:rPr>
                <w:color w:val="000000"/>
                <w:sz w:val="22"/>
                <w:szCs w:val="22"/>
              </w:rPr>
              <w:t xml:space="preserve">           441.00 </w:t>
            </w:r>
          </w:p>
        </w:tc>
      </w:tr>
    </w:tbl>
    <w:p w:rsidR="00C34658" w:rsidRPr="00C60AD1" w:rsidRDefault="00C34658" w:rsidP="00C34658">
      <w:pPr>
        <w:tabs>
          <w:tab w:val="left" w:pos="720"/>
        </w:tabs>
        <w:ind w:left="720"/>
        <w:jc w:val="center"/>
        <w:outlineLvl w:val="2"/>
        <w:rPr>
          <w:rFonts w:cs="Calibri"/>
          <w:b/>
          <w:bCs/>
          <w:szCs w:val="26"/>
        </w:rPr>
      </w:pPr>
    </w:p>
    <w:p w:rsidR="00C34658" w:rsidRPr="00C60AD1" w:rsidRDefault="00C34658" w:rsidP="00C34658">
      <w:pPr>
        <w:pStyle w:val="Heading2"/>
        <w:numPr>
          <w:ilvl w:val="1"/>
          <w:numId w:val="16"/>
        </w:numPr>
      </w:pPr>
      <w:bookmarkStart w:id="890" w:name="_Toc357718670"/>
      <w:bookmarkStart w:id="891" w:name="_Toc396573842"/>
      <w:bookmarkStart w:id="892" w:name="_Toc419992297"/>
      <w:bookmarkStart w:id="893" w:name="_Toc453367619"/>
      <w:bookmarkStart w:id="894" w:name="_Toc457603956"/>
      <w:bookmarkEnd w:id="889"/>
      <w:r w:rsidRPr="00C60AD1">
        <w:t>DEPRECIATION EXPENSE</w:t>
      </w:r>
      <w:bookmarkEnd w:id="869"/>
      <w:bookmarkEnd w:id="890"/>
      <w:bookmarkEnd w:id="891"/>
      <w:bookmarkEnd w:id="892"/>
      <w:bookmarkEnd w:id="893"/>
      <w:bookmarkEnd w:id="894"/>
    </w:p>
    <w:p w:rsidR="00D5771F" w:rsidRDefault="00C34658">
      <w:pPr>
        <w:pStyle w:val="Heading3"/>
        <w:tabs>
          <w:tab w:val="clear" w:pos="720"/>
        </w:tabs>
        <w:spacing w:after="240"/>
        <w:ind w:left="993" w:hanging="993"/>
      </w:pPr>
      <w:r w:rsidRPr="00C60AD1">
        <w:lastRenderedPageBreak/>
        <w:t>The Petiti</w:t>
      </w:r>
      <w:r w:rsidRPr="00C60AD1">
        <w:rPr>
          <w:rFonts w:cs="Calibri"/>
        </w:rPr>
        <w:t>oner submitte</w:t>
      </w:r>
      <w:r w:rsidRPr="00C60AD1">
        <w:t xml:space="preserve">d that Regulation 4.9 of the Distribution Tariff Regulations, 2006 specifies for: </w:t>
      </w:r>
    </w:p>
    <w:p w:rsidR="00C34658" w:rsidRPr="00C60AD1" w:rsidRDefault="00C34658" w:rsidP="00C34658">
      <w:pPr>
        <w:pStyle w:val="ListParagraph"/>
        <w:numPr>
          <w:ilvl w:val="0"/>
          <w:numId w:val="22"/>
        </w:numPr>
        <w:ind w:left="1530"/>
      </w:pPr>
      <w:r w:rsidRPr="00C60AD1">
        <w:t xml:space="preserve">full year depreciation on the opening balance of GFA </w:t>
      </w:r>
    </w:p>
    <w:p w:rsidR="00C34658" w:rsidRPr="00C60AD1" w:rsidRDefault="00C34658" w:rsidP="00C34658">
      <w:pPr>
        <w:pStyle w:val="ListParagraph"/>
        <w:numPr>
          <w:ilvl w:val="0"/>
          <w:numId w:val="22"/>
        </w:numPr>
        <w:ind w:left="1530"/>
      </w:pPr>
      <w:r w:rsidRPr="00C60AD1">
        <w:t>pro-rata depreciation on the additions made to the GFA balance during the financial year</w:t>
      </w:r>
    </w:p>
    <w:p w:rsidR="00D5771F" w:rsidRDefault="00C34658">
      <w:pPr>
        <w:pStyle w:val="Heading3"/>
        <w:tabs>
          <w:tab w:val="clear" w:pos="720"/>
        </w:tabs>
        <w:spacing w:after="240"/>
        <w:ind w:left="993" w:hanging="993"/>
      </w:pPr>
      <w:r w:rsidRPr="00C60AD1">
        <w:t xml:space="preserve">The </w:t>
      </w:r>
      <w:r w:rsidRPr="00301E10">
        <w:t xml:space="preserve">Petitioner submitted that for the purpose of computing the allowable depreciation, it has considered the GFA </w:t>
      </w:r>
      <w:r w:rsidRPr="00FA7B1E">
        <w:rPr>
          <w:rFonts w:cs="Calibri"/>
        </w:rPr>
        <w:t xml:space="preserve">base as per provisional accounts for FY 2014-15 and have subsequently added the yearly capitalizations for 2015-16 and 2016-17. </w:t>
      </w:r>
      <w:r w:rsidRPr="00301E10">
        <w:t>The</w:t>
      </w:r>
      <w:r w:rsidRPr="00C60AD1">
        <w:t xml:space="preserve"> Petitioner submitted that it has computed the depreciation only on the depreciable asset base and has excluded the non-depreciable assets such as land, land rights, etc.</w:t>
      </w:r>
    </w:p>
    <w:p w:rsidR="00D5771F" w:rsidRDefault="00C34658">
      <w:pPr>
        <w:pStyle w:val="Heading3"/>
        <w:tabs>
          <w:tab w:val="clear" w:pos="720"/>
        </w:tabs>
        <w:spacing w:after="240"/>
        <w:ind w:left="993" w:hanging="993"/>
      </w:pPr>
      <w:r w:rsidRPr="00C60AD1">
        <w:t xml:space="preserve">The Petitioner further submitted that the </w:t>
      </w:r>
      <w:r>
        <w:t>“</w:t>
      </w:r>
      <w:r w:rsidRPr="00C60AD1">
        <w:t>Annexure</w:t>
      </w:r>
      <w:r>
        <w:t>:</w:t>
      </w:r>
      <w:r w:rsidRPr="00C60AD1">
        <w:t xml:space="preserve"> B</w:t>
      </w:r>
      <w:r>
        <w:t>”</w:t>
      </w:r>
      <w:r w:rsidRPr="00C60AD1">
        <w:t xml:space="preserve"> to the Distribution Tariff Regulations, 2006 specifies the depreciation rate to be charged on each class of asset. Accordingly, the Petitioner has computed deprecation at a weighted average rate of 7.84%. Considering this philosophy, Petitioner has claimed the gross depreciation for FY </w:t>
      </w:r>
      <w:r>
        <w:t>2016-17</w:t>
      </w:r>
      <w:r w:rsidRPr="00C60AD1">
        <w:t xml:space="preserve"> as Rs. </w:t>
      </w:r>
      <w:r>
        <w:t>615.2</w:t>
      </w:r>
      <w:r w:rsidR="00146268">
        <w:t>0</w:t>
      </w:r>
      <w:r w:rsidRPr="00C60AD1">
        <w:t xml:space="preserve"> Crore.</w:t>
      </w:r>
    </w:p>
    <w:p w:rsidR="00D5771F" w:rsidRDefault="00C34658">
      <w:pPr>
        <w:pStyle w:val="Heading3"/>
        <w:tabs>
          <w:tab w:val="clear" w:pos="720"/>
        </w:tabs>
        <w:spacing w:after="240"/>
        <w:ind w:left="993" w:hanging="993"/>
      </w:pPr>
      <w:r w:rsidRPr="00C60AD1">
        <w:t>The Petitioner submitted that it has projected the depreciation on assets created out of consumer contributions, capital grants and subsidies for FY 201</w:t>
      </w:r>
      <w:r>
        <w:t>5</w:t>
      </w:r>
      <w:r w:rsidRPr="00C60AD1">
        <w:t>-1</w:t>
      </w:r>
      <w:r>
        <w:t>6</w:t>
      </w:r>
      <w:r w:rsidRPr="00C60AD1">
        <w:t xml:space="preserve"> and FY </w:t>
      </w:r>
      <w:r>
        <w:t>2016-17</w:t>
      </w:r>
      <w:r w:rsidRPr="00C60AD1">
        <w:t xml:space="preserve"> in the same ratio as per provisional accounts of FY 201</w:t>
      </w:r>
      <w:r>
        <w:t>4</w:t>
      </w:r>
      <w:r w:rsidRPr="00C60AD1">
        <w:t>-1</w:t>
      </w:r>
      <w:r>
        <w:t>5</w:t>
      </w:r>
      <w:r w:rsidRPr="00C60AD1">
        <w:t>.</w:t>
      </w:r>
    </w:p>
    <w:p w:rsidR="00D5771F" w:rsidRDefault="00C34658">
      <w:pPr>
        <w:pStyle w:val="Heading3"/>
        <w:tabs>
          <w:tab w:val="clear" w:pos="720"/>
        </w:tabs>
        <w:spacing w:after="240"/>
        <w:ind w:left="993" w:hanging="993"/>
      </w:pPr>
      <w:r w:rsidRPr="00C60AD1">
        <w:t xml:space="preserve">The Petitioner submitted that it has reduced the equivalent depreciation amounting to Rs. </w:t>
      </w:r>
      <w:r>
        <w:t>166.88</w:t>
      </w:r>
      <w:r w:rsidRPr="00C60AD1">
        <w:t xml:space="preserve"> Crore in FY </w:t>
      </w:r>
      <w:r>
        <w:t>2016-17</w:t>
      </w:r>
      <w:r w:rsidRPr="00C60AD1">
        <w:t xml:space="preserve"> in respect of depreciation on </w:t>
      </w:r>
      <w:r w:rsidRPr="00C60AD1">
        <w:rPr>
          <w:i/>
        </w:rPr>
        <w:t>assets</w:t>
      </w:r>
      <w:r w:rsidRPr="00C60AD1">
        <w:t xml:space="preserve"> created out of consumer contributions, capital grants and subsidies. Thus, the net depreciation claimed by the Petitioner for FY </w:t>
      </w:r>
      <w:r>
        <w:t>2016-17</w:t>
      </w:r>
      <w:r w:rsidRPr="00C60AD1">
        <w:t xml:space="preserve"> is Rs. </w:t>
      </w:r>
      <w:r>
        <w:t>448.32</w:t>
      </w:r>
      <w:r w:rsidRPr="00C60AD1">
        <w:t xml:space="preserve"> Crore. </w:t>
      </w:r>
    </w:p>
    <w:p w:rsidR="00D5771F" w:rsidRDefault="00C34658">
      <w:pPr>
        <w:pStyle w:val="Heading3"/>
        <w:tabs>
          <w:tab w:val="clear" w:pos="720"/>
        </w:tabs>
        <w:spacing w:after="240"/>
        <w:ind w:left="993" w:hanging="993"/>
      </w:pPr>
      <w:bookmarkStart w:id="895" w:name="_Ref325536075"/>
      <w:bookmarkStart w:id="896" w:name="_Toc338310712"/>
      <w:bookmarkStart w:id="897" w:name="_Toc338419542"/>
      <w:bookmarkStart w:id="898" w:name="_Toc357718750"/>
      <w:r w:rsidRPr="00C60AD1">
        <w:t>Regulation 4.9 of the Distribution Tariff Regulations, 2006 specifies as under:</w:t>
      </w:r>
    </w:p>
    <w:p w:rsidR="00C34658" w:rsidRPr="00C60AD1" w:rsidRDefault="00C34658" w:rsidP="00C34658">
      <w:pPr>
        <w:pStyle w:val="Heading3"/>
        <w:numPr>
          <w:ilvl w:val="0"/>
          <w:numId w:val="0"/>
        </w:numPr>
        <w:tabs>
          <w:tab w:val="clear" w:pos="720"/>
          <w:tab w:val="left" w:pos="1620"/>
        </w:tabs>
        <w:ind w:left="1710"/>
        <w:rPr>
          <w:i/>
        </w:rPr>
      </w:pPr>
      <w:r w:rsidRPr="00C60AD1">
        <w:rPr>
          <w:i/>
        </w:rPr>
        <w:t>“4.9 Depreciation:</w:t>
      </w:r>
    </w:p>
    <w:p w:rsidR="00C34658" w:rsidRPr="00C60AD1" w:rsidRDefault="00C34658" w:rsidP="00C34658">
      <w:pPr>
        <w:pStyle w:val="Heading3"/>
        <w:numPr>
          <w:ilvl w:val="0"/>
          <w:numId w:val="0"/>
        </w:numPr>
        <w:tabs>
          <w:tab w:val="clear" w:pos="720"/>
          <w:tab w:val="left" w:pos="1620"/>
        </w:tabs>
        <w:ind w:left="1710"/>
        <w:rPr>
          <w:i/>
        </w:rPr>
      </w:pPr>
      <w:r w:rsidRPr="00C60AD1">
        <w:rPr>
          <w:i/>
        </w:rPr>
        <w:t>1. For the purposes of tariff, depreciation shall be computed in the following manner, namely:</w:t>
      </w:r>
    </w:p>
    <w:p w:rsidR="00C34658" w:rsidRPr="00C60AD1" w:rsidRDefault="00C34658" w:rsidP="00C34658">
      <w:pPr>
        <w:pStyle w:val="Heading3"/>
        <w:numPr>
          <w:ilvl w:val="0"/>
          <w:numId w:val="0"/>
        </w:numPr>
        <w:tabs>
          <w:tab w:val="clear" w:pos="720"/>
          <w:tab w:val="left" w:pos="1620"/>
        </w:tabs>
        <w:ind w:left="1710"/>
        <w:rPr>
          <w:i/>
        </w:rPr>
      </w:pPr>
      <w:r w:rsidRPr="00C60AD1">
        <w:rPr>
          <w:i/>
        </w:rPr>
        <w:t xml:space="preserve">a. The value base for the purpose of depreciation shall be the historical cost as provided in the Fixed Assets Register, excluding consumer </w:t>
      </w:r>
      <w:r w:rsidRPr="00C60AD1">
        <w:rPr>
          <w:i/>
        </w:rPr>
        <w:lastRenderedPageBreak/>
        <w:t>contribution or capital subsidy/grant utilized for capitalization of the assets.</w:t>
      </w:r>
    </w:p>
    <w:p w:rsidR="00C34658" w:rsidRPr="00C60AD1" w:rsidRDefault="00C34658" w:rsidP="00C34658">
      <w:pPr>
        <w:pStyle w:val="Heading3"/>
        <w:numPr>
          <w:ilvl w:val="0"/>
          <w:numId w:val="0"/>
        </w:numPr>
        <w:tabs>
          <w:tab w:val="clear" w:pos="720"/>
          <w:tab w:val="left" w:pos="1620"/>
        </w:tabs>
        <w:ind w:left="1710"/>
        <w:rPr>
          <w:i/>
        </w:rPr>
      </w:pPr>
      <w:r w:rsidRPr="00C60AD1">
        <w:rPr>
          <w:i/>
        </w:rPr>
        <w:t>b. Depreciation shall be calculated annually at the rates specified in the Annexure - B.</w:t>
      </w:r>
    </w:p>
    <w:p w:rsidR="00C34658" w:rsidRPr="00C60AD1" w:rsidRDefault="00C34658" w:rsidP="00C34658">
      <w:pPr>
        <w:pStyle w:val="Heading3"/>
        <w:numPr>
          <w:ilvl w:val="0"/>
          <w:numId w:val="0"/>
        </w:numPr>
        <w:tabs>
          <w:tab w:val="clear" w:pos="720"/>
          <w:tab w:val="left" w:pos="1620"/>
        </w:tabs>
        <w:ind w:left="1710"/>
        <w:rPr>
          <w:i/>
        </w:rPr>
      </w:pPr>
      <w:r w:rsidRPr="00C60AD1">
        <w:rPr>
          <w:i/>
        </w:rPr>
        <w:t>c. The residual value of the asset shall be considered as 10% and depreciation shall be allowed up to maximum of 90% of the historical capital cost of the asset. Land is not a depreciable asset and its cost shall be excluded from the capital cost while computing 90% of the historical cost of the asset.</w:t>
      </w:r>
    </w:p>
    <w:p w:rsidR="00C34658" w:rsidRPr="00C60AD1" w:rsidRDefault="00C34658" w:rsidP="00C34658">
      <w:pPr>
        <w:pStyle w:val="Heading3"/>
        <w:numPr>
          <w:ilvl w:val="0"/>
          <w:numId w:val="0"/>
        </w:numPr>
        <w:tabs>
          <w:tab w:val="clear" w:pos="720"/>
          <w:tab w:val="left" w:pos="1620"/>
        </w:tabs>
        <w:ind w:left="1710"/>
        <w:rPr>
          <w:i/>
        </w:rPr>
      </w:pPr>
      <w:r w:rsidRPr="00C60AD1">
        <w:rPr>
          <w:i/>
        </w:rPr>
        <w:t>d. On repayment of entire loan, the remaining depreciable value shall be spread over the balance useful life of the asset.</w:t>
      </w:r>
    </w:p>
    <w:p w:rsidR="00C34658" w:rsidRPr="00C60AD1" w:rsidRDefault="00C34658" w:rsidP="00C34658">
      <w:pPr>
        <w:pStyle w:val="Heading3"/>
        <w:numPr>
          <w:ilvl w:val="0"/>
          <w:numId w:val="0"/>
        </w:numPr>
        <w:tabs>
          <w:tab w:val="clear" w:pos="720"/>
          <w:tab w:val="left" w:pos="1620"/>
        </w:tabs>
        <w:ind w:left="1710"/>
        <w:rPr>
          <w:i/>
        </w:rPr>
      </w:pPr>
      <w:r w:rsidRPr="00C60AD1">
        <w:rPr>
          <w:i/>
        </w:rPr>
        <w:t>e. Depreciation shall be chargeable from the first year of operation. In case of operation of the asset for part of the year, depreciation shall be charged on pro-rata basis.</w:t>
      </w:r>
    </w:p>
    <w:p w:rsidR="00C34658" w:rsidRPr="00C60AD1" w:rsidRDefault="00C34658" w:rsidP="00C34658">
      <w:pPr>
        <w:pStyle w:val="Heading3"/>
        <w:numPr>
          <w:ilvl w:val="0"/>
          <w:numId w:val="0"/>
        </w:numPr>
        <w:tabs>
          <w:tab w:val="clear" w:pos="720"/>
          <w:tab w:val="left" w:pos="1620"/>
        </w:tabs>
        <w:ind w:left="1710"/>
      </w:pPr>
      <w:r w:rsidRPr="00C60AD1">
        <w:rPr>
          <w:i/>
        </w:rPr>
        <w:t>Provided that where the Fixed Assets Register is not maintained, the Commission shall allow only as much depreciation as it may consider appropriate.”</w:t>
      </w:r>
    </w:p>
    <w:p w:rsidR="00D5771F" w:rsidRDefault="00C34658">
      <w:pPr>
        <w:pStyle w:val="Heading3"/>
        <w:tabs>
          <w:tab w:val="clear" w:pos="720"/>
        </w:tabs>
        <w:spacing w:after="240"/>
        <w:ind w:left="993" w:hanging="993"/>
      </w:pPr>
      <w:r w:rsidRPr="00C60AD1">
        <w:t xml:space="preserve">The Commission in its deficiency note asked Petitioner to submit the basis of considering the weighted average depreciation rate of 7.84% for computing the depreciation for FY </w:t>
      </w:r>
      <w:r>
        <w:t>2016-17</w:t>
      </w:r>
      <w:r w:rsidRPr="00C60AD1">
        <w:t xml:space="preserve">. The Petitioner in its reply submitted that the Distribution Tariff Regulations, 2006 provides for a depreciation rate of 7.84% in respect of lines and distribution system. The Petitioner further submitted that in the Tariff Order for </w:t>
      </w:r>
      <w:r>
        <w:t>FY 2015-16</w:t>
      </w:r>
      <w:r w:rsidRPr="00C60AD1">
        <w:t xml:space="preserve">, the Commission had considered a weighted average depreciation rate of 7.84%, and hence, it has considered the same for FY </w:t>
      </w:r>
      <w:r>
        <w:t>2016-17</w:t>
      </w:r>
      <w:r w:rsidRPr="00C60AD1">
        <w:t xml:space="preserve">. </w:t>
      </w:r>
    </w:p>
    <w:p w:rsidR="00D5771F" w:rsidRDefault="00C34658">
      <w:pPr>
        <w:pStyle w:val="Heading3"/>
        <w:tabs>
          <w:tab w:val="clear" w:pos="720"/>
        </w:tabs>
        <w:spacing w:after="240"/>
        <w:ind w:left="993" w:hanging="993"/>
      </w:pPr>
      <w:r w:rsidRPr="008B0C65">
        <w:t xml:space="preserve">The depreciation rate as applicable for different class of assets have to be applied for computing the depreciation as per the Annexure–B of Distribution Tariff Regulations, 2006. However, as the Petitioner has not been able to submit the class wise details of its assets, </w:t>
      </w:r>
      <w:r w:rsidRPr="005A72F6">
        <w:t xml:space="preserve">the Commission has computed deprecation for FY 2016-17 at a weighted average rate of 7.84% as considered by the Commission in its Order dated </w:t>
      </w:r>
      <w:r w:rsidRPr="00FA7B1E">
        <w:t>June</w:t>
      </w:r>
      <w:r w:rsidRPr="005A72F6">
        <w:t>1</w:t>
      </w:r>
      <w:r w:rsidRPr="00FA7B1E">
        <w:t>8</w:t>
      </w:r>
      <w:r w:rsidRPr="005A72F6">
        <w:t>, 201</w:t>
      </w:r>
      <w:r w:rsidRPr="00FA7B1E">
        <w:t>5</w:t>
      </w:r>
      <w:r w:rsidRPr="005A72F6">
        <w:t xml:space="preserve"> and also claimed by the Petitioner.</w:t>
      </w:r>
    </w:p>
    <w:p w:rsidR="00D5771F" w:rsidRDefault="00C34658">
      <w:pPr>
        <w:pStyle w:val="Heading3"/>
        <w:tabs>
          <w:tab w:val="clear" w:pos="720"/>
        </w:tabs>
        <w:spacing w:after="240"/>
        <w:ind w:left="993" w:hanging="993"/>
      </w:pPr>
      <w:r w:rsidRPr="008B0C65">
        <w:t xml:space="preserve">For the purpose of computing depreciation, the Commission has considered the GFA base as per audited accounts up to FY 2013-14 and has subsequently </w:t>
      </w:r>
      <w:r w:rsidRPr="008B0C65">
        <w:lastRenderedPageBreak/>
        <w:t>added the yearly capitalisations for FY 2014-15 as per the provisional accounts to arrive at the opening balance of the GFA for FY 2015-16. Opening and Closing GFA for FY 2016-17 has been estimated based on the capitalisation considered by the Commission for FY 2015-16 and FY 2016-17.</w:t>
      </w:r>
    </w:p>
    <w:p w:rsidR="00D5771F" w:rsidRDefault="00C34658">
      <w:pPr>
        <w:pStyle w:val="Heading3"/>
        <w:tabs>
          <w:tab w:val="clear" w:pos="720"/>
        </w:tabs>
        <w:spacing w:after="240"/>
        <w:ind w:left="993" w:hanging="993"/>
      </w:pPr>
      <w:r w:rsidRPr="008B0C65">
        <w:t>The Commission has computed the depreciation only on the depreciable asset base and has excluded the non-depreciable assets such as land, land rights, etc</w:t>
      </w:r>
      <w:r w:rsidRPr="0081428E">
        <w:t>.</w:t>
      </w:r>
    </w:p>
    <w:p w:rsidR="00D5771F" w:rsidRDefault="00C34658">
      <w:pPr>
        <w:pStyle w:val="Heading3"/>
        <w:tabs>
          <w:tab w:val="clear" w:pos="720"/>
        </w:tabs>
        <w:spacing w:after="240"/>
        <w:ind w:left="993" w:hanging="993"/>
      </w:pPr>
      <w:r w:rsidRPr="00C60AD1">
        <w:t xml:space="preserve">Considering the above philosophy and total capitalization approved by the Commission for FY </w:t>
      </w:r>
      <w:r>
        <w:t>2016-17</w:t>
      </w:r>
      <w:r w:rsidRPr="00C60AD1">
        <w:t>, the GFA base approved by the Commission is given in the Table below:</w:t>
      </w:r>
    </w:p>
    <w:p w:rsidR="00C34658" w:rsidRPr="007057CE" w:rsidRDefault="006C63AF" w:rsidP="00C34658">
      <w:pPr>
        <w:jc w:val="center"/>
        <w:rPr>
          <w:rFonts w:cstheme="minorHAnsi"/>
          <w:b/>
          <w:sz w:val="22"/>
        </w:rPr>
      </w:pPr>
      <w:bookmarkStart w:id="899" w:name="_Toc395657974"/>
      <w:bookmarkStart w:id="900" w:name="_Toc396574025"/>
      <w:bookmarkStart w:id="901" w:name="_Toc419992321"/>
      <w:bookmarkStart w:id="902" w:name="_Toc453367703"/>
      <w:bookmarkStart w:id="903" w:name="_Toc457604074"/>
      <w:bookmarkEnd w:id="895"/>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5</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58</w:t>
      </w:r>
      <w:r w:rsidR="009741CA" w:rsidRPr="006C63AF">
        <w:rPr>
          <w:rFonts w:cstheme="minorHAnsi"/>
          <w:b/>
          <w:sz w:val="22"/>
        </w:rPr>
        <w:fldChar w:fldCharType="end"/>
      </w:r>
      <w:r w:rsidRPr="006C63AF">
        <w:rPr>
          <w:rFonts w:cstheme="minorHAnsi"/>
          <w:b/>
          <w:sz w:val="22"/>
        </w:rPr>
        <w:t>: GROSS FIXED ASSETS FOR FY 2016-17 (Rs. Crore)</w:t>
      </w:r>
      <w:bookmarkEnd w:id="896"/>
      <w:bookmarkEnd w:id="897"/>
      <w:bookmarkEnd w:id="898"/>
      <w:bookmarkEnd w:id="899"/>
      <w:bookmarkEnd w:id="900"/>
      <w:bookmarkEnd w:id="901"/>
      <w:bookmarkEnd w:id="902"/>
      <w:bookmarkEnd w:id="903"/>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248"/>
        <w:gridCol w:w="1621"/>
        <w:gridCol w:w="1532"/>
        <w:gridCol w:w="1484"/>
      </w:tblGrid>
      <w:tr w:rsidR="00C34658" w:rsidRPr="0081428E" w:rsidTr="00AA3DF1">
        <w:trPr>
          <w:trHeight w:val="206"/>
          <w:tblHeader/>
        </w:trPr>
        <w:tc>
          <w:tcPr>
            <w:tcW w:w="2391" w:type="pct"/>
            <w:shd w:val="clear" w:color="000000" w:fill="DBE5F1"/>
            <w:hideMark/>
          </w:tcPr>
          <w:p w:rsidR="00603835" w:rsidRDefault="00C34658">
            <w:pPr>
              <w:spacing w:before="0" w:line="240" w:lineRule="auto"/>
              <w:jc w:val="center"/>
              <w:rPr>
                <w:rFonts w:asciiTheme="minorHAnsi" w:hAnsiTheme="minorHAnsi"/>
                <w:b/>
                <w:sz w:val="22"/>
                <w:szCs w:val="22"/>
              </w:rPr>
            </w:pPr>
            <w:r w:rsidRPr="0081428E">
              <w:rPr>
                <w:rFonts w:asciiTheme="minorHAnsi" w:hAnsiTheme="minorHAnsi"/>
                <w:b/>
                <w:sz w:val="22"/>
                <w:szCs w:val="22"/>
              </w:rPr>
              <w:t>Particulars</w:t>
            </w:r>
          </w:p>
        </w:tc>
        <w:tc>
          <w:tcPr>
            <w:tcW w:w="912" w:type="pct"/>
            <w:shd w:val="clear" w:color="000000" w:fill="DBE5F1"/>
            <w:noWrap/>
            <w:hideMark/>
          </w:tcPr>
          <w:p w:rsidR="00603835" w:rsidRDefault="00C34658">
            <w:pPr>
              <w:spacing w:before="0" w:line="240" w:lineRule="auto"/>
              <w:jc w:val="center"/>
              <w:rPr>
                <w:rFonts w:asciiTheme="minorHAnsi" w:hAnsiTheme="minorHAnsi"/>
                <w:b/>
                <w:color w:val="000000"/>
                <w:sz w:val="22"/>
                <w:szCs w:val="22"/>
              </w:rPr>
            </w:pPr>
            <w:r w:rsidRPr="0081428E">
              <w:rPr>
                <w:rFonts w:asciiTheme="minorHAnsi" w:hAnsiTheme="minorHAnsi"/>
                <w:b/>
                <w:color w:val="000000"/>
                <w:sz w:val="22"/>
                <w:szCs w:val="22"/>
              </w:rPr>
              <w:t>Derivation</w:t>
            </w:r>
          </w:p>
        </w:tc>
        <w:tc>
          <w:tcPr>
            <w:tcW w:w="862" w:type="pct"/>
            <w:shd w:val="clear" w:color="000000" w:fill="DBE5F1"/>
            <w:noWrap/>
            <w:hideMark/>
          </w:tcPr>
          <w:p w:rsidR="00603835" w:rsidRDefault="00C34658">
            <w:pPr>
              <w:spacing w:before="0" w:line="240" w:lineRule="auto"/>
              <w:jc w:val="center"/>
              <w:rPr>
                <w:rFonts w:asciiTheme="minorHAnsi" w:hAnsiTheme="minorHAnsi"/>
                <w:b/>
                <w:color w:val="000000"/>
                <w:sz w:val="22"/>
                <w:szCs w:val="22"/>
              </w:rPr>
            </w:pPr>
            <w:r w:rsidRPr="0081428E">
              <w:rPr>
                <w:rFonts w:asciiTheme="minorHAnsi" w:hAnsiTheme="minorHAnsi"/>
                <w:b/>
                <w:color w:val="000000"/>
                <w:sz w:val="22"/>
                <w:szCs w:val="22"/>
              </w:rPr>
              <w:t>ARR Petition</w:t>
            </w:r>
          </w:p>
        </w:tc>
        <w:tc>
          <w:tcPr>
            <w:tcW w:w="835" w:type="pct"/>
            <w:shd w:val="clear" w:color="000000" w:fill="DBE5F1"/>
            <w:hideMark/>
          </w:tcPr>
          <w:p w:rsidR="00603835" w:rsidRDefault="00C34658">
            <w:pPr>
              <w:spacing w:before="0" w:line="240" w:lineRule="auto"/>
              <w:jc w:val="center"/>
              <w:rPr>
                <w:rFonts w:asciiTheme="minorHAnsi" w:hAnsiTheme="minorHAnsi"/>
                <w:b/>
                <w:color w:val="000000"/>
                <w:sz w:val="22"/>
                <w:szCs w:val="22"/>
              </w:rPr>
            </w:pPr>
            <w:r w:rsidRPr="0081428E">
              <w:rPr>
                <w:rFonts w:asciiTheme="minorHAnsi" w:hAnsiTheme="minorHAnsi"/>
                <w:b/>
                <w:color w:val="000000"/>
                <w:sz w:val="22"/>
                <w:szCs w:val="22"/>
              </w:rPr>
              <w:t>FY 2016-17</w:t>
            </w:r>
            <w:r w:rsidRPr="0081428E">
              <w:rPr>
                <w:rFonts w:asciiTheme="minorHAnsi" w:hAnsiTheme="minorHAnsi"/>
                <w:b/>
                <w:color w:val="000000"/>
                <w:sz w:val="22"/>
                <w:szCs w:val="22"/>
              </w:rPr>
              <w:br/>
              <w:t>Approved</w:t>
            </w:r>
          </w:p>
        </w:tc>
      </w:tr>
      <w:tr w:rsidR="00C34658" w:rsidRPr="0081428E" w:rsidTr="00D55642">
        <w:trPr>
          <w:trHeight w:val="300"/>
        </w:trPr>
        <w:tc>
          <w:tcPr>
            <w:tcW w:w="2391" w:type="pct"/>
            <w:shd w:val="clear" w:color="auto" w:fill="auto"/>
            <w:hideMark/>
          </w:tcPr>
          <w:p w:rsidR="00C34658" w:rsidRDefault="00C34658" w:rsidP="00D55642">
            <w:pPr>
              <w:spacing w:before="0" w:line="240" w:lineRule="auto"/>
              <w:jc w:val="left"/>
              <w:rPr>
                <w:rFonts w:asciiTheme="minorHAnsi" w:hAnsiTheme="minorHAnsi"/>
                <w:color w:val="333399"/>
                <w:kern w:val="32"/>
                <w:sz w:val="22"/>
                <w:szCs w:val="22"/>
              </w:rPr>
            </w:pPr>
            <w:r w:rsidRPr="0081428E">
              <w:rPr>
                <w:rFonts w:asciiTheme="minorHAnsi" w:hAnsiTheme="minorHAnsi"/>
                <w:sz w:val="22"/>
                <w:szCs w:val="22"/>
              </w:rPr>
              <w:t>Depreciation Rate</w:t>
            </w:r>
          </w:p>
        </w:tc>
        <w:tc>
          <w:tcPr>
            <w:tcW w:w="912" w:type="pct"/>
            <w:shd w:val="clear" w:color="auto" w:fill="auto"/>
            <w:hideMark/>
          </w:tcPr>
          <w:p w:rsidR="00C34658" w:rsidRDefault="00C34658" w:rsidP="00D55642">
            <w:pPr>
              <w:spacing w:before="0" w:line="240" w:lineRule="auto"/>
              <w:jc w:val="center"/>
              <w:rPr>
                <w:rFonts w:asciiTheme="minorHAnsi" w:hAnsiTheme="minorHAnsi"/>
                <w:color w:val="333399"/>
                <w:kern w:val="32"/>
                <w:sz w:val="22"/>
                <w:szCs w:val="22"/>
              </w:rPr>
            </w:pPr>
            <w:r w:rsidRPr="0081428E">
              <w:rPr>
                <w:rFonts w:asciiTheme="minorHAnsi" w:hAnsiTheme="minorHAnsi"/>
                <w:sz w:val="22"/>
                <w:szCs w:val="22"/>
              </w:rPr>
              <w:t>A</w:t>
            </w:r>
          </w:p>
        </w:tc>
        <w:tc>
          <w:tcPr>
            <w:tcW w:w="862" w:type="pct"/>
            <w:shd w:val="clear" w:color="auto" w:fill="auto"/>
            <w:vAlign w:val="center"/>
            <w:hideMark/>
          </w:tcPr>
          <w:p w:rsidR="00C34658" w:rsidRDefault="00C34658" w:rsidP="00D55642">
            <w:pPr>
              <w:spacing w:before="0" w:line="240" w:lineRule="auto"/>
              <w:jc w:val="right"/>
              <w:rPr>
                <w:rFonts w:asciiTheme="minorHAnsi" w:hAnsiTheme="minorHAnsi" w:cs="Arial"/>
                <w:bCs/>
                <w:caps/>
                <w:kern w:val="32"/>
                <w:sz w:val="22"/>
                <w:szCs w:val="22"/>
              </w:rPr>
            </w:pPr>
            <w:r w:rsidRPr="008B0C65">
              <w:rPr>
                <w:rFonts w:asciiTheme="minorHAnsi" w:hAnsiTheme="minorHAnsi"/>
                <w:sz w:val="22"/>
                <w:szCs w:val="22"/>
              </w:rPr>
              <w:t>7.84%</w:t>
            </w:r>
          </w:p>
        </w:tc>
        <w:tc>
          <w:tcPr>
            <w:tcW w:w="835" w:type="pct"/>
            <w:shd w:val="clear" w:color="auto" w:fill="auto"/>
            <w:noWrap/>
            <w:vAlign w:val="center"/>
            <w:hideMark/>
          </w:tcPr>
          <w:p w:rsidR="00C34658" w:rsidRDefault="00C34658" w:rsidP="00D55642">
            <w:pPr>
              <w:spacing w:before="0" w:line="240" w:lineRule="auto"/>
              <w:jc w:val="right"/>
              <w:rPr>
                <w:rFonts w:asciiTheme="minorHAnsi" w:hAnsiTheme="minorHAnsi" w:cs="Arial"/>
                <w:bCs/>
                <w:caps/>
                <w:color w:val="000000"/>
                <w:kern w:val="32"/>
                <w:sz w:val="22"/>
                <w:szCs w:val="22"/>
              </w:rPr>
            </w:pPr>
            <w:r w:rsidRPr="008B0C65">
              <w:rPr>
                <w:rFonts w:asciiTheme="minorHAnsi" w:hAnsiTheme="minorHAnsi"/>
                <w:color w:val="000000"/>
                <w:sz w:val="22"/>
                <w:szCs w:val="22"/>
              </w:rPr>
              <w:t>7.84%</w:t>
            </w:r>
          </w:p>
        </w:tc>
      </w:tr>
      <w:tr w:rsidR="00C34658" w:rsidRPr="0081428E" w:rsidTr="00D55642">
        <w:trPr>
          <w:trHeight w:val="300"/>
        </w:trPr>
        <w:tc>
          <w:tcPr>
            <w:tcW w:w="2391" w:type="pct"/>
            <w:shd w:val="clear" w:color="auto" w:fill="auto"/>
            <w:hideMark/>
          </w:tcPr>
          <w:p w:rsidR="00C34658" w:rsidRDefault="00C34658" w:rsidP="00D55642">
            <w:pPr>
              <w:spacing w:before="0" w:line="240" w:lineRule="auto"/>
              <w:jc w:val="left"/>
              <w:rPr>
                <w:rFonts w:asciiTheme="minorHAnsi" w:hAnsiTheme="minorHAnsi"/>
                <w:sz w:val="22"/>
                <w:szCs w:val="22"/>
              </w:rPr>
            </w:pPr>
            <w:r w:rsidRPr="0081428E">
              <w:rPr>
                <w:rFonts w:asciiTheme="minorHAnsi" w:hAnsiTheme="minorHAnsi"/>
                <w:sz w:val="22"/>
                <w:szCs w:val="22"/>
              </w:rPr>
              <w:t>Opening GFA as on 1</w:t>
            </w:r>
            <w:r w:rsidRPr="0081428E">
              <w:rPr>
                <w:rFonts w:asciiTheme="minorHAnsi" w:hAnsiTheme="minorHAnsi"/>
                <w:sz w:val="22"/>
                <w:szCs w:val="22"/>
                <w:vertAlign w:val="superscript"/>
              </w:rPr>
              <w:t>st</w:t>
            </w:r>
            <w:r w:rsidRPr="0081428E">
              <w:rPr>
                <w:rFonts w:asciiTheme="minorHAnsi" w:hAnsiTheme="minorHAnsi"/>
                <w:sz w:val="22"/>
                <w:szCs w:val="22"/>
              </w:rPr>
              <w:t xml:space="preserve"> April (Depreciable)</w:t>
            </w:r>
          </w:p>
        </w:tc>
        <w:tc>
          <w:tcPr>
            <w:tcW w:w="912" w:type="pct"/>
            <w:shd w:val="clear" w:color="auto" w:fill="auto"/>
            <w:hideMark/>
          </w:tcPr>
          <w:p w:rsidR="00C34658" w:rsidRDefault="00C34658" w:rsidP="00D55642">
            <w:pPr>
              <w:spacing w:before="0" w:line="240" w:lineRule="auto"/>
              <w:jc w:val="center"/>
              <w:rPr>
                <w:rFonts w:asciiTheme="minorHAnsi" w:hAnsiTheme="minorHAnsi"/>
                <w:sz w:val="22"/>
                <w:szCs w:val="22"/>
              </w:rPr>
            </w:pPr>
            <w:r w:rsidRPr="0081428E">
              <w:rPr>
                <w:rFonts w:asciiTheme="minorHAnsi" w:hAnsiTheme="minorHAnsi"/>
                <w:sz w:val="22"/>
                <w:szCs w:val="22"/>
              </w:rPr>
              <w:t>B</w:t>
            </w:r>
          </w:p>
        </w:tc>
        <w:tc>
          <w:tcPr>
            <w:tcW w:w="862" w:type="pct"/>
            <w:vMerge w:val="restart"/>
            <w:shd w:val="clear" w:color="auto" w:fill="auto"/>
            <w:vAlign w:val="center"/>
            <w:hideMark/>
          </w:tcPr>
          <w:p w:rsidR="00C34658" w:rsidRDefault="00C34658" w:rsidP="00D55642">
            <w:pPr>
              <w:spacing w:before="0" w:line="240" w:lineRule="auto"/>
              <w:jc w:val="right"/>
              <w:rPr>
                <w:rFonts w:asciiTheme="minorHAnsi" w:hAnsiTheme="minorHAnsi" w:cs="Calibri"/>
                <w:sz w:val="22"/>
                <w:szCs w:val="22"/>
              </w:rPr>
            </w:pPr>
            <w:r w:rsidRPr="008B0C65">
              <w:rPr>
                <w:rFonts w:asciiTheme="minorHAnsi" w:hAnsiTheme="minorHAnsi"/>
                <w:sz w:val="22"/>
                <w:szCs w:val="22"/>
              </w:rPr>
              <w:t>6</w:t>
            </w:r>
            <w:r>
              <w:rPr>
                <w:rFonts w:asciiTheme="minorHAnsi" w:hAnsiTheme="minorHAnsi"/>
                <w:sz w:val="22"/>
                <w:szCs w:val="22"/>
              </w:rPr>
              <w:t>,</w:t>
            </w:r>
            <w:r w:rsidRPr="008B0C65">
              <w:rPr>
                <w:rFonts w:asciiTheme="minorHAnsi" w:hAnsiTheme="minorHAnsi"/>
                <w:sz w:val="22"/>
                <w:szCs w:val="22"/>
              </w:rPr>
              <w:t>845.8</w:t>
            </w:r>
            <w:r>
              <w:rPr>
                <w:rFonts w:asciiTheme="minorHAnsi" w:hAnsiTheme="minorHAnsi"/>
                <w:sz w:val="22"/>
                <w:szCs w:val="22"/>
              </w:rPr>
              <w:t>0</w:t>
            </w:r>
          </w:p>
        </w:tc>
        <w:tc>
          <w:tcPr>
            <w:tcW w:w="835" w:type="pct"/>
            <w:shd w:val="clear" w:color="auto" w:fill="auto"/>
            <w:noWrap/>
            <w:vAlign w:val="center"/>
            <w:hideMark/>
          </w:tcPr>
          <w:p w:rsidR="00C34658"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6,580.6</w:t>
            </w:r>
            <w:r>
              <w:rPr>
                <w:rFonts w:asciiTheme="minorHAnsi" w:hAnsiTheme="minorHAnsi"/>
                <w:color w:val="000000"/>
                <w:sz w:val="22"/>
                <w:szCs w:val="22"/>
              </w:rPr>
              <w:t>6</w:t>
            </w:r>
          </w:p>
        </w:tc>
      </w:tr>
      <w:tr w:rsidR="00C34658" w:rsidRPr="0081428E" w:rsidTr="00D55642">
        <w:trPr>
          <w:trHeight w:val="300"/>
        </w:trPr>
        <w:tc>
          <w:tcPr>
            <w:tcW w:w="2391" w:type="pct"/>
            <w:shd w:val="clear" w:color="auto" w:fill="auto"/>
            <w:hideMark/>
          </w:tcPr>
          <w:p w:rsidR="00C34658" w:rsidRDefault="00C34658" w:rsidP="00D55642">
            <w:pPr>
              <w:spacing w:before="0" w:line="240" w:lineRule="auto"/>
              <w:jc w:val="left"/>
              <w:rPr>
                <w:rFonts w:asciiTheme="minorHAnsi" w:hAnsiTheme="minorHAnsi"/>
                <w:sz w:val="22"/>
                <w:szCs w:val="22"/>
              </w:rPr>
            </w:pPr>
            <w:r w:rsidRPr="0081428E">
              <w:rPr>
                <w:rFonts w:asciiTheme="minorHAnsi" w:hAnsiTheme="minorHAnsi"/>
                <w:sz w:val="22"/>
                <w:szCs w:val="22"/>
              </w:rPr>
              <w:t>Opening GFA as on 1</w:t>
            </w:r>
            <w:r w:rsidRPr="0081428E">
              <w:rPr>
                <w:rFonts w:asciiTheme="minorHAnsi" w:hAnsiTheme="minorHAnsi"/>
                <w:sz w:val="22"/>
                <w:szCs w:val="22"/>
                <w:vertAlign w:val="superscript"/>
              </w:rPr>
              <w:t>st</w:t>
            </w:r>
            <w:r w:rsidRPr="0081428E">
              <w:rPr>
                <w:rFonts w:asciiTheme="minorHAnsi" w:hAnsiTheme="minorHAnsi"/>
                <w:sz w:val="22"/>
                <w:szCs w:val="22"/>
              </w:rPr>
              <w:t xml:space="preserve"> April (Non-Depreciable)</w:t>
            </w:r>
          </w:p>
        </w:tc>
        <w:tc>
          <w:tcPr>
            <w:tcW w:w="912" w:type="pct"/>
            <w:shd w:val="clear" w:color="auto" w:fill="auto"/>
            <w:hideMark/>
          </w:tcPr>
          <w:p w:rsidR="00C34658" w:rsidRDefault="00C34658" w:rsidP="00D55642">
            <w:pPr>
              <w:spacing w:before="0" w:line="240" w:lineRule="auto"/>
              <w:jc w:val="center"/>
              <w:rPr>
                <w:rFonts w:asciiTheme="minorHAnsi" w:hAnsiTheme="minorHAnsi"/>
                <w:sz w:val="22"/>
                <w:szCs w:val="22"/>
              </w:rPr>
            </w:pPr>
            <w:r w:rsidRPr="0081428E">
              <w:rPr>
                <w:rFonts w:asciiTheme="minorHAnsi" w:hAnsiTheme="minorHAnsi"/>
                <w:sz w:val="22"/>
                <w:szCs w:val="22"/>
              </w:rPr>
              <w:t>C</w:t>
            </w:r>
          </w:p>
        </w:tc>
        <w:tc>
          <w:tcPr>
            <w:tcW w:w="862" w:type="pct"/>
            <w:vMerge/>
            <w:shd w:val="clear" w:color="auto" w:fill="auto"/>
            <w:vAlign w:val="center"/>
            <w:hideMark/>
          </w:tcPr>
          <w:p w:rsidR="00C34658" w:rsidRDefault="00C34658" w:rsidP="00D55642">
            <w:pPr>
              <w:spacing w:before="0" w:line="240" w:lineRule="auto"/>
              <w:jc w:val="right"/>
              <w:rPr>
                <w:rFonts w:asciiTheme="minorHAnsi" w:hAnsiTheme="minorHAnsi" w:cs="Arial"/>
                <w:b/>
                <w:bCs/>
                <w:caps/>
                <w:kern w:val="32"/>
                <w:sz w:val="22"/>
                <w:szCs w:val="22"/>
              </w:rPr>
            </w:pPr>
          </w:p>
        </w:tc>
        <w:tc>
          <w:tcPr>
            <w:tcW w:w="835" w:type="pct"/>
            <w:shd w:val="clear" w:color="auto" w:fill="auto"/>
            <w:noWrap/>
            <w:vAlign w:val="center"/>
            <w:hideMark/>
          </w:tcPr>
          <w:p w:rsidR="00C34658" w:rsidRDefault="00C34658" w:rsidP="00D55642">
            <w:pPr>
              <w:spacing w:before="0" w:line="240" w:lineRule="auto"/>
              <w:jc w:val="right"/>
              <w:rPr>
                <w:rFonts w:asciiTheme="minorHAnsi" w:hAnsiTheme="minorHAnsi"/>
                <w:color w:val="000000"/>
                <w:sz w:val="22"/>
                <w:szCs w:val="22"/>
              </w:rPr>
            </w:pPr>
            <w:r w:rsidRPr="008B0C65">
              <w:rPr>
                <w:rFonts w:asciiTheme="minorHAnsi" w:hAnsiTheme="minorHAnsi"/>
                <w:color w:val="000000"/>
                <w:sz w:val="22"/>
                <w:szCs w:val="22"/>
              </w:rPr>
              <w:t xml:space="preserve"> 0.06 </w:t>
            </w:r>
          </w:p>
        </w:tc>
      </w:tr>
      <w:tr w:rsidR="00C34658" w:rsidRPr="0081428E" w:rsidTr="00D55642">
        <w:trPr>
          <w:trHeight w:val="300"/>
        </w:trPr>
        <w:tc>
          <w:tcPr>
            <w:tcW w:w="2391" w:type="pct"/>
            <w:shd w:val="clear" w:color="auto" w:fill="auto"/>
            <w:hideMark/>
          </w:tcPr>
          <w:p w:rsidR="00C34658" w:rsidRDefault="00C34658" w:rsidP="00D55642">
            <w:pPr>
              <w:spacing w:before="0" w:line="240" w:lineRule="auto"/>
              <w:jc w:val="left"/>
              <w:rPr>
                <w:rFonts w:asciiTheme="minorHAnsi" w:hAnsiTheme="minorHAnsi"/>
                <w:sz w:val="22"/>
                <w:szCs w:val="22"/>
              </w:rPr>
            </w:pPr>
            <w:r w:rsidRPr="0081428E">
              <w:rPr>
                <w:rFonts w:asciiTheme="minorHAnsi" w:hAnsiTheme="minorHAnsi"/>
                <w:sz w:val="22"/>
                <w:szCs w:val="22"/>
              </w:rPr>
              <w:t>Total Opening GFA as on 1</w:t>
            </w:r>
            <w:r w:rsidRPr="0081428E">
              <w:rPr>
                <w:rFonts w:asciiTheme="minorHAnsi" w:hAnsiTheme="minorHAnsi"/>
                <w:sz w:val="22"/>
                <w:szCs w:val="22"/>
                <w:vertAlign w:val="superscript"/>
              </w:rPr>
              <w:t>st</w:t>
            </w:r>
            <w:r w:rsidRPr="0081428E">
              <w:rPr>
                <w:rFonts w:asciiTheme="minorHAnsi" w:hAnsiTheme="minorHAnsi"/>
                <w:sz w:val="22"/>
                <w:szCs w:val="22"/>
              </w:rPr>
              <w:t xml:space="preserve"> April</w:t>
            </w:r>
          </w:p>
        </w:tc>
        <w:tc>
          <w:tcPr>
            <w:tcW w:w="912" w:type="pct"/>
            <w:shd w:val="clear" w:color="auto" w:fill="auto"/>
            <w:hideMark/>
          </w:tcPr>
          <w:p w:rsidR="00C34658" w:rsidRDefault="00C34658" w:rsidP="00D55642">
            <w:pPr>
              <w:spacing w:before="0" w:line="240" w:lineRule="auto"/>
              <w:jc w:val="center"/>
              <w:rPr>
                <w:rFonts w:asciiTheme="minorHAnsi" w:hAnsiTheme="minorHAnsi"/>
                <w:sz w:val="22"/>
                <w:szCs w:val="22"/>
              </w:rPr>
            </w:pPr>
            <w:r w:rsidRPr="0081428E">
              <w:rPr>
                <w:rFonts w:asciiTheme="minorHAnsi" w:hAnsiTheme="minorHAnsi"/>
                <w:sz w:val="22"/>
                <w:szCs w:val="22"/>
              </w:rPr>
              <w:t>D=</w:t>
            </w:r>
            <w:r w:rsidR="00D25949">
              <w:rPr>
                <w:rFonts w:asciiTheme="minorHAnsi" w:hAnsiTheme="minorHAnsi"/>
                <w:sz w:val="22"/>
                <w:szCs w:val="22"/>
              </w:rPr>
              <w:t xml:space="preserve"> </w:t>
            </w:r>
            <w:r w:rsidRPr="0081428E">
              <w:rPr>
                <w:rFonts w:asciiTheme="minorHAnsi" w:hAnsiTheme="minorHAnsi"/>
                <w:sz w:val="22"/>
                <w:szCs w:val="22"/>
              </w:rPr>
              <w:t>B</w:t>
            </w:r>
            <w:r w:rsidR="00D25949">
              <w:rPr>
                <w:rFonts w:asciiTheme="minorHAnsi" w:hAnsiTheme="minorHAnsi"/>
                <w:sz w:val="22"/>
                <w:szCs w:val="22"/>
              </w:rPr>
              <w:t xml:space="preserve"> </w:t>
            </w:r>
            <w:r w:rsidRPr="0081428E">
              <w:rPr>
                <w:rFonts w:asciiTheme="minorHAnsi" w:hAnsiTheme="minorHAnsi"/>
                <w:sz w:val="22"/>
                <w:szCs w:val="22"/>
              </w:rPr>
              <w:t>+</w:t>
            </w:r>
            <w:r w:rsidR="00D25949">
              <w:rPr>
                <w:rFonts w:asciiTheme="minorHAnsi" w:hAnsiTheme="minorHAnsi"/>
                <w:sz w:val="22"/>
                <w:szCs w:val="22"/>
              </w:rPr>
              <w:t xml:space="preserve"> </w:t>
            </w:r>
            <w:r w:rsidRPr="0081428E">
              <w:rPr>
                <w:rFonts w:asciiTheme="minorHAnsi" w:hAnsiTheme="minorHAnsi"/>
                <w:sz w:val="22"/>
                <w:szCs w:val="22"/>
              </w:rPr>
              <w:t>C</w:t>
            </w:r>
          </w:p>
        </w:tc>
        <w:tc>
          <w:tcPr>
            <w:tcW w:w="862" w:type="pct"/>
            <w:shd w:val="clear" w:color="auto" w:fill="auto"/>
            <w:noWrap/>
            <w:vAlign w:val="center"/>
            <w:hideMark/>
          </w:tcPr>
          <w:p w:rsidR="00C34658" w:rsidRDefault="00C34658" w:rsidP="00D55642">
            <w:pPr>
              <w:spacing w:before="0" w:line="240" w:lineRule="auto"/>
              <w:jc w:val="right"/>
              <w:rPr>
                <w:rFonts w:asciiTheme="minorHAnsi" w:hAnsiTheme="minorHAnsi"/>
                <w:color w:val="000000"/>
                <w:sz w:val="22"/>
                <w:szCs w:val="22"/>
              </w:rPr>
            </w:pPr>
            <w:r w:rsidRPr="008B0C65">
              <w:rPr>
                <w:rFonts w:asciiTheme="minorHAnsi" w:hAnsiTheme="minorHAnsi"/>
                <w:b/>
                <w:bCs/>
                <w:color w:val="000000"/>
                <w:sz w:val="22"/>
                <w:szCs w:val="22"/>
              </w:rPr>
              <w:t>6,845.8</w:t>
            </w:r>
            <w:r>
              <w:rPr>
                <w:rFonts w:asciiTheme="minorHAnsi" w:hAnsiTheme="minorHAnsi"/>
                <w:b/>
                <w:bCs/>
                <w:color w:val="000000"/>
                <w:sz w:val="22"/>
                <w:szCs w:val="22"/>
              </w:rPr>
              <w:t>0</w:t>
            </w:r>
          </w:p>
        </w:tc>
        <w:tc>
          <w:tcPr>
            <w:tcW w:w="835" w:type="pct"/>
            <w:shd w:val="clear" w:color="auto" w:fill="auto"/>
            <w:noWrap/>
            <w:vAlign w:val="center"/>
            <w:hideMark/>
          </w:tcPr>
          <w:p w:rsidR="00C34658" w:rsidRDefault="00C34658" w:rsidP="00D55642">
            <w:pPr>
              <w:spacing w:before="0" w:line="240" w:lineRule="auto"/>
              <w:jc w:val="right"/>
              <w:rPr>
                <w:rFonts w:asciiTheme="minorHAnsi" w:hAnsiTheme="minorHAnsi"/>
                <w:color w:val="000000"/>
                <w:sz w:val="22"/>
                <w:szCs w:val="22"/>
              </w:rPr>
            </w:pPr>
            <w:r w:rsidRPr="008B0C65">
              <w:rPr>
                <w:rFonts w:asciiTheme="minorHAnsi" w:hAnsiTheme="minorHAnsi"/>
                <w:b/>
                <w:bCs/>
                <w:color w:val="000000"/>
                <w:sz w:val="22"/>
                <w:szCs w:val="22"/>
              </w:rPr>
              <w:t>6,580.</w:t>
            </w:r>
            <w:r>
              <w:rPr>
                <w:rFonts w:asciiTheme="minorHAnsi" w:hAnsiTheme="minorHAnsi"/>
                <w:b/>
                <w:bCs/>
                <w:color w:val="000000"/>
                <w:sz w:val="22"/>
                <w:szCs w:val="22"/>
              </w:rPr>
              <w:t>72</w:t>
            </w:r>
          </w:p>
        </w:tc>
      </w:tr>
      <w:tr w:rsidR="00C34658" w:rsidRPr="0081428E" w:rsidTr="00D55642">
        <w:trPr>
          <w:trHeight w:val="300"/>
        </w:trPr>
        <w:tc>
          <w:tcPr>
            <w:tcW w:w="2391" w:type="pct"/>
            <w:shd w:val="clear" w:color="auto" w:fill="auto"/>
            <w:hideMark/>
          </w:tcPr>
          <w:p w:rsidR="00C34658" w:rsidRDefault="00C34658" w:rsidP="00D55642">
            <w:pPr>
              <w:spacing w:before="0" w:line="240" w:lineRule="auto"/>
              <w:jc w:val="left"/>
              <w:rPr>
                <w:rFonts w:asciiTheme="minorHAnsi" w:hAnsiTheme="minorHAnsi"/>
                <w:sz w:val="22"/>
                <w:szCs w:val="22"/>
              </w:rPr>
            </w:pPr>
            <w:r w:rsidRPr="0081428E">
              <w:rPr>
                <w:rFonts w:asciiTheme="minorHAnsi" w:hAnsiTheme="minorHAnsi"/>
                <w:sz w:val="22"/>
                <w:szCs w:val="22"/>
              </w:rPr>
              <w:t>Addition to GFA during the year (Depreciable)</w:t>
            </w:r>
          </w:p>
        </w:tc>
        <w:tc>
          <w:tcPr>
            <w:tcW w:w="912" w:type="pct"/>
            <w:shd w:val="clear" w:color="auto" w:fill="auto"/>
            <w:hideMark/>
          </w:tcPr>
          <w:p w:rsidR="00C34658" w:rsidRDefault="00D25949" w:rsidP="00D55642">
            <w:pPr>
              <w:spacing w:before="0" w:line="240" w:lineRule="auto"/>
              <w:jc w:val="center"/>
              <w:rPr>
                <w:rFonts w:asciiTheme="minorHAnsi" w:hAnsiTheme="minorHAnsi"/>
                <w:sz w:val="22"/>
                <w:szCs w:val="22"/>
              </w:rPr>
            </w:pPr>
            <w:r>
              <w:rPr>
                <w:rFonts w:asciiTheme="minorHAnsi" w:hAnsiTheme="minorHAnsi"/>
                <w:sz w:val="22"/>
                <w:szCs w:val="22"/>
              </w:rPr>
              <w:t>E</w:t>
            </w:r>
          </w:p>
        </w:tc>
        <w:tc>
          <w:tcPr>
            <w:tcW w:w="862" w:type="pct"/>
            <w:vMerge w:val="restart"/>
            <w:shd w:val="clear" w:color="auto" w:fill="auto"/>
            <w:vAlign w:val="center"/>
            <w:hideMark/>
          </w:tcPr>
          <w:p w:rsidR="00C34658" w:rsidRDefault="00C34658" w:rsidP="00D55642">
            <w:pPr>
              <w:spacing w:before="0" w:line="240" w:lineRule="auto"/>
              <w:jc w:val="right"/>
              <w:rPr>
                <w:rFonts w:asciiTheme="minorHAnsi" w:hAnsiTheme="minorHAnsi"/>
                <w:sz w:val="22"/>
                <w:szCs w:val="22"/>
              </w:rPr>
            </w:pPr>
            <w:r w:rsidRPr="008B0C65">
              <w:rPr>
                <w:rFonts w:asciiTheme="minorHAnsi" w:hAnsiTheme="minorHAnsi"/>
                <w:sz w:val="22"/>
                <w:szCs w:val="22"/>
              </w:rPr>
              <w:t xml:space="preserve">2,002.94 </w:t>
            </w:r>
          </w:p>
        </w:tc>
        <w:tc>
          <w:tcPr>
            <w:tcW w:w="835" w:type="pct"/>
            <w:shd w:val="clear" w:color="auto" w:fill="auto"/>
            <w:noWrap/>
            <w:vAlign w:val="center"/>
            <w:hideMark/>
          </w:tcPr>
          <w:p w:rsidR="00C34658" w:rsidRDefault="00C34658" w:rsidP="00D55642">
            <w:pPr>
              <w:spacing w:before="0" w:line="240" w:lineRule="auto"/>
              <w:jc w:val="right"/>
              <w:rPr>
                <w:rFonts w:asciiTheme="minorHAnsi" w:hAnsiTheme="minorHAnsi"/>
                <w:color w:val="000000"/>
                <w:sz w:val="22"/>
                <w:szCs w:val="22"/>
              </w:rPr>
            </w:pPr>
            <w:r w:rsidRPr="008B0C65">
              <w:rPr>
                <w:rFonts w:asciiTheme="minorHAnsi" w:hAnsiTheme="minorHAnsi"/>
                <w:color w:val="000000"/>
                <w:sz w:val="22"/>
                <w:szCs w:val="22"/>
              </w:rPr>
              <w:t>1,532.</w:t>
            </w:r>
            <w:r>
              <w:rPr>
                <w:rFonts w:asciiTheme="minorHAnsi" w:hAnsiTheme="minorHAnsi"/>
                <w:color w:val="000000"/>
                <w:sz w:val="22"/>
                <w:szCs w:val="22"/>
              </w:rPr>
              <w:t>89</w:t>
            </w:r>
          </w:p>
        </w:tc>
      </w:tr>
      <w:tr w:rsidR="00C34658" w:rsidRPr="0081428E" w:rsidTr="00D55642">
        <w:trPr>
          <w:trHeight w:val="300"/>
        </w:trPr>
        <w:tc>
          <w:tcPr>
            <w:tcW w:w="2391" w:type="pct"/>
            <w:shd w:val="clear" w:color="auto" w:fill="auto"/>
            <w:hideMark/>
          </w:tcPr>
          <w:p w:rsidR="00C34658" w:rsidRDefault="00C34658" w:rsidP="00D55642">
            <w:pPr>
              <w:spacing w:before="0" w:line="240" w:lineRule="auto"/>
              <w:jc w:val="left"/>
              <w:rPr>
                <w:rFonts w:asciiTheme="minorHAnsi" w:hAnsiTheme="minorHAnsi"/>
                <w:sz w:val="22"/>
                <w:szCs w:val="22"/>
              </w:rPr>
            </w:pPr>
            <w:r w:rsidRPr="0081428E">
              <w:rPr>
                <w:rFonts w:asciiTheme="minorHAnsi" w:hAnsiTheme="minorHAnsi"/>
                <w:sz w:val="22"/>
                <w:szCs w:val="22"/>
              </w:rPr>
              <w:t>Addition to GFA during the year (Non Depreciable)</w:t>
            </w:r>
          </w:p>
        </w:tc>
        <w:tc>
          <w:tcPr>
            <w:tcW w:w="912" w:type="pct"/>
            <w:shd w:val="clear" w:color="auto" w:fill="auto"/>
            <w:hideMark/>
          </w:tcPr>
          <w:p w:rsidR="00C34658" w:rsidRDefault="00D25949" w:rsidP="00D55642">
            <w:pPr>
              <w:spacing w:before="0" w:line="240" w:lineRule="auto"/>
              <w:jc w:val="center"/>
              <w:rPr>
                <w:rFonts w:asciiTheme="minorHAnsi" w:hAnsiTheme="minorHAnsi"/>
                <w:sz w:val="22"/>
                <w:szCs w:val="22"/>
              </w:rPr>
            </w:pPr>
            <w:r>
              <w:rPr>
                <w:rFonts w:asciiTheme="minorHAnsi" w:hAnsiTheme="minorHAnsi"/>
                <w:sz w:val="22"/>
                <w:szCs w:val="22"/>
              </w:rPr>
              <w:t>F</w:t>
            </w:r>
          </w:p>
        </w:tc>
        <w:tc>
          <w:tcPr>
            <w:tcW w:w="862" w:type="pct"/>
            <w:vMerge/>
            <w:shd w:val="clear" w:color="auto" w:fill="auto"/>
            <w:vAlign w:val="center"/>
            <w:hideMark/>
          </w:tcPr>
          <w:p w:rsidR="00C34658" w:rsidRDefault="00C34658" w:rsidP="00D55642">
            <w:pPr>
              <w:spacing w:before="0" w:line="240" w:lineRule="auto"/>
              <w:jc w:val="right"/>
              <w:rPr>
                <w:rFonts w:asciiTheme="minorHAnsi" w:hAnsiTheme="minorHAnsi" w:cs="Arial"/>
                <w:b/>
                <w:bCs/>
                <w:caps/>
                <w:kern w:val="32"/>
                <w:sz w:val="22"/>
                <w:szCs w:val="22"/>
              </w:rPr>
            </w:pPr>
          </w:p>
        </w:tc>
        <w:tc>
          <w:tcPr>
            <w:tcW w:w="835" w:type="pct"/>
            <w:shd w:val="clear" w:color="auto" w:fill="auto"/>
            <w:noWrap/>
            <w:vAlign w:val="center"/>
            <w:hideMark/>
          </w:tcPr>
          <w:p w:rsidR="00C34658" w:rsidRDefault="00C34658" w:rsidP="00D55642">
            <w:pPr>
              <w:spacing w:before="0" w:line="240" w:lineRule="auto"/>
              <w:jc w:val="right"/>
              <w:rPr>
                <w:rFonts w:asciiTheme="minorHAnsi" w:hAnsiTheme="minorHAnsi"/>
                <w:color w:val="000000"/>
                <w:sz w:val="22"/>
                <w:szCs w:val="22"/>
              </w:rPr>
            </w:pPr>
            <w:r w:rsidRPr="008B0C65">
              <w:rPr>
                <w:rFonts w:asciiTheme="minorHAnsi" w:hAnsiTheme="minorHAnsi"/>
                <w:color w:val="000000"/>
                <w:sz w:val="22"/>
                <w:szCs w:val="22"/>
              </w:rPr>
              <w:t xml:space="preserve">                                  -   </w:t>
            </w:r>
          </w:p>
        </w:tc>
      </w:tr>
      <w:tr w:rsidR="00C34658" w:rsidRPr="0081428E" w:rsidTr="00D55642">
        <w:trPr>
          <w:trHeight w:val="300"/>
        </w:trPr>
        <w:tc>
          <w:tcPr>
            <w:tcW w:w="2391" w:type="pct"/>
            <w:shd w:val="clear" w:color="auto" w:fill="auto"/>
            <w:hideMark/>
          </w:tcPr>
          <w:p w:rsidR="00C34658" w:rsidRDefault="00C34658" w:rsidP="00D55642">
            <w:pPr>
              <w:spacing w:before="0" w:line="240" w:lineRule="auto"/>
              <w:jc w:val="left"/>
              <w:rPr>
                <w:rFonts w:asciiTheme="minorHAnsi" w:hAnsiTheme="minorHAnsi"/>
                <w:sz w:val="22"/>
                <w:szCs w:val="22"/>
              </w:rPr>
            </w:pPr>
            <w:r w:rsidRPr="0081428E">
              <w:rPr>
                <w:rFonts w:asciiTheme="minorHAnsi" w:hAnsiTheme="minorHAnsi"/>
                <w:sz w:val="22"/>
                <w:szCs w:val="22"/>
              </w:rPr>
              <w:t>Deduction from GFA during the year (Depreciable)</w:t>
            </w:r>
          </w:p>
        </w:tc>
        <w:tc>
          <w:tcPr>
            <w:tcW w:w="912" w:type="pct"/>
            <w:shd w:val="clear" w:color="auto" w:fill="auto"/>
            <w:hideMark/>
          </w:tcPr>
          <w:p w:rsidR="00C34658" w:rsidRDefault="00D25949" w:rsidP="00D55642">
            <w:pPr>
              <w:spacing w:before="0" w:line="240" w:lineRule="auto"/>
              <w:jc w:val="center"/>
              <w:rPr>
                <w:rFonts w:asciiTheme="minorHAnsi" w:hAnsiTheme="minorHAnsi"/>
                <w:sz w:val="22"/>
                <w:szCs w:val="22"/>
              </w:rPr>
            </w:pPr>
            <w:r>
              <w:rPr>
                <w:rFonts w:asciiTheme="minorHAnsi" w:hAnsiTheme="minorHAnsi"/>
                <w:sz w:val="22"/>
                <w:szCs w:val="22"/>
              </w:rPr>
              <w:t>G</w:t>
            </w:r>
          </w:p>
        </w:tc>
        <w:tc>
          <w:tcPr>
            <w:tcW w:w="862" w:type="pct"/>
            <w:shd w:val="clear" w:color="auto" w:fill="auto"/>
            <w:vAlign w:val="center"/>
            <w:hideMark/>
          </w:tcPr>
          <w:p w:rsidR="00C34658" w:rsidRDefault="00C34658" w:rsidP="00D55642">
            <w:pPr>
              <w:spacing w:before="0" w:line="240" w:lineRule="auto"/>
              <w:jc w:val="right"/>
              <w:rPr>
                <w:rFonts w:asciiTheme="minorHAnsi" w:hAnsiTheme="minorHAnsi"/>
                <w:sz w:val="22"/>
                <w:szCs w:val="22"/>
              </w:rPr>
            </w:pPr>
            <w:r w:rsidRPr="008B0C65">
              <w:rPr>
                <w:rFonts w:asciiTheme="minorHAnsi" w:hAnsiTheme="minorHAnsi"/>
                <w:sz w:val="22"/>
                <w:szCs w:val="22"/>
              </w:rPr>
              <w:t> </w:t>
            </w:r>
          </w:p>
        </w:tc>
        <w:tc>
          <w:tcPr>
            <w:tcW w:w="835" w:type="pct"/>
            <w:shd w:val="clear" w:color="auto" w:fill="auto"/>
            <w:noWrap/>
            <w:vAlign w:val="center"/>
            <w:hideMark/>
          </w:tcPr>
          <w:p w:rsidR="00C34658" w:rsidRDefault="00C34658" w:rsidP="00D55642">
            <w:pPr>
              <w:spacing w:before="0" w:line="240" w:lineRule="auto"/>
              <w:jc w:val="right"/>
              <w:rPr>
                <w:rFonts w:asciiTheme="minorHAnsi" w:hAnsiTheme="minorHAnsi"/>
                <w:color w:val="000000"/>
                <w:sz w:val="22"/>
                <w:szCs w:val="22"/>
              </w:rPr>
            </w:pPr>
            <w:r w:rsidRPr="008B0C65">
              <w:rPr>
                <w:rFonts w:asciiTheme="minorHAnsi" w:hAnsiTheme="minorHAnsi"/>
                <w:color w:val="000000"/>
                <w:sz w:val="22"/>
                <w:szCs w:val="22"/>
              </w:rPr>
              <w:t xml:space="preserve">                                  -   </w:t>
            </w:r>
          </w:p>
        </w:tc>
      </w:tr>
      <w:tr w:rsidR="00C34658" w:rsidRPr="0081428E" w:rsidTr="00D55642">
        <w:trPr>
          <w:trHeight w:val="300"/>
        </w:trPr>
        <w:tc>
          <w:tcPr>
            <w:tcW w:w="2391" w:type="pct"/>
            <w:shd w:val="clear" w:color="auto" w:fill="auto"/>
            <w:hideMark/>
          </w:tcPr>
          <w:p w:rsidR="00C34658" w:rsidRDefault="00C34658" w:rsidP="00D55642">
            <w:pPr>
              <w:spacing w:before="0" w:line="240" w:lineRule="auto"/>
              <w:jc w:val="left"/>
              <w:rPr>
                <w:rFonts w:asciiTheme="minorHAnsi" w:hAnsiTheme="minorHAnsi"/>
                <w:sz w:val="22"/>
                <w:szCs w:val="22"/>
              </w:rPr>
            </w:pPr>
            <w:r w:rsidRPr="0081428E">
              <w:rPr>
                <w:rFonts w:asciiTheme="minorHAnsi" w:hAnsiTheme="minorHAnsi"/>
                <w:sz w:val="22"/>
                <w:szCs w:val="22"/>
              </w:rPr>
              <w:t>Closing GFA as on 31</w:t>
            </w:r>
            <w:r w:rsidRPr="0081428E">
              <w:rPr>
                <w:rFonts w:asciiTheme="minorHAnsi" w:hAnsiTheme="minorHAnsi"/>
                <w:sz w:val="22"/>
                <w:szCs w:val="22"/>
                <w:vertAlign w:val="superscript"/>
              </w:rPr>
              <w:t>st</w:t>
            </w:r>
            <w:r w:rsidRPr="0081428E">
              <w:rPr>
                <w:rFonts w:asciiTheme="minorHAnsi" w:hAnsiTheme="minorHAnsi"/>
                <w:sz w:val="22"/>
                <w:szCs w:val="22"/>
              </w:rPr>
              <w:t xml:space="preserve"> March (Depreciable)</w:t>
            </w:r>
          </w:p>
        </w:tc>
        <w:tc>
          <w:tcPr>
            <w:tcW w:w="912" w:type="pct"/>
            <w:shd w:val="clear" w:color="auto" w:fill="auto"/>
            <w:hideMark/>
          </w:tcPr>
          <w:p w:rsidR="00C34658" w:rsidRDefault="00D25949" w:rsidP="00D55642">
            <w:pPr>
              <w:spacing w:before="0" w:line="240" w:lineRule="auto"/>
              <w:jc w:val="center"/>
              <w:rPr>
                <w:rFonts w:asciiTheme="minorHAnsi" w:hAnsiTheme="minorHAnsi"/>
                <w:sz w:val="22"/>
                <w:szCs w:val="22"/>
              </w:rPr>
            </w:pPr>
            <w:r>
              <w:rPr>
                <w:rFonts w:asciiTheme="minorHAnsi" w:hAnsiTheme="minorHAnsi"/>
                <w:sz w:val="22"/>
                <w:szCs w:val="22"/>
              </w:rPr>
              <w:t>H</w:t>
            </w:r>
            <w:r w:rsidR="00C34658" w:rsidRPr="0081428E">
              <w:rPr>
                <w:rFonts w:asciiTheme="minorHAnsi" w:hAnsiTheme="minorHAnsi"/>
                <w:sz w:val="22"/>
                <w:szCs w:val="22"/>
              </w:rPr>
              <w:t xml:space="preserve"> = B + </w:t>
            </w:r>
            <w:r>
              <w:rPr>
                <w:rFonts w:asciiTheme="minorHAnsi" w:hAnsiTheme="minorHAnsi"/>
                <w:sz w:val="22"/>
                <w:szCs w:val="22"/>
              </w:rPr>
              <w:t>E</w:t>
            </w:r>
            <w:r w:rsidR="00C34658" w:rsidRPr="0081428E">
              <w:rPr>
                <w:rFonts w:asciiTheme="minorHAnsi" w:hAnsiTheme="minorHAnsi"/>
                <w:sz w:val="22"/>
                <w:szCs w:val="22"/>
              </w:rPr>
              <w:t xml:space="preserve"> - F</w:t>
            </w:r>
          </w:p>
        </w:tc>
        <w:tc>
          <w:tcPr>
            <w:tcW w:w="862" w:type="pct"/>
            <w:vMerge w:val="restart"/>
            <w:shd w:val="clear" w:color="auto" w:fill="auto"/>
            <w:vAlign w:val="center"/>
            <w:hideMark/>
          </w:tcPr>
          <w:p w:rsidR="00C34658" w:rsidRDefault="00C34658" w:rsidP="005D13D4">
            <w:pPr>
              <w:spacing w:before="0" w:line="240" w:lineRule="auto"/>
              <w:jc w:val="right"/>
              <w:rPr>
                <w:rFonts w:asciiTheme="minorHAnsi" w:hAnsiTheme="minorHAnsi"/>
                <w:sz w:val="22"/>
                <w:szCs w:val="22"/>
              </w:rPr>
            </w:pPr>
            <w:r w:rsidRPr="008B0C65">
              <w:rPr>
                <w:rFonts w:asciiTheme="minorHAnsi" w:hAnsiTheme="minorHAnsi"/>
                <w:sz w:val="22"/>
                <w:szCs w:val="22"/>
              </w:rPr>
              <w:t>8</w:t>
            </w:r>
            <w:r>
              <w:rPr>
                <w:rFonts w:asciiTheme="minorHAnsi" w:hAnsiTheme="minorHAnsi"/>
                <w:sz w:val="22"/>
                <w:szCs w:val="22"/>
              </w:rPr>
              <w:t>,</w:t>
            </w:r>
            <w:r w:rsidRPr="008B0C65">
              <w:rPr>
                <w:rFonts w:asciiTheme="minorHAnsi" w:hAnsiTheme="minorHAnsi"/>
                <w:sz w:val="22"/>
                <w:szCs w:val="22"/>
              </w:rPr>
              <w:t>848.7</w:t>
            </w:r>
            <w:r w:rsidR="005D13D4">
              <w:rPr>
                <w:rFonts w:asciiTheme="minorHAnsi" w:hAnsiTheme="minorHAnsi"/>
                <w:sz w:val="22"/>
                <w:szCs w:val="22"/>
              </w:rPr>
              <w:t>6</w:t>
            </w:r>
          </w:p>
        </w:tc>
        <w:tc>
          <w:tcPr>
            <w:tcW w:w="835" w:type="pct"/>
            <w:shd w:val="clear" w:color="auto" w:fill="auto"/>
            <w:noWrap/>
            <w:vAlign w:val="center"/>
            <w:hideMark/>
          </w:tcPr>
          <w:p w:rsidR="00C34658"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8,113.</w:t>
            </w:r>
            <w:r>
              <w:rPr>
                <w:rFonts w:asciiTheme="minorHAnsi" w:hAnsiTheme="minorHAnsi"/>
                <w:color w:val="000000"/>
                <w:sz w:val="22"/>
                <w:szCs w:val="22"/>
              </w:rPr>
              <w:t>55</w:t>
            </w:r>
          </w:p>
        </w:tc>
      </w:tr>
      <w:tr w:rsidR="00C34658" w:rsidRPr="0081428E" w:rsidTr="00D55642">
        <w:trPr>
          <w:trHeight w:val="300"/>
        </w:trPr>
        <w:tc>
          <w:tcPr>
            <w:tcW w:w="2391" w:type="pct"/>
            <w:shd w:val="clear" w:color="auto" w:fill="auto"/>
            <w:hideMark/>
          </w:tcPr>
          <w:p w:rsidR="00C34658" w:rsidRDefault="00C34658" w:rsidP="00D55642">
            <w:pPr>
              <w:spacing w:before="0" w:line="240" w:lineRule="auto"/>
              <w:jc w:val="left"/>
              <w:rPr>
                <w:rFonts w:asciiTheme="minorHAnsi" w:hAnsiTheme="minorHAnsi"/>
                <w:sz w:val="22"/>
                <w:szCs w:val="22"/>
              </w:rPr>
            </w:pPr>
            <w:r w:rsidRPr="0081428E">
              <w:rPr>
                <w:rFonts w:asciiTheme="minorHAnsi" w:hAnsiTheme="minorHAnsi"/>
                <w:sz w:val="22"/>
                <w:szCs w:val="22"/>
              </w:rPr>
              <w:t>Closing GFA as on 31</w:t>
            </w:r>
            <w:r w:rsidRPr="0081428E">
              <w:rPr>
                <w:rFonts w:asciiTheme="minorHAnsi" w:hAnsiTheme="minorHAnsi"/>
                <w:sz w:val="22"/>
                <w:szCs w:val="22"/>
                <w:vertAlign w:val="superscript"/>
              </w:rPr>
              <w:t>st</w:t>
            </w:r>
            <w:r w:rsidRPr="0081428E">
              <w:rPr>
                <w:rFonts w:asciiTheme="minorHAnsi" w:hAnsiTheme="minorHAnsi"/>
                <w:sz w:val="22"/>
                <w:szCs w:val="22"/>
              </w:rPr>
              <w:t xml:space="preserve"> March (Non Depreciable)</w:t>
            </w:r>
          </w:p>
        </w:tc>
        <w:tc>
          <w:tcPr>
            <w:tcW w:w="912" w:type="pct"/>
            <w:shd w:val="clear" w:color="auto" w:fill="auto"/>
            <w:hideMark/>
          </w:tcPr>
          <w:p w:rsidR="00C34658" w:rsidRDefault="00D25949" w:rsidP="00D55642">
            <w:pPr>
              <w:spacing w:before="0" w:line="240" w:lineRule="auto"/>
              <w:jc w:val="center"/>
              <w:rPr>
                <w:rFonts w:asciiTheme="minorHAnsi" w:hAnsiTheme="minorHAnsi"/>
                <w:sz w:val="22"/>
                <w:szCs w:val="22"/>
              </w:rPr>
            </w:pPr>
            <w:r>
              <w:rPr>
                <w:rFonts w:asciiTheme="minorHAnsi" w:hAnsiTheme="minorHAnsi"/>
                <w:sz w:val="22"/>
                <w:szCs w:val="22"/>
              </w:rPr>
              <w:t>I</w:t>
            </w:r>
            <w:r w:rsidR="00C34658" w:rsidRPr="0081428E">
              <w:rPr>
                <w:rFonts w:asciiTheme="minorHAnsi" w:hAnsiTheme="minorHAnsi"/>
                <w:sz w:val="22"/>
                <w:szCs w:val="22"/>
              </w:rPr>
              <w:t xml:space="preserve"> = C + </w:t>
            </w:r>
            <w:r>
              <w:rPr>
                <w:rFonts w:asciiTheme="minorHAnsi" w:hAnsiTheme="minorHAnsi"/>
                <w:sz w:val="22"/>
                <w:szCs w:val="22"/>
              </w:rPr>
              <w:t>G</w:t>
            </w:r>
          </w:p>
        </w:tc>
        <w:tc>
          <w:tcPr>
            <w:tcW w:w="862" w:type="pct"/>
            <w:vMerge/>
            <w:shd w:val="clear" w:color="auto" w:fill="auto"/>
            <w:vAlign w:val="center"/>
            <w:hideMark/>
          </w:tcPr>
          <w:p w:rsidR="00C34658" w:rsidRDefault="00C34658" w:rsidP="00D55642">
            <w:pPr>
              <w:spacing w:before="0" w:line="240" w:lineRule="auto"/>
              <w:jc w:val="right"/>
              <w:rPr>
                <w:rFonts w:asciiTheme="minorHAnsi" w:hAnsiTheme="minorHAnsi" w:cs="Arial"/>
                <w:b/>
                <w:bCs/>
                <w:caps/>
                <w:kern w:val="32"/>
                <w:sz w:val="22"/>
                <w:szCs w:val="22"/>
              </w:rPr>
            </w:pPr>
          </w:p>
        </w:tc>
        <w:tc>
          <w:tcPr>
            <w:tcW w:w="835" w:type="pct"/>
            <w:shd w:val="clear" w:color="auto" w:fill="auto"/>
            <w:noWrap/>
            <w:vAlign w:val="center"/>
            <w:hideMark/>
          </w:tcPr>
          <w:p w:rsidR="00C34658" w:rsidRDefault="00C34658" w:rsidP="00D55642">
            <w:pPr>
              <w:spacing w:before="0" w:line="240" w:lineRule="auto"/>
              <w:jc w:val="right"/>
              <w:rPr>
                <w:rFonts w:asciiTheme="minorHAnsi" w:hAnsiTheme="minorHAnsi"/>
                <w:color w:val="000000"/>
                <w:sz w:val="22"/>
                <w:szCs w:val="22"/>
              </w:rPr>
            </w:pPr>
            <w:r w:rsidRPr="008B0C65">
              <w:rPr>
                <w:rFonts w:asciiTheme="minorHAnsi" w:hAnsiTheme="minorHAnsi"/>
                <w:color w:val="000000"/>
                <w:sz w:val="22"/>
                <w:szCs w:val="22"/>
              </w:rPr>
              <w:t xml:space="preserve">     0.06 </w:t>
            </w:r>
          </w:p>
        </w:tc>
      </w:tr>
      <w:tr w:rsidR="00C34658" w:rsidRPr="0081428E" w:rsidTr="00D55642">
        <w:trPr>
          <w:trHeight w:val="300"/>
        </w:trPr>
        <w:tc>
          <w:tcPr>
            <w:tcW w:w="2391" w:type="pct"/>
            <w:shd w:val="clear" w:color="auto" w:fill="auto"/>
            <w:hideMark/>
          </w:tcPr>
          <w:p w:rsidR="00C34658" w:rsidRDefault="00C34658" w:rsidP="00D55642">
            <w:pPr>
              <w:spacing w:before="0" w:line="240" w:lineRule="auto"/>
              <w:jc w:val="left"/>
              <w:rPr>
                <w:rFonts w:asciiTheme="minorHAnsi" w:hAnsiTheme="minorHAnsi"/>
                <w:sz w:val="22"/>
                <w:szCs w:val="22"/>
              </w:rPr>
            </w:pPr>
            <w:r w:rsidRPr="0081428E">
              <w:rPr>
                <w:rFonts w:asciiTheme="minorHAnsi" w:hAnsiTheme="minorHAnsi"/>
                <w:sz w:val="22"/>
                <w:szCs w:val="22"/>
              </w:rPr>
              <w:t>Total Closing GFA as on 31</w:t>
            </w:r>
            <w:r w:rsidRPr="0081428E">
              <w:rPr>
                <w:rFonts w:asciiTheme="minorHAnsi" w:hAnsiTheme="minorHAnsi"/>
                <w:sz w:val="22"/>
                <w:szCs w:val="22"/>
                <w:vertAlign w:val="superscript"/>
              </w:rPr>
              <w:t>st</w:t>
            </w:r>
            <w:r w:rsidRPr="0081428E">
              <w:rPr>
                <w:rFonts w:asciiTheme="minorHAnsi" w:hAnsiTheme="minorHAnsi"/>
                <w:sz w:val="22"/>
                <w:szCs w:val="22"/>
              </w:rPr>
              <w:t xml:space="preserve"> March</w:t>
            </w:r>
          </w:p>
        </w:tc>
        <w:tc>
          <w:tcPr>
            <w:tcW w:w="912" w:type="pct"/>
            <w:shd w:val="clear" w:color="auto" w:fill="auto"/>
            <w:hideMark/>
          </w:tcPr>
          <w:p w:rsidR="00C34658" w:rsidRDefault="00D25949" w:rsidP="00D55642">
            <w:pPr>
              <w:spacing w:before="0" w:line="240" w:lineRule="auto"/>
              <w:jc w:val="center"/>
              <w:rPr>
                <w:rFonts w:asciiTheme="minorHAnsi" w:hAnsiTheme="minorHAnsi"/>
                <w:sz w:val="22"/>
                <w:szCs w:val="22"/>
              </w:rPr>
            </w:pPr>
            <w:r>
              <w:rPr>
                <w:rFonts w:asciiTheme="minorHAnsi" w:hAnsiTheme="minorHAnsi"/>
                <w:sz w:val="22"/>
                <w:szCs w:val="22"/>
              </w:rPr>
              <w:t>J</w:t>
            </w:r>
            <w:r w:rsidR="00C34658" w:rsidRPr="0081428E">
              <w:rPr>
                <w:rFonts w:asciiTheme="minorHAnsi" w:hAnsiTheme="minorHAnsi"/>
                <w:sz w:val="22"/>
                <w:szCs w:val="22"/>
              </w:rPr>
              <w:t xml:space="preserve"> = H</w:t>
            </w:r>
            <w:r>
              <w:rPr>
                <w:rFonts w:asciiTheme="minorHAnsi" w:hAnsiTheme="minorHAnsi"/>
                <w:sz w:val="22"/>
                <w:szCs w:val="22"/>
              </w:rPr>
              <w:t xml:space="preserve"> + I</w:t>
            </w:r>
          </w:p>
        </w:tc>
        <w:tc>
          <w:tcPr>
            <w:tcW w:w="862" w:type="pct"/>
            <w:shd w:val="clear" w:color="auto" w:fill="auto"/>
            <w:noWrap/>
            <w:vAlign w:val="center"/>
            <w:hideMark/>
          </w:tcPr>
          <w:p w:rsidR="00C34658" w:rsidRDefault="00C34658" w:rsidP="005D13D4">
            <w:pPr>
              <w:spacing w:before="0" w:line="240" w:lineRule="auto"/>
              <w:jc w:val="right"/>
              <w:rPr>
                <w:rFonts w:asciiTheme="minorHAnsi" w:hAnsiTheme="minorHAnsi"/>
                <w:color w:val="000000"/>
                <w:sz w:val="22"/>
                <w:szCs w:val="22"/>
              </w:rPr>
            </w:pPr>
            <w:r w:rsidRPr="008B0C65">
              <w:rPr>
                <w:rFonts w:asciiTheme="minorHAnsi" w:hAnsiTheme="minorHAnsi"/>
                <w:b/>
                <w:bCs/>
                <w:color w:val="000000"/>
                <w:sz w:val="22"/>
                <w:szCs w:val="22"/>
              </w:rPr>
              <w:t>8,848.7</w:t>
            </w:r>
            <w:r w:rsidR="005D13D4">
              <w:rPr>
                <w:rFonts w:asciiTheme="minorHAnsi" w:hAnsiTheme="minorHAnsi"/>
                <w:b/>
                <w:bCs/>
                <w:color w:val="000000"/>
                <w:sz w:val="22"/>
                <w:szCs w:val="22"/>
              </w:rPr>
              <w:t>6</w:t>
            </w:r>
          </w:p>
        </w:tc>
        <w:tc>
          <w:tcPr>
            <w:tcW w:w="835" w:type="pct"/>
            <w:shd w:val="clear" w:color="auto" w:fill="auto"/>
            <w:noWrap/>
            <w:vAlign w:val="center"/>
            <w:hideMark/>
          </w:tcPr>
          <w:p w:rsidR="00C34658" w:rsidRDefault="00C34658" w:rsidP="00D55642">
            <w:pPr>
              <w:spacing w:before="0" w:line="240" w:lineRule="auto"/>
              <w:jc w:val="right"/>
              <w:rPr>
                <w:rFonts w:asciiTheme="minorHAnsi" w:hAnsiTheme="minorHAnsi"/>
                <w:color w:val="000000"/>
                <w:sz w:val="22"/>
                <w:szCs w:val="22"/>
              </w:rPr>
            </w:pPr>
            <w:r w:rsidRPr="008B0C65">
              <w:rPr>
                <w:rFonts w:asciiTheme="minorHAnsi" w:hAnsiTheme="minorHAnsi"/>
                <w:b/>
                <w:bCs/>
                <w:color w:val="000000"/>
                <w:sz w:val="22"/>
                <w:szCs w:val="22"/>
              </w:rPr>
              <w:t>8,113.</w:t>
            </w:r>
            <w:r>
              <w:rPr>
                <w:rFonts w:asciiTheme="minorHAnsi" w:hAnsiTheme="minorHAnsi"/>
                <w:b/>
                <w:bCs/>
                <w:color w:val="000000"/>
                <w:sz w:val="22"/>
                <w:szCs w:val="22"/>
              </w:rPr>
              <w:t>62</w:t>
            </w:r>
          </w:p>
        </w:tc>
      </w:tr>
    </w:tbl>
    <w:p w:rsidR="00C34658" w:rsidRPr="00C60AD1" w:rsidRDefault="00C34658" w:rsidP="00C34658">
      <w:pPr>
        <w:tabs>
          <w:tab w:val="left" w:pos="360"/>
        </w:tabs>
        <w:spacing w:before="0"/>
      </w:pPr>
    </w:p>
    <w:p w:rsidR="00D5771F" w:rsidRDefault="00C34658">
      <w:pPr>
        <w:pStyle w:val="Heading3"/>
        <w:tabs>
          <w:tab w:val="clear" w:pos="720"/>
        </w:tabs>
        <w:spacing w:after="240"/>
        <w:ind w:left="993" w:hanging="993"/>
      </w:pPr>
      <w:r w:rsidRPr="00C60AD1">
        <w:t xml:space="preserve">The Commission has projected the depreciation on assets created out of consumer contributions, capital grants and subsidies for FY </w:t>
      </w:r>
      <w:r>
        <w:t>2016-17</w:t>
      </w:r>
      <w:r w:rsidRPr="00C60AD1">
        <w:t xml:space="preserve"> in the same ratio as projected by the Petitioner. The Commission has reduced the equivalent depreciation on assets created out of consumer contributions, capital grants and subsidies. </w:t>
      </w:r>
    </w:p>
    <w:p w:rsidR="00D5771F" w:rsidRDefault="00C34658">
      <w:pPr>
        <w:pStyle w:val="Heading3"/>
        <w:tabs>
          <w:tab w:val="clear" w:pos="720"/>
        </w:tabs>
        <w:spacing w:after="240"/>
        <w:ind w:left="993" w:hanging="993"/>
      </w:pPr>
      <w:r w:rsidRPr="00C60AD1">
        <w:t>The Commission, in its Tariff Order for FY 2013-14, has stipulated as under:</w:t>
      </w:r>
    </w:p>
    <w:p w:rsidR="00C34658" w:rsidRPr="00C60AD1" w:rsidRDefault="00C34658" w:rsidP="00C34658">
      <w:pPr>
        <w:pStyle w:val="Heading3"/>
        <w:numPr>
          <w:ilvl w:val="0"/>
          <w:numId w:val="0"/>
        </w:numPr>
        <w:ind w:left="1440"/>
        <w:rPr>
          <w:i/>
        </w:rPr>
      </w:pPr>
      <w:r w:rsidRPr="00C60AD1">
        <w:rPr>
          <w:i/>
        </w:rPr>
        <w:lastRenderedPageBreak/>
        <w:t>“The Commission has repeatedly given several directions to the Licensee to ensure that proper and detailed Fixed Assets Registers are maintained at the field offices. Further, the Hon’ble APTEL in Appeal No. 121 of 2010 &amp; I.A. No. 83 of 2011 has als</w:t>
      </w:r>
      <w:r w:rsidRPr="00C60AD1">
        <w:rPr>
          <w:bCs w:val="0"/>
          <w:i/>
        </w:rPr>
        <w:t>o reinforced Commission’s views and has directed the Licensee to comply with the regulations and directions issued by the Commission.</w:t>
      </w:r>
    </w:p>
    <w:p w:rsidR="00C34658" w:rsidRPr="00C60AD1" w:rsidRDefault="00C34658" w:rsidP="00C34658">
      <w:pPr>
        <w:pStyle w:val="Heading3"/>
        <w:numPr>
          <w:ilvl w:val="0"/>
          <w:numId w:val="0"/>
        </w:numPr>
        <w:ind w:left="1440"/>
        <w:rPr>
          <w:i/>
          <w:szCs w:val="24"/>
        </w:rPr>
      </w:pPr>
      <w:r w:rsidRPr="00C60AD1">
        <w:rPr>
          <w:i/>
        </w:rPr>
        <w:t>As a first step towards reprimanding the Licensee over the issue of non-maintenance of fixed asset registers, the Commissi</w:t>
      </w:r>
      <w:r w:rsidRPr="00C60AD1">
        <w:rPr>
          <w:bCs w:val="0"/>
          <w:i/>
        </w:rPr>
        <w:t>on has withheld 20% of the allowable depreciation for FY 2013-14. The same would be released for recovery through tariff, upon submission of fixed asset registers up to the current year i.e., FY 2012-13 by 30</w:t>
      </w:r>
      <w:r w:rsidRPr="00C60AD1">
        <w:rPr>
          <w:bCs w:val="0"/>
          <w:i/>
          <w:vertAlign w:val="superscript"/>
        </w:rPr>
        <w:t>th</w:t>
      </w:r>
      <w:r w:rsidRPr="00C60AD1">
        <w:rPr>
          <w:bCs w:val="0"/>
          <w:i/>
        </w:rPr>
        <w:t xml:space="preserve"> November, 2013.” </w:t>
      </w:r>
    </w:p>
    <w:p w:rsidR="00D5771F" w:rsidRDefault="00C34658">
      <w:pPr>
        <w:pStyle w:val="Heading3"/>
        <w:tabs>
          <w:tab w:val="clear" w:pos="720"/>
        </w:tabs>
        <w:spacing w:after="240"/>
        <w:ind w:left="993" w:hanging="993"/>
      </w:pPr>
      <w:r w:rsidRPr="00C60AD1">
        <w:t xml:space="preserve">As evident from the above, the Commission in its earlier Tariff Order has withheld 20% of the allowable depreciation for FY 2013-14. Further, over the issue of non-maintenance of fixed asset registersthe Commission in its Tariff Order for FY 2014-15 dated October 1, 2014 </w:t>
      </w:r>
      <w:r>
        <w:t xml:space="preserve">and FY 2015-16 dated June 18, 2015 </w:t>
      </w:r>
      <w:r w:rsidRPr="00C60AD1">
        <w:rPr>
          <w:bCs w:val="0"/>
        </w:rPr>
        <w:t xml:space="preserve">has withheld 25% </w:t>
      </w:r>
      <w:r>
        <w:rPr>
          <w:bCs w:val="0"/>
        </w:rPr>
        <w:t xml:space="preserve">and 30% respectively </w:t>
      </w:r>
      <w:r w:rsidRPr="00C60AD1">
        <w:rPr>
          <w:bCs w:val="0"/>
        </w:rPr>
        <w:t>of the allowable depreciation for FY 2014-15</w:t>
      </w:r>
      <w:r>
        <w:rPr>
          <w:bCs w:val="0"/>
        </w:rPr>
        <w:t xml:space="preserve"> and FY 2015-16</w:t>
      </w:r>
      <w:r w:rsidRPr="00C60AD1">
        <w:rPr>
          <w:bCs w:val="0"/>
        </w:rPr>
        <w:t xml:space="preserve">. </w:t>
      </w:r>
      <w:r w:rsidRPr="00C60AD1">
        <w:t>However, even after sever</w:t>
      </w:r>
      <w:r w:rsidRPr="00C60AD1">
        <w:rPr>
          <w:bCs w:val="0"/>
        </w:rPr>
        <w:t>al directions no submission in this regard has been made by the Licensee so far. The Commission has already expressed its displeasure on the non-availability of fixed asset registers of the Licensee and further reiterates its direction to the Licensee to ensure proper maintenance of detailed fixed asset registers as specified in the Distribution Tariff Regulations, 2006.</w:t>
      </w:r>
    </w:p>
    <w:p w:rsidR="00D5771F" w:rsidRDefault="00C34658">
      <w:pPr>
        <w:pStyle w:val="Heading3"/>
        <w:tabs>
          <w:tab w:val="clear" w:pos="720"/>
        </w:tabs>
        <w:spacing w:after="240"/>
        <w:ind w:left="993" w:hanging="993"/>
      </w:pPr>
      <w:r w:rsidRPr="008B0C65">
        <w:t>Hence, in line with the approach adopted by the Commission in its earlier Order over the issue of non-maintenance of fixed asset registers</w:t>
      </w:r>
      <w:r w:rsidRPr="008B0C65">
        <w:rPr>
          <w:bCs w:val="0"/>
        </w:rPr>
        <w:t xml:space="preserve">, the Commission has withheld 30% of the allowable depreciation for FY 2016-17. The Licensee is further directed to submit the complete details pertaining to Fixed Asset Register for FY 2012-13 to FY 2015-16 along with the ARR Petition for FY 2017-18, otherwise the withheld amount may not be allowed by the Commission. </w:t>
      </w:r>
    </w:p>
    <w:p w:rsidR="00D5771F" w:rsidRDefault="00C34658">
      <w:pPr>
        <w:pStyle w:val="Heading3"/>
        <w:tabs>
          <w:tab w:val="clear" w:pos="720"/>
        </w:tabs>
        <w:spacing w:after="240"/>
        <w:ind w:left="993" w:hanging="993"/>
      </w:pPr>
      <w:r w:rsidRPr="00C60AD1">
        <w:t xml:space="preserve">In view of the above, the net depreciation expense approved by the Commission for FY </w:t>
      </w:r>
      <w:r>
        <w:t>2016-17</w:t>
      </w:r>
      <w:r w:rsidRPr="00C60AD1">
        <w:t xml:space="preserve"> is shown in the Table below:</w:t>
      </w:r>
    </w:p>
    <w:p w:rsidR="00C34658" w:rsidRPr="007057CE" w:rsidRDefault="006C63AF" w:rsidP="00C34658">
      <w:pPr>
        <w:jc w:val="center"/>
        <w:rPr>
          <w:rFonts w:cstheme="minorHAnsi"/>
          <w:b/>
          <w:sz w:val="22"/>
        </w:rPr>
      </w:pPr>
      <w:bookmarkStart w:id="904" w:name="_Toc338310713"/>
      <w:bookmarkStart w:id="905" w:name="_Toc338419543"/>
      <w:bookmarkStart w:id="906" w:name="_Toc357718751"/>
      <w:bookmarkStart w:id="907" w:name="_Toc395657975"/>
      <w:bookmarkStart w:id="908" w:name="_Toc396574026"/>
      <w:bookmarkStart w:id="909" w:name="_Toc419992322"/>
      <w:bookmarkStart w:id="910" w:name="_Toc453367704"/>
      <w:bookmarkStart w:id="911" w:name="_Toc457604075"/>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5</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59</w:t>
      </w:r>
      <w:r w:rsidR="009741CA" w:rsidRPr="006C63AF">
        <w:rPr>
          <w:rFonts w:cstheme="minorHAnsi"/>
          <w:b/>
          <w:sz w:val="22"/>
        </w:rPr>
        <w:fldChar w:fldCharType="end"/>
      </w:r>
      <w:r w:rsidRPr="006C63AF">
        <w:rPr>
          <w:rFonts w:cstheme="minorHAnsi"/>
          <w:b/>
          <w:sz w:val="22"/>
        </w:rPr>
        <w:t>: APPROVED DEPRECIATION FOR FY 2016-17 (Rs. Crore)</w:t>
      </w:r>
      <w:bookmarkEnd w:id="904"/>
      <w:bookmarkEnd w:id="905"/>
      <w:bookmarkEnd w:id="906"/>
      <w:bookmarkEnd w:id="907"/>
      <w:bookmarkEnd w:id="908"/>
      <w:bookmarkEnd w:id="909"/>
      <w:bookmarkEnd w:id="910"/>
      <w:bookmarkEnd w:id="911"/>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361"/>
        <w:gridCol w:w="1956"/>
        <w:gridCol w:w="1262"/>
        <w:gridCol w:w="1306"/>
      </w:tblGrid>
      <w:tr w:rsidR="00C34658" w:rsidRPr="00C60AD1" w:rsidTr="008334E8">
        <w:trPr>
          <w:trHeight w:val="600"/>
          <w:tblHeader/>
        </w:trPr>
        <w:tc>
          <w:tcPr>
            <w:tcW w:w="2454" w:type="pct"/>
            <w:shd w:val="clear" w:color="000000" w:fill="DBE5F1"/>
            <w:hideMark/>
          </w:tcPr>
          <w:p w:rsidR="00603835" w:rsidRDefault="00C34658">
            <w:pPr>
              <w:spacing w:before="0" w:line="240" w:lineRule="auto"/>
              <w:jc w:val="center"/>
              <w:rPr>
                <w:b/>
                <w:sz w:val="22"/>
                <w:szCs w:val="22"/>
              </w:rPr>
            </w:pPr>
            <w:r w:rsidRPr="00C60AD1">
              <w:rPr>
                <w:b/>
                <w:sz w:val="22"/>
                <w:szCs w:val="22"/>
              </w:rPr>
              <w:t>Particulars</w:t>
            </w:r>
          </w:p>
        </w:tc>
        <w:tc>
          <w:tcPr>
            <w:tcW w:w="1101" w:type="pct"/>
            <w:shd w:val="clear" w:color="000000" w:fill="DBE5F1"/>
            <w:noWrap/>
            <w:hideMark/>
          </w:tcPr>
          <w:p w:rsidR="00603835" w:rsidRDefault="00C34658">
            <w:pPr>
              <w:spacing w:before="0" w:line="240" w:lineRule="auto"/>
              <w:jc w:val="center"/>
              <w:rPr>
                <w:b/>
                <w:sz w:val="22"/>
                <w:szCs w:val="22"/>
              </w:rPr>
            </w:pPr>
            <w:r w:rsidRPr="00C60AD1">
              <w:rPr>
                <w:b/>
                <w:sz w:val="22"/>
                <w:szCs w:val="22"/>
              </w:rPr>
              <w:t>Derivation</w:t>
            </w:r>
          </w:p>
        </w:tc>
        <w:tc>
          <w:tcPr>
            <w:tcW w:w="710" w:type="pct"/>
            <w:shd w:val="clear" w:color="000000" w:fill="DBE5F1"/>
            <w:noWrap/>
            <w:hideMark/>
          </w:tcPr>
          <w:p w:rsidR="00603835" w:rsidRDefault="00C34658">
            <w:pPr>
              <w:spacing w:before="0" w:line="240" w:lineRule="auto"/>
              <w:jc w:val="center"/>
              <w:rPr>
                <w:b/>
                <w:sz w:val="22"/>
                <w:szCs w:val="22"/>
              </w:rPr>
            </w:pPr>
            <w:r w:rsidRPr="00C60AD1">
              <w:rPr>
                <w:b/>
                <w:sz w:val="22"/>
                <w:szCs w:val="22"/>
              </w:rPr>
              <w:t>ARR Petition</w:t>
            </w:r>
          </w:p>
        </w:tc>
        <w:tc>
          <w:tcPr>
            <w:tcW w:w="735" w:type="pct"/>
            <w:shd w:val="clear" w:color="000000" w:fill="DBE5F1"/>
            <w:hideMark/>
          </w:tcPr>
          <w:p w:rsidR="00603835" w:rsidRDefault="00C34658">
            <w:pPr>
              <w:spacing w:before="0" w:line="240" w:lineRule="auto"/>
              <w:jc w:val="center"/>
              <w:rPr>
                <w:b/>
                <w:sz w:val="22"/>
                <w:szCs w:val="22"/>
              </w:rPr>
            </w:pPr>
            <w:r w:rsidRPr="00C60AD1">
              <w:rPr>
                <w:b/>
                <w:sz w:val="22"/>
                <w:szCs w:val="22"/>
              </w:rPr>
              <w:t xml:space="preserve">FY </w:t>
            </w:r>
            <w:r>
              <w:rPr>
                <w:b/>
                <w:sz w:val="22"/>
                <w:szCs w:val="22"/>
              </w:rPr>
              <w:t>2016-17</w:t>
            </w:r>
            <w:r w:rsidRPr="00C60AD1">
              <w:rPr>
                <w:b/>
                <w:sz w:val="22"/>
                <w:szCs w:val="22"/>
              </w:rPr>
              <w:br/>
              <w:t>Approved</w:t>
            </w:r>
          </w:p>
        </w:tc>
      </w:tr>
      <w:tr w:rsidR="00C34658" w:rsidRPr="00C60AD1" w:rsidTr="00D55642">
        <w:trPr>
          <w:trHeight w:val="300"/>
        </w:trPr>
        <w:tc>
          <w:tcPr>
            <w:tcW w:w="2454" w:type="pct"/>
            <w:shd w:val="clear" w:color="auto" w:fill="auto"/>
            <w:vAlign w:val="center"/>
            <w:hideMark/>
          </w:tcPr>
          <w:p w:rsidR="00C34658" w:rsidRDefault="00C34658" w:rsidP="00D55642">
            <w:pPr>
              <w:spacing w:before="0" w:line="240" w:lineRule="auto"/>
              <w:jc w:val="left"/>
              <w:rPr>
                <w:sz w:val="22"/>
                <w:szCs w:val="22"/>
              </w:rPr>
            </w:pPr>
            <w:r w:rsidRPr="00C60AD1">
              <w:rPr>
                <w:sz w:val="22"/>
                <w:szCs w:val="22"/>
              </w:rPr>
              <w:t>Depreciation Rate</w:t>
            </w:r>
          </w:p>
        </w:tc>
        <w:tc>
          <w:tcPr>
            <w:tcW w:w="1101" w:type="pct"/>
            <w:shd w:val="clear" w:color="auto" w:fill="auto"/>
            <w:vAlign w:val="center"/>
            <w:hideMark/>
          </w:tcPr>
          <w:p w:rsidR="00C34658" w:rsidRDefault="00C34658" w:rsidP="00D55642">
            <w:pPr>
              <w:spacing w:before="0" w:line="240" w:lineRule="auto"/>
              <w:jc w:val="center"/>
              <w:rPr>
                <w:sz w:val="22"/>
                <w:szCs w:val="22"/>
              </w:rPr>
            </w:pPr>
            <w:r w:rsidRPr="00C60AD1">
              <w:rPr>
                <w:sz w:val="22"/>
                <w:szCs w:val="22"/>
              </w:rPr>
              <w:t>A</w:t>
            </w:r>
          </w:p>
        </w:tc>
        <w:tc>
          <w:tcPr>
            <w:tcW w:w="710" w:type="pct"/>
            <w:shd w:val="clear" w:color="auto" w:fill="auto"/>
            <w:vAlign w:val="center"/>
            <w:hideMark/>
          </w:tcPr>
          <w:p w:rsidR="00C34658" w:rsidRDefault="00C34658" w:rsidP="00D55642">
            <w:pPr>
              <w:spacing w:before="0" w:line="240" w:lineRule="auto"/>
              <w:jc w:val="right"/>
              <w:rPr>
                <w:rFonts w:cs="Arial"/>
                <w:bCs/>
                <w:caps/>
                <w:kern w:val="32"/>
                <w:sz w:val="22"/>
                <w:szCs w:val="22"/>
              </w:rPr>
            </w:pPr>
            <w:r>
              <w:rPr>
                <w:sz w:val="22"/>
                <w:szCs w:val="22"/>
              </w:rPr>
              <w:t>7.84%</w:t>
            </w:r>
          </w:p>
        </w:tc>
        <w:tc>
          <w:tcPr>
            <w:tcW w:w="735" w:type="pct"/>
            <w:shd w:val="clear" w:color="auto" w:fill="auto"/>
            <w:noWrap/>
            <w:vAlign w:val="center"/>
            <w:hideMark/>
          </w:tcPr>
          <w:p w:rsidR="00C34658" w:rsidRDefault="00C34658" w:rsidP="00D55642">
            <w:pPr>
              <w:spacing w:before="0" w:line="240" w:lineRule="auto"/>
              <w:jc w:val="right"/>
              <w:rPr>
                <w:rFonts w:cs="Arial"/>
                <w:bCs/>
                <w:caps/>
                <w:kern w:val="32"/>
                <w:sz w:val="22"/>
                <w:szCs w:val="22"/>
              </w:rPr>
            </w:pPr>
            <w:r>
              <w:rPr>
                <w:color w:val="000000"/>
                <w:sz w:val="22"/>
                <w:szCs w:val="22"/>
              </w:rPr>
              <w:t>7.84%</w:t>
            </w:r>
          </w:p>
        </w:tc>
      </w:tr>
      <w:tr w:rsidR="00C34658" w:rsidRPr="00C60AD1" w:rsidTr="00D55642">
        <w:trPr>
          <w:trHeight w:val="300"/>
        </w:trPr>
        <w:tc>
          <w:tcPr>
            <w:tcW w:w="2454" w:type="pct"/>
            <w:shd w:val="clear" w:color="auto" w:fill="auto"/>
            <w:vAlign w:val="center"/>
            <w:hideMark/>
          </w:tcPr>
          <w:p w:rsidR="00C34658" w:rsidRDefault="00C34658" w:rsidP="00D55642">
            <w:pPr>
              <w:spacing w:before="0" w:line="240" w:lineRule="auto"/>
              <w:jc w:val="left"/>
              <w:rPr>
                <w:sz w:val="22"/>
                <w:szCs w:val="22"/>
              </w:rPr>
            </w:pPr>
            <w:r w:rsidRPr="00C60AD1">
              <w:rPr>
                <w:sz w:val="22"/>
                <w:szCs w:val="22"/>
              </w:rPr>
              <w:lastRenderedPageBreak/>
              <w:t>Opening GFA as on 1</w:t>
            </w:r>
            <w:r w:rsidRPr="00C60AD1">
              <w:rPr>
                <w:sz w:val="22"/>
                <w:szCs w:val="22"/>
                <w:vertAlign w:val="superscript"/>
              </w:rPr>
              <w:t>st</w:t>
            </w:r>
            <w:r w:rsidRPr="00C60AD1">
              <w:rPr>
                <w:sz w:val="22"/>
                <w:szCs w:val="22"/>
              </w:rPr>
              <w:t xml:space="preserve"> April (Depreciable)</w:t>
            </w:r>
          </w:p>
        </w:tc>
        <w:tc>
          <w:tcPr>
            <w:tcW w:w="1101" w:type="pct"/>
            <w:shd w:val="clear" w:color="auto" w:fill="auto"/>
            <w:vAlign w:val="center"/>
            <w:hideMark/>
          </w:tcPr>
          <w:p w:rsidR="00C34658" w:rsidRDefault="00C34658" w:rsidP="00D55642">
            <w:pPr>
              <w:spacing w:before="0" w:line="240" w:lineRule="auto"/>
              <w:jc w:val="center"/>
              <w:rPr>
                <w:sz w:val="22"/>
                <w:szCs w:val="22"/>
              </w:rPr>
            </w:pPr>
            <w:r w:rsidRPr="00C60AD1">
              <w:rPr>
                <w:sz w:val="22"/>
                <w:szCs w:val="22"/>
              </w:rPr>
              <w:t>B</w:t>
            </w:r>
          </w:p>
        </w:tc>
        <w:tc>
          <w:tcPr>
            <w:tcW w:w="710" w:type="pct"/>
            <w:shd w:val="clear" w:color="auto" w:fill="auto"/>
            <w:vAlign w:val="center"/>
            <w:hideMark/>
          </w:tcPr>
          <w:p w:rsidR="00C34658" w:rsidRDefault="00C34658" w:rsidP="00D55642">
            <w:pPr>
              <w:spacing w:before="0" w:line="240" w:lineRule="auto"/>
              <w:jc w:val="right"/>
              <w:rPr>
                <w:sz w:val="22"/>
                <w:szCs w:val="22"/>
              </w:rPr>
            </w:pPr>
            <w:r>
              <w:rPr>
                <w:sz w:val="22"/>
                <w:szCs w:val="22"/>
              </w:rPr>
              <w:t>6,845.80</w:t>
            </w:r>
          </w:p>
        </w:tc>
        <w:tc>
          <w:tcPr>
            <w:tcW w:w="735"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6,580.72</w:t>
            </w:r>
          </w:p>
        </w:tc>
      </w:tr>
      <w:tr w:rsidR="00C34658" w:rsidRPr="00C60AD1" w:rsidTr="00D55642">
        <w:trPr>
          <w:trHeight w:val="300"/>
        </w:trPr>
        <w:tc>
          <w:tcPr>
            <w:tcW w:w="2454" w:type="pct"/>
            <w:shd w:val="clear" w:color="auto" w:fill="auto"/>
            <w:vAlign w:val="center"/>
            <w:hideMark/>
          </w:tcPr>
          <w:p w:rsidR="00C34658" w:rsidRDefault="00C34658" w:rsidP="00D55642">
            <w:pPr>
              <w:spacing w:before="0" w:line="240" w:lineRule="auto"/>
              <w:jc w:val="left"/>
              <w:rPr>
                <w:sz w:val="22"/>
                <w:szCs w:val="22"/>
              </w:rPr>
            </w:pPr>
            <w:r w:rsidRPr="00C60AD1">
              <w:rPr>
                <w:sz w:val="22"/>
                <w:szCs w:val="22"/>
              </w:rPr>
              <w:t>Addition to GFA during the year (Depreciable)</w:t>
            </w:r>
          </w:p>
        </w:tc>
        <w:tc>
          <w:tcPr>
            <w:tcW w:w="1101" w:type="pct"/>
            <w:shd w:val="clear" w:color="auto" w:fill="auto"/>
            <w:vAlign w:val="center"/>
            <w:hideMark/>
          </w:tcPr>
          <w:p w:rsidR="00C34658" w:rsidRDefault="00C34658" w:rsidP="00D55642">
            <w:pPr>
              <w:spacing w:before="0" w:line="240" w:lineRule="auto"/>
              <w:jc w:val="center"/>
              <w:rPr>
                <w:sz w:val="22"/>
                <w:szCs w:val="22"/>
              </w:rPr>
            </w:pPr>
            <w:r w:rsidRPr="00C60AD1">
              <w:rPr>
                <w:sz w:val="22"/>
                <w:szCs w:val="22"/>
              </w:rPr>
              <w:t>C</w:t>
            </w:r>
          </w:p>
        </w:tc>
        <w:tc>
          <w:tcPr>
            <w:tcW w:w="710" w:type="pct"/>
            <w:shd w:val="clear" w:color="auto" w:fill="auto"/>
            <w:vAlign w:val="center"/>
            <w:hideMark/>
          </w:tcPr>
          <w:p w:rsidR="00C34658" w:rsidRDefault="00C34658" w:rsidP="00D55642">
            <w:pPr>
              <w:spacing w:before="0" w:line="240" w:lineRule="auto"/>
              <w:jc w:val="right"/>
              <w:rPr>
                <w:sz w:val="22"/>
                <w:szCs w:val="22"/>
              </w:rPr>
            </w:pPr>
            <w:r>
              <w:rPr>
                <w:sz w:val="22"/>
                <w:szCs w:val="22"/>
              </w:rPr>
              <w:t>2,002.94</w:t>
            </w:r>
          </w:p>
        </w:tc>
        <w:tc>
          <w:tcPr>
            <w:tcW w:w="735"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1,532.89</w:t>
            </w:r>
          </w:p>
        </w:tc>
      </w:tr>
      <w:tr w:rsidR="00C34658" w:rsidRPr="00C60AD1" w:rsidTr="00D55642">
        <w:trPr>
          <w:trHeight w:val="300"/>
        </w:trPr>
        <w:tc>
          <w:tcPr>
            <w:tcW w:w="2454" w:type="pct"/>
            <w:shd w:val="clear" w:color="auto" w:fill="auto"/>
            <w:vAlign w:val="center"/>
            <w:hideMark/>
          </w:tcPr>
          <w:p w:rsidR="00C34658" w:rsidRDefault="00C34658" w:rsidP="00D55642">
            <w:pPr>
              <w:spacing w:before="0" w:line="240" w:lineRule="auto"/>
              <w:jc w:val="left"/>
              <w:rPr>
                <w:b/>
                <w:sz w:val="22"/>
                <w:szCs w:val="22"/>
              </w:rPr>
            </w:pPr>
            <w:r w:rsidRPr="00C60AD1">
              <w:rPr>
                <w:b/>
                <w:sz w:val="22"/>
                <w:szCs w:val="22"/>
              </w:rPr>
              <w:t>Depreciation on Opening  GFA + Addition during the year</w:t>
            </w:r>
          </w:p>
        </w:tc>
        <w:tc>
          <w:tcPr>
            <w:tcW w:w="1101" w:type="pct"/>
            <w:shd w:val="clear" w:color="auto" w:fill="auto"/>
            <w:vAlign w:val="center"/>
            <w:hideMark/>
          </w:tcPr>
          <w:p w:rsidR="00C34658" w:rsidRDefault="00C34658" w:rsidP="00D55642">
            <w:pPr>
              <w:spacing w:before="0" w:line="240" w:lineRule="auto"/>
              <w:jc w:val="center"/>
              <w:rPr>
                <w:b/>
                <w:sz w:val="22"/>
                <w:szCs w:val="22"/>
              </w:rPr>
            </w:pPr>
            <w:r w:rsidRPr="00C60AD1">
              <w:rPr>
                <w:b/>
                <w:sz w:val="22"/>
                <w:szCs w:val="22"/>
              </w:rPr>
              <w:t>D = (A*B)+(C*A/2)</w:t>
            </w:r>
          </w:p>
        </w:tc>
        <w:tc>
          <w:tcPr>
            <w:tcW w:w="710" w:type="pct"/>
            <w:shd w:val="clear" w:color="auto" w:fill="auto"/>
            <w:vAlign w:val="center"/>
            <w:hideMark/>
          </w:tcPr>
          <w:p w:rsidR="00C34658" w:rsidRDefault="00C34658" w:rsidP="00D55642">
            <w:pPr>
              <w:spacing w:before="0" w:line="240" w:lineRule="auto"/>
              <w:jc w:val="right"/>
              <w:rPr>
                <w:b/>
                <w:sz w:val="22"/>
                <w:szCs w:val="22"/>
              </w:rPr>
            </w:pPr>
            <w:r>
              <w:rPr>
                <w:b/>
                <w:bCs/>
                <w:color w:val="000000"/>
                <w:sz w:val="22"/>
                <w:szCs w:val="22"/>
              </w:rPr>
              <w:t>615.20</w:t>
            </w:r>
          </w:p>
        </w:tc>
        <w:tc>
          <w:tcPr>
            <w:tcW w:w="735"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576.01 </w:t>
            </w:r>
          </w:p>
        </w:tc>
      </w:tr>
      <w:tr w:rsidR="00C34658" w:rsidRPr="00C60AD1" w:rsidTr="00D55642">
        <w:trPr>
          <w:trHeight w:val="300"/>
        </w:trPr>
        <w:tc>
          <w:tcPr>
            <w:tcW w:w="2454" w:type="pct"/>
            <w:shd w:val="clear" w:color="auto" w:fill="auto"/>
            <w:vAlign w:val="center"/>
            <w:hideMark/>
          </w:tcPr>
          <w:p w:rsidR="00C34658" w:rsidRDefault="00C34658" w:rsidP="00D55642">
            <w:pPr>
              <w:spacing w:before="0" w:line="240" w:lineRule="auto"/>
              <w:jc w:val="left"/>
              <w:rPr>
                <w:sz w:val="22"/>
                <w:szCs w:val="22"/>
              </w:rPr>
            </w:pPr>
            <w:r w:rsidRPr="00C60AD1">
              <w:rPr>
                <w:sz w:val="22"/>
                <w:szCs w:val="22"/>
              </w:rPr>
              <w:t>Less:</w:t>
            </w:r>
          </w:p>
        </w:tc>
        <w:tc>
          <w:tcPr>
            <w:tcW w:w="1101" w:type="pct"/>
            <w:shd w:val="clear" w:color="auto" w:fill="auto"/>
            <w:vAlign w:val="center"/>
            <w:hideMark/>
          </w:tcPr>
          <w:p w:rsidR="00C34658" w:rsidRDefault="00C34658" w:rsidP="00D55642">
            <w:pPr>
              <w:spacing w:before="0" w:line="240" w:lineRule="auto"/>
              <w:jc w:val="center"/>
              <w:rPr>
                <w:sz w:val="22"/>
                <w:szCs w:val="22"/>
              </w:rPr>
            </w:pPr>
          </w:p>
        </w:tc>
        <w:tc>
          <w:tcPr>
            <w:tcW w:w="710" w:type="pct"/>
            <w:shd w:val="clear" w:color="auto" w:fill="auto"/>
            <w:vAlign w:val="center"/>
            <w:hideMark/>
          </w:tcPr>
          <w:p w:rsidR="00C34658" w:rsidRDefault="00C34658" w:rsidP="00D55642">
            <w:pPr>
              <w:spacing w:before="0" w:line="240" w:lineRule="auto"/>
              <w:jc w:val="right"/>
              <w:rPr>
                <w:sz w:val="22"/>
                <w:szCs w:val="22"/>
              </w:rPr>
            </w:pPr>
            <w:r>
              <w:rPr>
                <w:sz w:val="22"/>
                <w:szCs w:val="22"/>
              </w:rPr>
              <w:t> </w:t>
            </w:r>
          </w:p>
        </w:tc>
        <w:tc>
          <w:tcPr>
            <w:tcW w:w="735"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w:t>
            </w:r>
          </w:p>
        </w:tc>
      </w:tr>
      <w:tr w:rsidR="00C34658" w:rsidRPr="00C60AD1" w:rsidTr="00D55642">
        <w:trPr>
          <w:trHeight w:val="600"/>
        </w:trPr>
        <w:tc>
          <w:tcPr>
            <w:tcW w:w="2454" w:type="pct"/>
            <w:shd w:val="clear" w:color="auto" w:fill="auto"/>
            <w:vAlign w:val="center"/>
            <w:hideMark/>
          </w:tcPr>
          <w:p w:rsidR="00C34658" w:rsidRDefault="00C34658" w:rsidP="00D55642">
            <w:pPr>
              <w:spacing w:before="0" w:line="240" w:lineRule="auto"/>
              <w:jc w:val="left"/>
              <w:rPr>
                <w:sz w:val="22"/>
                <w:szCs w:val="22"/>
              </w:rPr>
            </w:pPr>
            <w:r w:rsidRPr="00C60AD1">
              <w:rPr>
                <w:sz w:val="22"/>
                <w:szCs w:val="22"/>
              </w:rPr>
              <w:t xml:space="preserve">Depreciation on  assets created from </w:t>
            </w:r>
            <w:r w:rsidRPr="00C60AD1">
              <w:rPr>
                <w:sz w:val="22"/>
                <w:szCs w:val="22"/>
              </w:rPr>
              <w:br/>
              <w:t>Consumer Contribution and Capital Assets Subsidy</w:t>
            </w:r>
          </w:p>
        </w:tc>
        <w:tc>
          <w:tcPr>
            <w:tcW w:w="1101" w:type="pct"/>
            <w:shd w:val="clear" w:color="auto" w:fill="auto"/>
            <w:vAlign w:val="center"/>
            <w:hideMark/>
          </w:tcPr>
          <w:p w:rsidR="00C34658" w:rsidRDefault="00C34658" w:rsidP="00D55642">
            <w:pPr>
              <w:spacing w:before="0" w:line="240" w:lineRule="auto"/>
              <w:jc w:val="center"/>
              <w:rPr>
                <w:sz w:val="22"/>
                <w:szCs w:val="22"/>
              </w:rPr>
            </w:pPr>
            <w:r w:rsidRPr="00C60AD1">
              <w:rPr>
                <w:sz w:val="22"/>
                <w:szCs w:val="22"/>
              </w:rPr>
              <w:t>E</w:t>
            </w:r>
          </w:p>
        </w:tc>
        <w:tc>
          <w:tcPr>
            <w:tcW w:w="710" w:type="pct"/>
            <w:shd w:val="clear" w:color="auto" w:fill="auto"/>
            <w:vAlign w:val="center"/>
            <w:hideMark/>
          </w:tcPr>
          <w:p w:rsidR="00C34658" w:rsidRDefault="00C34658" w:rsidP="00D55642">
            <w:pPr>
              <w:spacing w:before="0" w:line="240" w:lineRule="auto"/>
              <w:jc w:val="right"/>
              <w:rPr>
                <w:sz w:val="22"/>
                <w:szCs w:val="22"/>
              </w:rPr>
            </w:pPr>
            <w:r>
              <w:rPr>
                <w:sz w:val="22"/>
                <w:szCs w:val="22"/>
              </w:rPr>
              <w:t>166.88</w:t>
            </w:r>
          </w:p>
        </w:tc>
        <w:tc>
          <w:tcPr>
            <w:tcW w:w="735"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xml:space="preserve">       156.25 </w:t>
            </w:r>
          </w:p>
        </w:tc>
      </w:tr>
      <w:tr w:rsidR="00C34658" w:rsidRPr="00C60AD1" w:rsidTr="00D55642">
        <w:trPr>
          <w:trHeight w:val="300"/>
        </w:trPr>
        <w:tc>
          <w:tcPr>
            <w:tcW w:w="2454" w:type="pct"/>
            <w:shd w:val="clear" w:color="auto" w:fill="auto"/>
            <w:vAlign w:val="center"/>
            <w:hideMark/>
          </w:tcPr>
          <w:p w:rsidR="00C34658" w:rsidRDefault="00C34658" w:rsidP="00D55642">
            <w:pPr>
              <w:spacing w:before="0" w:line="240" w:lineRule="auto"/>
              <w:jc w:val="left"/>
              <w:rPr>
                <w:b/>
                <w:sz w:val="22"/>
                <w:szCs w:val="22"/>
              </w:rPr>
            </w:pPr>
            <w:r w:rsidRPr="00C60AD1">
              <w:rPr>
                <w:b/>
                <w:sz w:val="22"/>
                <w:szCs w:val="22"/>
              </w:rPr>
              <w:t xml:space="preserve">Allowable Depreciation for </w:t>
            </w:r>
            <w:r>
              <w:rPr>
                <w:b/>
                <w:sz w:val="22"/>
                <w:szCs w:val="22"/>
              </w:rPr>
              <w:t>2016-17</w:t>
            </w:r>
          </w:p>
        </w:tc>
        <w:tc>
          <w:tcPr>
            <w:tcW w:w="1101" w:type="pct"/>
            <w:shd w:val="clear" w:color="auto" w:fill="auto"/>
            <w:vAlign w:val="center"/>
            <w:hideMark/>
          </w:tcPr>
          <w:p w:rsidR="00C34658" w:rsidRDefault="00C34658" w:rsidP="00D55642">
            <w:pPr>
              <w:spacing w:before="0" w:line="240" w:lineRule="auto"/>
              <w:jc w:val="center"/>
              <w:rPr>
                <w:b/>
                <w:sz w:val="22"/>
                <w:szCs w:val="22"/>
              </w:rPr>
            </w:pPr>
            <w:r w:rsidRPr="00C60AD1">
              <w:rPr>
                <w:b/>
                <w:sz w:val="22"/>
                <w:szCs w:val="22"/>
              </w:rPr>
              <w:t>F=D-E</w:t>
            </w:r>
          </w:p>
        </w:tc>
        <w:tc>
          <w:tcPr>
            <w:tcW w:w="710"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448.32 </w:t>
            </w:r>
          </w:p>
        </w:tc>
        <w:tc>
          <w:tcPr>
            <w:tcW w:w="735"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419.76 </w:t>
            </w:r>
          </w:p>
        </w:tc>
      </w:tr>
      <w:tr w:rsidR="00C34658" w:rsidRPr="00C60AD1" w:rsidTr="00D55642">
        <w:trPr>
          <w:trHeight w:val="600"/>
        </w:trPr>
        <w:tc>
          <w:tcPr>
            <w:tcW w:w="2454" w:type="pct"/>
            <w:shd w:val="clear" w:color="auto" w:fill="auto"/>
            <w:vAlign w:val="center"/>
            <w:hideMark/>
          </w:tcPr>
          <w:p w:rsidR="00C34658" w:rsidRDefault="00C34658" w:rsidP="00D55642">
            <w:pPr>
              <w:spacing w:before="0" w:line="240" w:lineRule="auto"/>
              <w:jc w:val="left"/>
              <w:rPr>
                <w:sz w:val="22"/>
                <w:szCs w:val="22"/>
              </w:rPr>
            </w:pPr>
            <w:r w:rsidRPr="00C60AD1">
              <w:rPr>
                <w:sz w:val="22"/>
                <w:szCs w:val="22"/>
              </w:rPr>
              <w:t>Less: Depreciation withheld due to non-maintenance of Fixed Asset Register</w:t>
            </w:r>
          </w:p>
        </w:tc>
        <w:tc>
          <w:tcPr>
            <w:tcW w:w="1101" w:type="pct"/>
            <w:shd w:val="clear" w:color="auto" w:fill="auto"/>
            <w:vAlign w:val="center"/>
            <w:hideMark/>
          </w:tcPr>
          <w:p w:rsidR="00C34658" w:rsidRDefault="00C34658" w:rsidP="00D55642">
            <w:pPr>
              <w:spacing w:before="0" w:line="240" w:lineRule="auto"/>
              <w:jc w:val="center"/>
              <w:rPr>
                <w:sz w:val="22"/>
                <w:szCs w:val="22"/>
              </w:rPr>
            </w:pPr>
            <w:r w:rsidRPr="00C60AD1">
              <w:rPr>
                <w:sz w:val="22"/>
                <w:szCs w:val="22"/>
              </w:rPr>
              <w:t>G = F*30%</w:t>
            </w:r>
          </w:p>
        </w:tc>
        <w:tc>
          <w:tcPr>
            <w:tcW w:w="710" w:type="pct"/>
            <w:shd w:val="clear" w:color="auto" w:fill="auto"/>
            <w:vAlign w:val="center"/>
            <w:hideMark/>
          </w:tcPr>
          <w:p w:rsidR="00C34658" w:rsidRDefault="00C34658" w:rsidP="00D55642">
            <w:pPr>
              <w:spacing w:before="0" w:line="240" w:lineRule="auto"/>
              <w:jc w:val="right"/>
              <w:rPr>
                <w:rFonts w:cs="Arial"/>
                <w:b/>
                <w:bCs/>
                <w:caps/>
                <w:kern w:val="32"/>
                <w:sz w:val="22"/>
                <w:szCs w:val="22"/>
              </w:rPr>
            </w:pPr>
            <w:r>
              <w:rPr>
                <w:sz w:val="22"/>
                <w:szCs w:val="22"/>
              </w:rPr>
              <w:t> </w:t>
            </w:r>
          </w:p>
        </w:tc>
        <w:tc>
          <w:tcPr>
            <w:tcW w:w="735"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xml:space="preserve">125.93 </w:t>
            </w:r>
          </w:p>
        </w:tc>
      </w:tr>
      <w:tr w:rsidR="00C34658" w:rsidRPr="00C60AD1" w:rsidTr="00D55642">
        <w:trPr>
          <w:trHeight w:val="300"/>
        </w:trPr>
        <w:tc>
          <w:tcPr>
            <w:tcW w:w="2454" w:type="pct"/>
            <w:shd w:val="clear" w:color="auto" w:fill="auto"/>
            <w:vAlign w:val="center"/>
            <w:hideMark/>
          </w:tcPr>
          <w:p w:rsidR="00C34658" w:rsidRDefault="00C34658" w:rsidP="00D55642">
            <w:pPr>
              <w:spacing w:before="0" w:line="240" w:lineRule="auto"/>
              <w:jc w:val="left"/>
              <w:rPr>
                <w:b/>
                <w:sz w:val="22"/>
                <w:szCs w:val="22"/>
              </w:rPr>
            </w:pPr>
            <w:r w:rsidRPr="00C60AD1">
              <w:rPr>
                <w:b/>
                <w:sz w:val="22"/>
                <w:szCs w:val="22"/>
              </w:rPr>
              <w:t xml:space="preserve">Net Allowable Depreciation for FY </w:t>
            </w:r>
            <w:r>
              <w:rPr>
                <w:b/>
                <w:sz w:val="22"/>
                <w:szCs w:val="22"/>
              </w:rPr>
              <w:t>2016-17</w:t>
            </w:r>
          </w:p>
        </w:tc>
        <w:tc>
          <w:tcPr>
            <w:tcW w:w="1101" w:type="pct"/>
            <w:shd w:val="clear" w:color="auto" w:fill="auto"/>
            <w:vAlign w:val="center"/>
            <w:hideMark/>
          </w:tcPr>
          <w:p w:rsidR="00C34658" w:rsidRDefault="00C34658" w:rsidP="00D55642">
            <w:pPr>
              <w:spacing w:before="0" w:line="240" w:lineRule="auto"/>
              <w:jc w:val="center"/>
              <w:rPr>
                <w:b/>
                <w:sz w:val="22"/>
                <w:szCs w:val="22"/>
              </w:rPr>
            </w:pPr>
            <w:r w:rsidRPr="00C60AD1">
              <w:rPr>
                <w:b/>
                <w:sz w:val="22"/>
                <w:szCs w:val="22"/>
              </w:rPr>
              <w:t>H = F – G</w:t>
            </w:r>
          </w:p>
        </w:tc>
        <w:tc>
          <w:tcPr>
            <w:tcW w:w="710" w:type="pct"/>
            <w:shd w:val="clear" w:color="auto" w:fill="auto"/>
            <w:vAlign w:val="center"/>
            <w:hideMark/>
          </w:tcPr>
          <w:p w:rsidR="00C34658" w:rsidRDefault="00C34658" w:rsidP="00D55642">
            <w:pPr>
              <w:spacing w:before="0" w:line="240" w:lineRule="auto"/>
              <w:jc w:val="right"/>
              <w:rPr>
                <w:b/>
                <w:sz w:val="22"/>
                <w:szCs w:val="22"/>
              </w:rPr>
            </w:pPr>
            <w:r>
              <w:rPr>
                <w:b/>
                <w:bCs/>
                <w:sz w:val="22"/>
                <w:szCs w:val="22"/>
              </w:rPr>
              <w:t> </w:t>
            </w:r>
          </w:p>
        </w:tc>
        <w:tc>
          <w:tcPr>
            <w:tcW w:w="735"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  293.83 </w:t>
            </w:r>
          </w:p>
        </w:tc>
      </w:tr>
    </w:tbl>
    <w:p w:rsidR="00C34658" w:rsidRPr="00C60AD1" w:rsidRDefault="00C34658" w:rsidP="00C34658">
      <w:pPr>
        <w:tabs>
          <w:tab w:val="left" w:pos="720"/>
        </w:tabs>
        <w:spacing w:before="0"/>
        <w:jc w:val="center"/>
        <w:outlineLvl w:val="2"/>
        <w:rPr>
          <w:rFonts w:cs="Arial"/>
          <w:bCs/>
          <w:szCs w:val="26"/>
        </w:rPr>
      </w:pPr>
    </w:p>
    <w:p w:rsidR="00C34658" w:rsidRPr="00C60AD1" w:rsidRDefault="00C34658" w:rsidP="00C34658">
      <w:pPr>
        <w:pStyle w:val="Heading2"/>
        <w:numPr>
          <w:ilvl w:val="1"/>
          <w:numId w:val="16"/>
        </w:numPr>
      </w:pPr>
      <w:bookmarkStart w:id="912" w:name="_Toc356322606"/>
      <w:bookmarkStart w:id="913" w:name="_Toc357718671"/>
      <w:bookmarkStart w:id="914" w:name="_Toc396573843"/>
      <w:bookmarkStart w:id="915" w:name="_Toc419992298"/>
      <w:bookmarkStart w:id="916" w:name="_Toc453367620"/>
      <w:bookmarkStart w:id="917" w:name="_Toc457603957"/>
      <w:r w:rsidRPr="00C60AD1">
        <w:t>INTEREST AND FINANCING COST</w:t>
      </w:r>
      <w:bookmarkEnd w:id="912"/>
      <w:bookmarkEnd w:id="913"/>
      <w:bookmarkEnd w:id="914"/>
      <w:bookmarkEnd w:id="915"/>
      <w:bookmarkEnd w:id="916"/>
      <w:bookmarkEnd w:id="917"/>
    </w:p>
    <w:p w:rsidR="00C34658" w:rsidRPr="00C60AD1" w:rsidRDefault="00C34658" w:rsidP="00C34658">
      <w:pPr>
        <w:tabs>
          <w:tab w:val="left" w:pos="720"/>
        </w:tabs>
        <w:ind w:left="180"/>
        <w:outlineLvl w:val="2"/>
        <w:rPr>
          <w:rFonts w:cs="Arial"/>
          <w:b/>
          <w:bCs/>
          <w:szCs w:val="26"/>
        </w:rPr>
      </w:pPr>
      <w:r w:rsidRPr="00C60AD1">
        <w:rPr>
          <w:rFonts w:cs="Arial"/>
          <w:b/>
          <w:bCs/>
          <w:szCs w:val="26"/>
        </w:rPr>
        <w:t xml:space="preserve">Interest on Long Term Loans </w:t>
      </w:r>
    </w:p>
    <w:p w:rsidR="00D5771F" w:rsidRDefault="00C34658">
      <w:pPr>
        <w:pStyle w:val="Heading3"/>
        <w:tabs>
          <w:tab w:val="clear" w:pos="720"/>
        </w:tabs>
        <w:spacing w:after="240"/>
        <w:ind w:left="993" w:hanging="993"/>
      </w:pPr>
      <w:r w:rsidRPr="00C60AD1">
        <w:t xml:space="preserve">The Petitioner submitted that it has considered a normative approach with a debt: equity ratio of 70:30. In this approach, 70% of the capital expenditure undertaken in any year has been considered to be financed through loan and balance 30% has been considered to be funded through equity contributions. The portion of capital expenditure financed through consumer contributions, capital subsidies and grants has been separated as the depreciation and interest thereon has not been charged to the beneficiaries. </w:t>
      </w:r>
    </w:p>
    <w:p w:rsidR="00D5771F" w:rsidRDefault="00C34658">
      <w:pPr>
        <w:pStyle w:val="Heading3"/>
        <w:tabs>
          <w:tab w:val="clear" w:pos="720"/>
        </w:tabs>
        <w:spacing w:after="240"/>
        <w:ind w:left="993" w:hanging="993"/>
      </w:pPr>
      <w:r w:rsidRPr="00C60AD1">
        <w:t xml:space="preserve">The Petitioner submitted that the allowable depreciation for the year has been considered as normative loan repayment. The weighted average rate of interest of overall long term loan portfolio for FY 2013-14 has been considered for </w:t>
      </w:r>
      <w:r>
        <w:t xml:space="preserve">FY 2015-16 and </w:t>
      </w:r>
      <w:r w:rsidRPr="00C60AD1">
        <w:t xml:space="preserve">FY </w:t>
      </w:r>
      <w:r>
        <w:t>2016-17</w:t>
      </w:r>
      <w:r w:rsidRPr="00C60AD1">
        <w:t>, as it seems to be fair and equitable. The interest capitalization has been considered at a rate of 23% which is consistent with the rate considered by the Commission in previous Tariff Orders.</w:t>
      </w:r>
    </w:p>
    <w:p w:rsidR="00D5771F" w:rsidRDefault="00C34658">
      <w:pPr>
        <w:pStyle w:val="Heading3"/>
        <w:tabs>
          <w:tab w:val="clear" w:pos="720"/>
        </w:tabs>
        <w:spacing w:after="240"/>
        <w:ind w:left="993" w:hanging="993"/>
      </w:pPr>
      <w:r w:rsidRPr="00C60AD1">
        <w:t>It is observed that the Petitioner has computed interest on long term loan based on the normative approach adopted by the Commission in its previous Orders. Therefore, the Commission has approved the methodology used by the Petitioner. However, the Commission has computed the interest on long term loan based on the revised opening and closing loan balances approved in earlier sections while doing up the Truing up of FY 201</w:t>
      </w:r>
      <w:r>
        <w:t>3</w:t>
      </w:r>
      <w:r w:rsidRPr="00C60AD1">
        <w:t>-1</w:t>
      </w:r>
      <w:r>
        <w:t>4</w:t>
      </w:r>
      <w:r w:rsidRPr="00C60AD1">
        <w:t xml:space="preserve">. Also the loan addition during FY </w:t>
      </w:r>
      <w:r>
        <w:t>2016-17</w:t>
      </w:r>
      <w:r w:rsidRPr="00C60AD1">
        <w:t xml:space="preserve"> has been considered as worked out in earlier </w:t>
      </w:r>
      <w:r w:rsidRPr="00C60AD1">
        <w:lastRenderedPageBreak/>
        <w:t xml:space="preserve">section of this Chapter.The allowable depreciation for the year has been considered as normative loan repayment. </w:t>
      </w:r>
    </w:p>
    <w:p w:rsidR="00D5771F" w:rsidRDefault="00C34658">
      <w:pPr>
        <w:pStyle w:val="Heading3"/>
        <w:tabs>
          <w:tab w:val="clear" w:pos="720"/>
        </w:tabs>
        <w:spacing w:after="240"/>
        <w:ind w:left="993" w:hanging="993"/>
      </w:pPr>
      <w:r w:rsidRPr="00C60AD1">
        <w:t xml:space="preserve">The weighted average rate of interest as submitted by the Petitioner has been considered for computing the interest on long term loans for FY </w:t>
      </w:r>
      <w:r>
        <w:t>2016-17</w:t>
      </w:r>
      <w:r w:rsidRPr="00C60AD1">
        <w:t>. Further, the interest capitalisation has been considered at a rate of 23%, which is same as the Petitioner’s submission and is also consistent with the methodology adopted by the Commission in its previous Order.</w:t>
      </w:r>
    </w:p>
    <w:p w:rsidR="00D5771F" w:rsidRDefault="00C34658">
      <w:pPr>
        <w:pStyle w:val="Heading3"/>
        <w:tabs>
          <w:tab w:val="clear" w:pos="720"/>
        </w:tabs>
        <w:spacing w:after="240"/>
        <w:ind w:left="993" w:hanging="993"/>
      </w:pPr>
      <w:r w:rsidRPr="00C60AD1">
        <w:t>The interest on long term loan as claimed by the Petitioner and as approved by the Commission is shown in the Table below:</w:t>
      </w:r>
    </w:p>
    <w:p w:rsidR="00C34658" w:rsidRPr="007057CE" w:rsidRDefault="006C63AF" w:rsidP="00C34658">
      <w:pPr>
        <w:jc w:val="center"/>
        <w:rPr>
          <w:rFonts w:cstheme="minorHAnsi"/>
          <w:b/>
          <w:sz w:val="22"/>
        </w:rPr>
      </w:pPr>
      <w:bookmarkStart w:id="918" w:name="_Toc357718752"/>
      <w:bookmarkStart w:id="919" w:name="_Toc395657976"/>
      <w:bookmarkStart w:id="920" w:name="_Toc396574027"/>
      <w:bookmarkStart w:id="921" w:name="_Toc419992323"/>
      <w:bookmarkStart w:id="922" w:name="_Toc453367705"/>
      <w:bookmarkStart w:id="923" w:name="_Toc457604076"/>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5</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60</w:t>
      </w:r>
      <w:r w:rsidR="009741CA" w:rsidRPr="006C63AF">
        <w:rPr>
          <w:rFonts w:cstheme="minorHAnsi"/>
          <w:b/>
          <w:sz w:val="22"/>
        </w:rPr>
        <w:fldChar w:fldCharType="end"/>
      </w:r>
      <w:r w:rsidRPr="006C63AF">
        <w:rPr>
          <w:rFonts w:cstheme="minorHAnsi"/>
          <w:b/>
          <w:sz w:val="22"/>
        </w:rPr>
        <w:t>: INTEREST ON LONG TERM LOANS UP TO FY 2016-17 (Rs. Crore)</w:t>
      </w:r>
      <w:bookmarkEnd w:id="918"/>
      <w:bookmarkEnd w:id="919"/>
      <w:bookmarkEnd w:id="920"/>
      <w:bookmarkEnd w:id="921"/>
      <w:bookmarkEnd w:id="922"/>
      <w:bookmarkEnd w:id="923"/>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329"/>
        <w:gridCol w:w="1528"/>
        <w:gridCol w:w="2028"/>
      </w:tblGrid>
      <w:tr w:rsidR="00C34658" w:rsidRPr="00C60AD1" w:rsidTr="00AA3DF1">
        <w:trPr>
          <w:trHeight w:val="77"/>
          <w:tblHeader/>
          <w:jc w:val="center"/>
        </w:trPr>
        <w:tc>
          <w:tcPr>
            <w:tcW w:w="2999" w:type="pct"/>
            <w:shd w:val="clear" w:color="000000" w:fill="DBE5F1"/>
            <w:hideMark/>
          </w:tcPr>
          <w:p w:rsidR="00603835" w:rsidRDefault="00C34658">
            <w:pPr>
              <w:spacing w:before="0" w:line="240" w:lineRule="auto"/>
              <w:jc w:val="center"/>
              <w:rPr>
                <w:b/>
                <w:sz w:val="22"/>
                <w:szCs w:val="22"/>
              </w:rPr>
            </w:pPr>
            <w:r w:rsidRPr="00C60AD1">
              <w:rPr>
                <w:b/>
                <w:sz w:val="22"/>
                <w:szCs w:val="22"/>
              </w:rPr>
              <w:t>Particulars</w:t>
            </w:r>
          </w:p>
        </w:tc>
        <w:tc>
          <w:tcPr>
            <w:tcW w:w="860" w:type="pct"/>
            <w:shd w:val="clear" w:color="000000" w:fill="DBE5F1"/>
            <w:noWrap/>
            <w:hideMark/>
          </w:tcPr>
          <w:p w:rsidR="00603835" w:rsidRDefault="00C34658">
            <w:pPr>
              <w:spacing w:before="0" w:line="240" w:lineRule="auto"/>
              <w:jc w:val="center"/>
              <w:rPr>
                <w:b/>
                <w:sz w:val="22"/>
                <w:szCs w:val="22"/>
              </w:rPr>
            </w:pPr>
            <w:r w:rsidRPr="00C60AD1">
              <w:rPr>
                <w:b/>
                <w:sz w:val="22"/>
                <w:szCs w:val="22"/>
              </w:rPr>
              <w:t>ARR Petition</w:t>
            </w:r>
          </w:p>
        </w:tc>
        <w:tc>
          <w:tcPr>
            <w:tcW w:w="1141" w:type="pct"/>
            <w:shd w:val="clear" w:color="000000" w:fill="DBE5F1"/>
            <w:hideMark/>
          </w:tcPr>
          <w:p w:rsidR="00603835" w:rsidRDefault="00C34658">
            <w:pPr>
              <w:spacing w:before="0" w:line="240" w:lineRule="auto"/>
              <w:jc w:val="center"/>
              <w:rPr>
                <w:b/>
                <w:sz w:val="22"/>
                <w:szCs w:val="22"/>
              </w:rPr>
            </w:pPr>
            <w:r w:rsidRPr="00C60AD1">
              <w:rPr>
                <w:b/>
                <w:sz w:val="22"/>
                <w:szCs w:val="22"/>
              </w:rPr>
              <w:t xml:space="preserve">FY </w:t>
            </w:r>
            <w:r>
              <w:rPr>
                <w:b/>
                <w:sz w:val="22"/>
                <w:szCs w:val="22"/>
              </w:rPr>
              <w:t>2016-17</w:t>
            </w:r>
            <w:r w:rsidRPr="00C60AD1">
              <w:rPr>
                <w:b/>
                <w:sz w:val="22"/>
                <w:szCs w:val="22"/>
              </w:rPr>
              <w:br/>
              <w:t>Approved</w:t>
            </w:r>
          </w:p>
        </w:tc>
      </w:tr>
      <w:tr w:rsidR="00C34658" w:rsidRPr="00C60AD1" w:rsidTr="00D55642">
        <w:trPr>
          <w:trHeight w:val="300"/>
          <w:jc w:val="center"/>
        </w:trPr>
        <w:tc>
          <w:tcPr>
            <w:tcW w:w="2999" w:type="pct"/>
            <w:shd w:val="clear" w:color="auto" w:fill="auto"/>
            <w:vAlign w:val="center"/>
            <w:hideMark/>
          </w:tcPr>
          <w:p w:rsidR="00C34658" w:rsidRDefault="00C34658" w:rsidP="00D55642">
            <w:pPr>
              <w:spacing w:before="0" w:line="240" w:lineRule="auto"/>
              <w:jc w:val="left"/>
              <w:rPr>
                <w:sz w:val="22"/>
                <w:szCs w:val="22"/>
                <w:lang w:val="en-US"/>
              </w:rPr>
            </w:pPr>
            <w:r w:rsidRPr="00C60AD1">
              <w:rPr>
                <w:sz w:val="22"/>
                <w:szCs w:val="22"/>
              </w:rPr>
              <w:t>Opening Loan</w:t>
            </w:r>
          </w:p>
        </w:tc>
        <w:tc>
          <w:tcPr>
            <w:tcW w:w="860"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xml:space="preserve">3,102.59 </w:t>
            </w:r>
          </w:p>
        </w:tc>
        <w:tc>
          <w:tcPr>
            <w:tcW w:w="1141"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xml:space="preserve">             2,552.60 </w:t>
            </w:r>
          </w:p>
        </w:tc>
      </w:tr>
      <w:tr w:rsidR="00C34658" w:rsidRPr="00C60AD1" w:rsidTr="00D55642">
        <w:trPr>
          <w:trHeight w:val="300"/>
          <w:jc w:val="center"/>
        </w:trPr>
        <w:tc>
          <w:tcPr>
            <w:tcW w:w="2999" w:type="pct"/>
            <w:shd w:val="clear" w:color="auto" w:fill="auto"/>
            <w:vAlign w:val="center"/>
            <w:hideMark/>
          </w:tcPr>
          <w:p w:rsidR="00C34658" w:rsidRDefault="00C34658" w:rsidP="00D55642">
            <w:pPr>
              <w:spacing w:before="0" w:line="240" w:lineRule="auto"/>
              <w:jc w:val="left"/>
              <w:rPr>
                <w:sz w:val="22"/>
                <w:szCs w:val="22"/>
                <w:lang w:val="en-US"/>
              </w:rPr>
            </w:pPr>
            <w:r w:rsidRPr="00C60AD1">
              <w:rPr>
                <w:sz w:val="22"/>
                <w:szCs w:val="22"/>
              </w:rPr>
              <w:t>Loan Additions (70% of Investments)</w:t>
            </w:r>
          </w:p>
        </w:tc>
        <w:tc>
          <w:tcPr>
            <w:tcW w:w="860"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xml:space="preserve">1,470.00 </w:t>
            </w:r>
          </w:p>
        </w:tc>
        <w:tc>
          <w:tcPr>
            <w:tcW w:w="1141"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xml:space="preserve">             1,029.00 </w:t>
            </w:r>
          </w:p>
        </w:tc>
      </w:tr>
      <w:tr w:rsidR="00C34658" w:rsidRPr="00C60AD1" w:rsidTr="00D55642">
        <w:trPr>
          <w:trHeight w:val="287"/>
          <w:jc w:val="center"/>
        </w:trPr>
        <w:tc>
          <w:tcPr>
            <w:tcW w:w="2999" w:type="pct"/>
            <w:shd w:val="clear" w:color="auto" w:fill="auto"/>
            <w:vAlign w:val="center"/>
            <w:hideMark/>
          </w:tcPr>
          <w:p w:rsidR="00C34658" w:rsidRDefault="00C34658" w:rsidP="00D55642">
            <w:pPr>
              <w:spacing w:before="0" w:line="240" w:lineRule="auto"/>
              <w:jc w:val="left"/>
              <w:rPr>
                <w:sz w:val="22"/>
                <w:szCs w:val="22"/>
                <w:lang w:val="en-US"/>
              </w:rPr>
            </w:pPr>
            <w:r w:rsidRPr="00C60AD1">
              <w:rPr>
                <w:sz w:val="22"/>
                <w:szCs w:val="22"/>
              </w:rPr>
              <w:t>Less: Repayments (Depreciation allowable for the year)</w:t>
            </w:r>
          </w:p>
        </w:tc>
        <w:tc>
          <w:tcPr>
            <w:tcW w:w="860"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xml:space="preserve">448.32 </w:t>
            </w:r>
          </w:p>
        </w:tc>
        <w:tc>
          <w:tcPr>
            <w:tcW w:w="1141"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xml:space="preserve">                419.76 </w:t>
            </w:r>
          </w:p>
        </w:tc>
      </w:tr>
      <w:tr w:rsidR="00C34658" w:rsidRPr="00C60AD1" w:rsidTr="00D55642">
        <w:trPr>
          <w:trHeight w:val="300"/>
          <w:jc w:val="center"/>
        </w:trPr>
        <w:tc>
          <w:tcPr>
            <w:tcW w:w="2999" w:type="pct"/>
            <w:shd w:val="clear" w:color="auto" w:fill="auto"/>
            <w:vAlign w:val="center"/>
            <w:hideMark/>
          </w:tcPr>
          <w:p w:rsidR="00C34658" w:rsidRDefault="00C34658" w:rsidP="00D55642">
            <w:pPr>
              <w:spacing w:before="0" w:line="240" w:lineRule="auto"/>
              <w:jc w:val="left"/>
              <w:rPr>
                <w:b/>
                <w:sz w:val="22"/>
                <w:szCs w:val="22"/>
                <w:lang w:val="en-US"/>
              </w:rPr>
            </w:pPr>
            <w:r w:rsidRPr="00C60AD1">
              <w:rPr>
                <w:b/>
                <w:sz w:val="22"/>
                <w:szCs w:val="22"/>
              </w:rPr>
              <w:t>Closing Loan Balance</w:t>
            </w:r>
          </w:p>
        </w:tc>
        <w:tc>
          <w:tcPr>
            <w:tcW w:w="860"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4,124.27 </w:t>
            </w:r>
          </w:p>
        </w:tc>
        <w:tc>
          <w:tcPr>
            <w:tcW w:w="1141"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             3,161.84 </w:t>
            </w:r>
          </w:p>
        </w:tc>
      </w:tr>
      <w:tr w:rsidR="00C34658" w:rsidRPr="00C60AD1" w:rsidTr="00D55642">
        <w:trPr>
          <w:trHeight w:val="300"/>
          <w:jc w:val="center"/>
        </w:trPr>
        <w:tc>
          <w:tcPr>
            <w:tcW w:w="2999" w:type="pct"/>
            <w:shd w:val="clear" w:color="auto" w:fill="auto"/>
            <w:vAlign w:val="center"/>
            <w:hideMark/>
          </w:tcPr>
          <w:p w:rsidR="00C34658" w:rsidRDefault="00C34658" w:rsidP="00D55642">
            <w:pPr>
              <w:spacing w:before="0" w:line="240" w:lineRule="auto"/>
              <w:jc w:val="left"/>
              <w:rPr>
                <w:sz w:val="22"/>
                <w:szCs w:val="22"/>
                <w:lang w:val="en-US"/>
              </w:rPr>
            </w:pPr>
            <w:r w:rsidRPr="00C60AD1">
              <w:rPr>
                <w:sz w:val="22"/>
                <w:szCs w:val="22"/>
              </w:rPr>
              <w:t>Weighted Average Rate of Interest</w:t>
            </w:r>
          </w:p>
        </w:tc>
        <w:tc>
          <w:tcPr>
            <w:tcW w:w="860"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11.92%</w:t>
            </w:r>
          </w:p>
        </w:tc>
        <w:tc>
          <w:tcPr>
            <w:tcW w:w="1141"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11.92%</w:t>
            </w:r>
          </w:p>
        </w:tc>
      </w:tr>
      <w:tr w:rsidR="00C34658" w:rsidRPr="00C60AD1" w:rsidTr="00D55642">
        <w:trPr>
          <w:trHeight w:val="300"/>
          <w:jc w:val="center"/>
        </w:trPr>
        <w:tc>
          <w:tcPr>
            <w:tcW w:w="2999" w:type="pct"/>
            <w:shd w:val="clear" w:color="auto" w:fill="auto"/>
            <w:vAlign w:val="center"/>
            <w:hideMark/>
          </w:tcPr>
          <w:p w:rsidR="00C34658" w:rsidRDefault="00C34658" w:rsidP="00D55642">
            <w:pPr>
              <w:spacing w:before="0" w:line="240" w:lineRule="auto"/>
              <w:jc w:val="left"/>
              <w:rPr>
                <w:b/>
                <w:sz w:val="22"/>
                <w:szCs w:val="22"/>
                <w:lang w:val="en-US"/>
              </w:rPr>
            </w:pPr>
            <w:r w:rsidRPr="00C60AD1">
              <w:rPr>
                <w:b/>
                <w:sz w:val="22"/>
                <w:szCs w:val="22"/>
              </w:rPr>
              <w:t>Interest on long term loan</w:t>
            </w:r>
          </w:p>
        </w:tc>
        <w:tc>
          <w:tcPr>
            <w:tcW w:w="860"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491.70 </w:t>
            </w:r>
          </w:p>
        </w:tc>
        <w:tc>
          <w:tcPr>
            <w:tcW w:w="1141"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                340.58 </w:t>
            </w:r>
          </w:p>
        </w:tc>
      </w:tr>
      <w:tr w:rsidR="00C34658" w:rsidRPr="00C60AD1" w:rsidTr="00D55642">
        <w:trPr>
          <w:trHeight w:val="300"/>
          <w:jc w:val="center"/>
        </w:trPr>
        <w:tc>
          <w:tcPr>
            <w:tcW w:w="2999" w:type="pct"/>
            <w:shd w:val="clear" w:color="auto" w:fill="auto"/>
            <w:vAlign w:val="center"/>
            <w:hideMark/>
          </w:tcPr>
          <w:p w:rsidR="00C34658" w:rsidRDefault="00C34658" w:rsidP="00D55642">
            <w:pPr>
              <w:spacing w:before="0" w:line="240" w:lineRule="auto"/>
              <w:jc w:val="left"/>
              <w:rPr>
                <w:sz w:val="22"/>
                <w:szCs w:val="22"/>
                <w:lang w:val="en-US"/>
              </w:rPr>
            </w:pPr>
            <w:r w:rsidRPr="00C60AD1">
              <w:rPr>
                <w:sz w:val="22"/>
                <w:szCs w:val="22"/>
              </w:rPr>
              <w:t>Interest Capitalisation Rate</w:t>
            </w:r>
          </w:p>
        </w:tc>
        <w:tc>
          <w:tcPr>
            <w:tcW w:w="860"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23.00%</w:t>
            </w:r>
          </w:p>
        </w:tc>
        <w:tc>
          <w:tcPr>
            <w:tcW w:w="1141"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23.00%</w:t>
            </w:r>
          </w:p>
        </w:tc>
      </w:tr>
      <w:tr w:rsidR="00C34658" w:rsidRPr="00C60AD1" w:rsidTr="00D55642">
        <w:trPr>
          <w:trHeight w:val="300"/>
          <w:jc w:val="center"/>
        </w:trPr>
        <w:tc>
          <w:tcPr>
            <w:tcW w:w="2999" w:type="pct"/>
            <w:shd w:val="clear" w:color="auto" w:fill="auto"/>
            <w:vAlign w:val="center"/>
            <w:hideMark/>
          </w:tcPr>
          <w:p w:rsidR="00C34658" w:rsidRDefault="00C34658" w:rsidP="00D55642">
            <w:pPr>
              <w:spacing w:before="0" w:line="240" w:lineRule="auto"/>
              <w:jc w:val="left"/>
              <w:rPr>
                <w:sz w:val="22"/>
                <w:szCs w:val="22"/>
                <w:lang w:val="en-US"/>
              </w:rPr>
            </w:pPr>
            <w:r w:rsidRPr="00C60AD1">
              <w:rPr>
                <w:sz w:val="22"/>
                <w:szCs w:val="22"/>
              </w:rPr>
              <w:t>Less: Interest Capitalized</w:t>
            </w:r>
          </w:p>
        </w:tc>
        <w:tc>
          <w:tcPr>
            <w:tcW w:w="860"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xml:space="preserve"> 113.09 </w:t>
            </w:r>
          </w:p>
        </w:tc>
        <w:tc>
          <w:tcPr>
            <w:tcW w:w="1141" w:type="pct"/>
            <w:shd w:val="clear" w:color="auto" w:fill="auto"/>
            <w:noWrap/>
            <w:vAlign w:val="center"/>
            <w:hideMark/>
          </w:tcPr>
          <w:p w:rsidR="00C34658" w:rsidRDefault="00C34658" w:rsidP="00D55642">
            <w:pPr>
              <w:spacing w:before="0" w:line="240" w:lineRule="auto"/>
              <w:jc w:val="right"/>
              <w:rPr>
                <w:sz w:val="22"/>
                <w:szCs w:val="22"/>
              </w:rPr>
            </w:pPr>
            <w:r>
              <w:rPr>
                <w:color w:val="000000"/>
                <w:sz w:val="22"/>
                <w:szCs w:val="22"/>
              </w:rPr>
              <w:t xml:space="preserve">                   78.33 </w:t>
            </w:r>
          </w:p>
        </w:tc>
      </w:tr>
      <w:tr w:rsidR="00C34658" w:rsidRPr="00C60AD1" w:rsidTr="00D55642">
        <w:trPr>
          <w:trHeight w:val="300"/>
          <w:jc w:val="center"/>
        </w:trPr>
        <w:tc>
          <w:tcPr>
            <w:tcW w:w="2999" w:type="pct"/>
            <w:shd w:val="clear" w:color="auto" w:fill="auto"/>
            <w:vAlign w:val="center"/>
            <w:hideMark/>
          </w:tcPr>
          <w:p w:rsidR="00C34658" w:rsidRDefault="00C34658" w:rsidP="00D55642">
            <w:pPr>
              <w:spacing w:before="0" w:line="240" w:lineRule="auto"/>
              <w:jc w:val="left"/>
              <w:rPr>
                <w:b/>
                <w:sz w:val="22"/>
                <w:szCs w:val="22"/>
                <w:lang w:val="en-US"/>
              </w:rPr>
            </w:pPr>
            <w:r w:rsidRPr="00C60AD1">
              <w:rPr>
                <w:b/>
                <w:sz w:val="22"/>
                <w:szCs w:val="22"/>
              </w:rPr>
              <w:t>Net Interest Charged</w:t>
            </w:r>
          </w:p>
        </w:tc>
        <w:tc>
          <w:tcPr>
            <w:tcW w:w="860"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378.61 </w:t>
            </w:r>
          </w:p>
        </w:tc>
        <w:tc>
          <w:tcPr>
            <w:tcW w:w="1141" w:type="pct"/>
            <w:shd w:val="clear" w:color="auto" w:fill="auto"/>
            <w:noWrap/>
            <w:vAlign w:val="center"/>
            <w:hideMark/>
          </w:tcPr>
          <w:p w:rsidR="00C34658" w:rsidRDefault="00C34658" w:rsidP="00D55642">
            <w:pPr>
              <w:spacing w:before="0" w:line="240" w:lineRule="auto"/>
              <w:jc w:val="right"/>
              <w:rPr>
                <w:b/>
                <w:sz w:val="22"/>
                <w:szCs w:val="22"/>
              </w:rPr>
            </w:pPr>
            <w:r>
              <w:rPr>
                <w:b/>
                <w:bCs/>
                <w:color w:val="000000"/>
                <w:sz w:val="22"/>
                <w:szCs w:val="22"/>
              </w:rPr>
              <w:t xml:space="preserve">                262.25 </w:t>
            </w:r>
          </w:p>
        </w:tc>
      </w:tr>
    </w:tbl>
    <w:p w:rsidR="00C34658" w:rsidRPr="00C60AD1" w:rsidRDefault="00C34658" w:rsidP="00C34658">
      <w:pPr>
        <w:tabs>
          <w:tab w:val="left" w:pos="720"/>
          <w:tab w:val="left" w:pos="3617"/>
        </w:tabs>
        <w:spacing w:before="0"/>
        <w:ind w:left="720"/>
        <w:outlineLvl w:val="2"/>
        <w:rPr>
          <w:rFonts w:cs="Arial"/>
          <w:b/>
          <w:bCs/>
          <w:szCs w:val="26"/>
        </w:rPr>
      </w:pPr>
      <w:r w:rsidRPr="00C60AD1">
        <w:rPr>
          <w:rFonts w:cs="Arial"/>
          <w:b/>
          <w:bCs/>
          <w:szCs w:val="26"/>
        </w:rPr>
        <w:tab/>
      </w:r>
    </w:p>
    <w:p w:rsidR="00C34658" w:rsidRPr="00C60AD1" w:rsidRDefault="00C34658" w:rsidP="00C34658">
      <w:pPr>
        <w:tabs>
          <w:tab w:val="left" w:pos="720"/>
        </w:tabs>
        <w:ind w:left="270"/>
        <w:outlineLvl w:val="2"/>
        <w:rPr>
          <w:rFonts w:cs="Arial"/>
          <w:b/>
          <w:bCs/>
          <w:szCs w:val="26"/>
        </w:rPr>
      </w:pPr>
      <w:r w:rsidRPr="00C60AD1">
        <w:rPr>
          <w:rFonts w:cs="Arial"/>
          <w:b/>
          <w:bCs/>
          <w:szCs w:val="26"/>
        </w:rPr>
        <w:t xml:space="preserve">Interest on Working Capital </w:t>
      </w:r>
    </w:p>
    <w:p w:rsidR="00D5771F" w:rsidRDefault="00C34658">
      <w:pPr>
        <w:pStyle w:val="Heading3"/>
        <w:tabs>
          <w:tab w:val="clear" w:pos="720"/>
        </w:tabs>
        <w:spacing w:after="240"/>
        <w:ind w:left="993" w:hanging="993"/>
      </w:pPr>
      <w:r w:rsidRPr="00C60AD1">
        <w:t>The Petitioner has submitted that it has worked out the interest on working capital based on the methodology specified in the Regulations as provided below:</w:t>
      </w:r>
    </w:p>
    <w:p w:rsidR="00C34658" w:rsidRPr="00C60AD1" w:rsidRDefault="00C34658" w:rsidP="00C34658">
      <w:pPr>
        <w:numPr>
          <w:ilvl w:val="1"/>
          <w:numId w:val="13"/>
        </w:numPr>
        <w:autoSpaceDE w:val="0"/>
        <w:autoSpaceDN w:val="0"/>
        <w:adjustRightInd w:val="0"/>
        <w:spacing w:before="100" w:beforeAutospacing="1" w:after="100" w:afterAutospacing="1"/>
        <w:ind w:left="1980"/>
        <w:rPr>
          <w:rFonts w:cstheme="minorHAnsi"/>
        </w:rPr>
      </w:pPr>
      <w:r w:rsidRPr="00C60AD1">
        <w:rPr>
          <w:rFonts w:cstheme="minorHAnsi"/>
        </w:rPr>
        <w:t>Operation and Maintenance expenses, which includes Employee costs, R&amp;M expenses and A&amp;G expenses, for one month;</w:t>
      </w:r>
    </w:p>
    <w:p w:rsidR="00C34658" w:rsidRPr="00C60AD1" w:rsidRDefault="00C34658" w:rsidP="00C34658">
      <w:pPr>
        <w:numPr>
          <w:ilvl w:val="1"/>
          <w:numId w:val="13"/>
        </w:numPr>
        <w:autoSpaceDE w:val="0"/>
        <w:autoSpaceDN w:val="0"/>
        <w:adjustRightInd w:val="0"/>
        <w:spacing w:before="100" w:beforeAutospacing="1" w:after="100" w:afterAutospacing="1"/>
        <w:ind w:left="1980"/>
        <w:rPr>
          <w:rFonts w:cstheme="minorHAnsi"/>
        </w:rPr>
      </w:pPr>
      <w:r w:rsidRPr="00C60AD1">
        <w:rPr>
          <w:rFonts w:cstheme="minorHAnsi"/>
        </w:rPr>
        <w:t>One-twelfth of the sum of the book value of stores, materials and supplies at the end of each month of current financial year;</w:t>
      </w:r>
    </w:p>
    <w:p w:rsidR="00C34658" w:rsidRPr="00C60AD1" w:rsidRDefault="00C34658" w:rsidP="00C34658">
      <w:pPr>
        <w:numPr>
          <w:ilvl w:val="1"/>
          <w:numId w:val="13"/>
        </w:numPr>
        <w:autoSpaceDE w:val="0"/>
        <w:autoSpaceDN w:val="0"/>
        <w:adjustRightInd w:val="0"/>
        <w:spacing w:before="100" w:beforeAutospacing="1" w:after="100" w:afterAutospacing="1"/>
        <w:ind w:left="1980"/>
        <w:rPr>
          <w:rFonts w:cstheme="minorHAnsi"/>
        </w:rPr>
      </w:pPr>
      <w:r w:rsidRPr="00C60AD1">
        <w:rPr>
          <w:rFonts w:cstheme="minorHAnsi"/>
        </w:rPr>
        <w:t>Receivables equivalent to 60 days average billing of consumers less security deposits provided by the beneficiaries.</w:t>
      </w:r>
    </w:p>
    <w:p w:rsidR="00D5771F" w:rsidRDefault="00C34658">
      <w:pPr>
        <w:pStyle w:val="Heading3"/>
        <w:tabs>
          <w:tab w:val="clear" w:pos="720"/>
        </w:tabs>
        <w:spacing w:after="240"/>
        <w:ind w:left="993" w:hanging="993"/>
      </w:pPr>
      <w:r w:rsidRPr="00C60AD1">
        <w:t xml:space="preserve">The Petitioner submitted that the Distribution Tariff Regulations, 2006 provides for interest on the working capital requirement at the Bank Rate as </w:t>
      </w:r>
      <w:r w:rsidRPr="00C60AD1">
        <w:lastRenderedPageBreak/>
        <w:t>specified by the Reserve Bank of India as on 1</w:t>
      </w:r>
      <w:r w:rsidRPr="00C60AD1">
        <w:rPr>
          <w:vertAlign w:val="superscript"/>
        </w:rPr>
        <w:t>st</w:t>
      </w:r>
      <w:r w:rsidRPr="00C60AD1">
        <w:t xml:space="preserve"> April of the relevant year plus a margin as decided by the Commission. The Petitioner submitted that accordingly, it has considered the interest rate on working capital requirement at 12.50% including margin, however, the actual rate of interest would be considered based on the audited accounts during the </w:t>
      </w:r>
      <w:r>
        <w:t>T</w:t>
      </w:r>
      <w:r w:rsidRPr="00C60AD1">
        <w:t>rue-up process for the year in accordance with the Distribution Tariff Regulations, 2006.</w:t>
      </w:r>
    </w:p>
    <w:p w:rsidR="00D5771F" w:rsidRDefault="00C34658">
      <w:pPr>
        <w:pStyle w:val="Heading3"/>
        <w:tabs>
          <w:tab w:val="clear" w:pos="720"/>
        </w:tabs>
        <w:spacing w:after="240"/>
        <w:ind w:left="993" w:hanging="993"/>
      </w:pPr>
      <w:bookmarkStart w:id="924" w:name="_Ref325536209"/>
      <w:bookmarkStart w:id="925" w:name="_Toc338310715"/>
      <w:bookmarkStart w:id="926" w:name="_Toc338419545"/>
      <w:bookmarkStart w:id="927" w:name="_Toc357718753"/>
      <w:r w:rsidRPr="00C60AD1">
        <w:t>Regulation 4.8.2 of the Distribution Tariff Regulations, 2006 lays down the norms and methodology for calculating interest on working capital. Further, the Commission in its earlier Orders has clearly opined that although there is a situation of financial stress and liquidity crunch for the Licensee, the Distribution Licensee is eligible only for interest cost on account of normative working capital. Further, it is observed that the collection efficiency of the Petitioner also needs improvement and by improving the same, the cash flows of the Petitioner will improve, which will help in managing day to day working capital requirements. The Petitioner should understand that only by ensuring that its working capital needs are well looked after, it can focus on growth and development of its organisation.</w:t>
      </w:r>
    </w:p>
    <w:p w:rsidR="00D5771F" w:rsidRDefault="00C34658">
      <w:pPr>
        <w:pStyle w:val="Heading3"/>
        <w:tabs>
          <w:tab w:val="clear" w:pos="720"/>
        </w:tabs>
        <w:spacing w:after="240"/>
        <w:ind w:left="993" w:hanging="993"/>
      </w:pPr>
      <w:r w:rsidRPr="00C60AD1">
        <w:t>In view of the above, the Commission has considered the interest on working capital at the rate of 12.50% as proposed by the Petitioner, which includes the margin above the Bank Rate specified by the RBI and is in accordance with the provisions of the Distribution Tariff Regulations, 2006.</w:t>
      </w:r>
    </w:p>
    <w:p w:rsidR="00D5771F" w:rsidRDefault="00C34658">
      <w:pPr>
        <w:pStyle w:val="Heading3"/>
        <w:tabs>
          <w:tab w:val="clear" w:pos="720"/>
        </w:tabs>
        <w:spacing w:after="240"/>
        <w:ind w:left="993" w:hanging="993"/>
      </w:pPr>
      <w:r w:rsidRPr="00C60AD1">
        <w:t xml:space="preserve">The interest on working capital as submitted by the Petitioner and as approved by the Commission for FY </w:t>
      </w:r>
      <w:r>
        <w:t>2016-17</w:t>
      </w:r>
      <w:r w:rsidRPr="00C60AD1">
        <w:t xml:space="preserve"> is shown in the Table below:</w:t>
      </w:r>
    </w:p>
    <w:p w:rsidR="00C34658" w:rsidRPr="007057CE" w:rsidRDefault="006C63AF" w:rsidP="00C34658">
      <w:pPr>
        <w:jc w:val="center"/>
        <w:rPr>
          <w:rFonts w:cstheme="minorHAnsi"/>
          <w:b/>
          <w:sz w:val="22"/>
        </w:rPr>
      </w:pPr>
      <w:bookmarkStart w:id="928" w:name="_Toc395657977"/>
      <w:bookmarkStart w:id="929" w:name="_Toc396574028"/>
      <w:bookmarkStart w:id="930" w:name="_Toc419992324"/>
      <w:bookmarkStart w:id="931" w:name="_Toc453367706"/>
      <w:bookmarkStart w:id="932" w:name="_Toc457604077"/>
      <w:bookmarkEnd w:id="924"/>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5</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61</w:t>
      </w:r>
      <w:r w:rsidR="009741CA" w:rsidRPr="006C63AF">
        <w:rPr>
          <w:rFonts w:cstheme="minorHAnsi"/>
          <w:b/>
          <w:sz w:val="22"/>
        </w:rPr>
        <w:fldChar w:fldCharType="end"/>
      </w:r>
      <w:r w:rsidRPr="006C63AF">
        <w:rPr>
          <w:rFonts w:cstheme="minorHAnsi"/>
          <w:b/>
          <w:sz w:val="22"/>
        </w:rPr>
        <w:t>: INTEREST COST ON WORKING CAPITAL LOANS FOR FY 2016-17 (Rs. Crore)</w:t>
      </w:r>
      <w:bookmarkEnd w:id="925"/>
      <w:bookmarkEnd w:id="926"/>
      <w:bookmarkEnd w:id="927"/>
      <w:bookmarkEnd w:id="928"/>
      <w:bookmarkEnd w:id="929"/>
      <w:bookmarkEnd w:id="930"/>
      <w:bookmarkEnd w:id="931"/>
      <w:bookmarkEnd w:id="932"/>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688"/>
        <w:gridCol w:w="1441"/>
        <w:gridCol w:w="1756"/>
      </w:tblGrid>
      <w:tr w:rsidR="00C34658" w:rsidRPr="00C60AD1" w:rsidTr="00AA3DF1">
        <w:trPr>
          <w:trHeight w:val="77"/>
          <w:tblHeader/>
        </w:trPr>
        <w:tc>
          <w:tcPr>
            <w:tcW w:w="3201" w:type="pct"/>
            <w:shd w:val="clear" w:color="000000" w:fill="DBE5F1"/>
            <w:hideMark/>
          </w:tcPr>
          <w:p w:rsidR="00603835" w:rsidRDefault="00C34658">
            <w:pPr>
              <w:spacing w:before="0" w:line="240" w:lineRule="auto"/>
              <w:jc w:val="center"/>
              <w:rPr>
                <w:b/>
                <w:sz w:val="22"/>
                <w:szCs w:val="22"/>
              </w:rPr>
            </w:pPr>
            <w:r w:rsidRPr="00C60AD1">
              <w:rPr>
                <w:b/>
                <w:sz w:val="22"/>
                <w:szCs w:val="22"/>
              </w:rPr>
              <w:t>Particulars</w:t>
            </w:r>
          </w:p>
        </w:tc>
        <w:tc>
          <w:tcPr>
            <w:tcW w:w="811" w:type="pct"/>
            <w:shd w:val="clear" w:color="000000" w:fill="DBE5F1"/>
            <w:hideMark/>
          </w:tcPr>
          <w:p w:rsidR="00603835" w:rsidRDefault="00C34658">
            <w:pPr>
              <w:spacing w:before="0" w:line="240" w:lineRule="auto"/>
              <w:jc w:val="center"/>
              <w:rPr>
                <w:b/>
                <w:sz w:val="22"/>
                <w:szCs w:val="22"/>
              </w:rPr>
            </w:pPr>
            <w:r w:rsidRPr="00C60AD1">
              <w:rPr>
                <w:b/>
                <w:sz w:val="22"/>
                <w:szCs w:val="22"/>
              </w:rPr>
              <w:t>Petition</w:t>
            </w:r>
          </w:p>
        </w:tc>
        <w:tc>
          <w:tcPr>
            <w:tcW w:w="988" w:type="pct"/>
            <w:shd w:val="clear" w:color="000000" w:fill="DBE5F1"/>
            <w:hideMark/>
          </w:tcPr>
          <w:p w:rsidR="00603835" w:rsidRDefault="00C34658">
            <w:pPr>
              <w:spacing w:before="0" w:line="240" w:lineRule="auto"/>
              <w:jc w:val="center"/>
              <w:rPr>
                <w:b/>
                <w:color w:val="000000"/>
                <w:sz w:val="22"/>
                <w:szCs w:val="22"/>
              </w:rPr>
            </w:pPr>
            <w:r w:rsidRPr="00C60AD1">
              <w:rPr>
                <w:b/>
                <w:color w:val="000000"/>
                <w:sz w:val="22"/>
                <w:szCs w:val="22"/>
              </w:rPr>
              <w:t xml:space="preserve">FY </w:t>
            </w:r>
            <w:r>
              <w:rPr>
                <w:b/>
                <w:color w:val="000000"/>
                <w:sz w:val="22"/>
                <w:szCs w:val="22"/>
              </w:rPr>
              <w:t>2016-17</w:t>
            </w:r>
            <w:r w:rsidRPr="00C60AD1">
              <w:rPr>
                <w:b/>
                <w:color w:val="000000"/>
                <w:sz w:val="22"/>
                <w:szCs w:val="22"/>
              </w:rPr>
              <w:br/>
              <w:t>(Approved)</w:t>
            </w:r>
          </w:p>
        </w:tc>
      </w:tr>
      <w:tr w:rsidR="00C34658" w:rsidRPr="00C60AD1" w:rsidTr="00D55642">
        <w:trPr>
          <w:trHeight w:val="300"/>
        </w:trPr>
        <w:tc>
          <w:tcPr>
            <w:tcW w:w="3201" w:type="pct"/>
            <w:shd w:val="clear" w:color="auto" w:fill="auto"/>
            <w:hideMark/>
          </w:tcPr>
          <w:p w:rsidR="00C34658" w:rsidRDefault="00C34658" w:rsidP="00D55642">
            <w:pPr>
              <w:spacing w:before="0" w:line="240" w:lineRule="auto"/>
              <w:rPr>
                <w:rFonts w:cs="Arial"/>
                <w:bCs/>
                <w:caps/>
                <w:kern w:val="32"/>
                <w:sz w:val="22"/>
                <w:szCs w:val="22"/>
              </w:rPr>
            </w:pPr>
            <w:r w:rsidRPr="00C60AD1">
              <w:rPr>
                <w:sz w:val="22"/>
                <w:szCs w:val="22"/>
              </w:rPr>
              <w:t xml:space="preserve">One month's O&amp;M  Expenses </w:t>
            </w:r>
          </w:p>
        </w:tc>
        <w:tc>
          <w:tcPr>
            <w:tcW w:w="811"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bCs/>
                <w:caps/>
                <w:color w:val="000000"/>
                <w:kern w:val="32"/>
                <w:sz w:val="22"/>
                <w:szCs w:val="22"/>
              </w:rPr>
            </w:pPr>
            <w:r>
              <w:rPr>
                <w:color w:val="000000"/>
                <w:sz w:val="22"/>
                <w:szCs w:val="22"/>
              </w:rPr>
              <w:t xml:space="preserve">67.42 </w:t>
            </w:r>
          </w:p>
        </w:tc>
        <w:tc>
          <w:tcPr>
            <w:tcW w:w="988"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bCs/>
                <w:caps/>
                <w:color w:val="000000"/>
                <w:kern w:val="32"/>
                <w:sz w:val="22"/>
                <w:szCs w:val="22"/>
              </w:rPr>
            </w:pPr>
            <w:r>
              <w:rPr>
                <w:color w:val="000000"/>
                <w:sz w:val="22"/>
                <w:szCs w:val="22"/>
              </w:rPr>
              <w:t xml:space="preserve">     53.88</w:t>
            </w:r>
          </w:p>
        </w:tc>
      </w:tr>
      <w:tr w:rsidR="00C34658" w:rsidRPr="00C60AD1" w:rsidTr="00D55642">
        <w:trPr>
          <w:trHeight w:val="600"/>
        </w:trPr>
        <w:tc>
          <w:tcPr>
            <w:tcW w:w="3201" w:type="pct"/>
            <w:shd w:val="clear" w:color="auto" w:fill="auto"/>
            <w:hideMark/>
          </w:tcPr>
          <w:p w:rsidR="00C34658" w:rsidRDefault="00C34658" w:rsidP="00D55642">
            <w:pPr>
              <w:spacing w:before="0" w:line="240" w:lineRule="auto"/>
              <w:rPr>
                <w:sz w:val="22"/>
                <w:szCs w:val="22"/>
              </w:rPr>
            </w:pPr>
            <w:r w:rsidRPr="00C60AD1">
              <w:rPr>
                <w:sz w:val="22"/>
                <w:szCs w:val="22"/>
              </w:rPr>
              <w:t>One-twelfth of the sum of the book value of materials in stores at the end of each month of such financial year.</w:t>
            </w:r>
          </w:p>
        </w:tc>
        <w:tc>
          <w:tcPr>
            <w:tcW w:w="811"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color w:val="000000"/>
                <w:sz w:val="22"/>
                <w:szCs w:val="22"/>
              </w:rPr>
            </w:pPr>
            <w:r>
              <w:rPr>
                <w:color w:val="000000"/>
                <w:sz w:val="22"/>
                <w:szCs w:val="22"/>
              </w:rPr>
              <w:t xml:space="preserve">17.36 </w:t>
            </w:r>
          </w:p>
        </w:tc>
        <w:tc>
          <w:tcPr>
            <w:tcW w:w="988"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color w:val="000000"/>
                <w:sz w:val="22"/>
                <w:szCs w:val="22"/>
              </w:rPr>
            </w:pPr>
            <w:r w:rsidRPr="00A43724">
              <w:rPr>
                <w:color w:val="000000"/>
                <w:sz w:val="22"/>
                <w:szCs w:val="22"/>
              </w:rPr>
              <w:t>17.36</w:t>
            </w:r>
          </w:p>
        </w:tc>
      </w:tr>
      <w:tr w:rsidR="00C34658" w:rsidRPr="00C60AD1" w:rsidTr="00D55642">
        <w:trPr>
          <w:trHeight w:val="300"/>
        </w:trPr>
        <w:tc>
          <w:tcPr>
            <w:tcW w:w="3201" w:type="pct"/>
            <w:shd w:val="clear" w:color="auto" w:fill="auto"/>
            <w:hideMark/>
          </w:tcPr>
          <w:p w:rsidR="00C34658" w:rsidRDefault="00C34658" w:rsidP="00D55642">
            <w:pPr>
              <w:spacing w:before="0" w:line="240" w:lineRule="auto"/>
              <w:rPr>
                <w:sz w:val="22"/>
                <w:szCs w:val="22"/>
              </w:rPr>
            </w:pPr>
            <w:r w:rsidRPr="00C60AD1">
              <w:rPr>
                <w:sz w:val="22"/>
                <w:szCs w:val="22"/>
              </w:rPr>
              <w:t>Receivables equivalent to 60 days average billing on consumers</w:t>
            </w:r>
          </w:p>
        </w:tc>
        <w:tc>
          <w:tcPr>
            <w:tcW w:w="811"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color w:val="000000"/>
                <w:sz w:val="22"/>
                <w:szCs w:val="22"/>
              </w:rPr>
            </w:pPr>
            <w:r>
              <w:rPr>
                <w:color w:val="000000"/>
                <w:sz w:val="22"/>
                <w:szCs w:val="22"/>
              </w:rPr>
              <w:t xml:space="preserve">1,718.90 </w:t>
            </w:r>
          </w:p>
        </w:tc>
        <w:tc>
          <w:tcPr>
            <w:tcW w:w="988" w:type="pct"/>
            <w:shd w:val="clear" w:color="auto" w:fill="auto"/>
            <w:noWrap/>
            <w:vAlign w:val="center"/>
            <w:hideMark/>
          </w:tcPr>
          <w:p w:rsidR="002136A7" w:rsidRDefault="00C34658">
            <w:pPr>
              <w:spacing w:before="0" w:line="240" w:lineRule="auto"/>
              <w:jc w:val="right"/>
              <w:rPr>
                <w:rFonts w:cs="Calibri"/>
                <w:color w:val="000000"/>
                <w:sz w:val="22"/>
                <w:szCs w:val="22"/>
              </w:rPr>
            </w:pPr>
            <w:r>
              <w:rPr>
                <w:color w:val="000000"/>
                <w:sz w:val="22"/>
                <w:szCs w:val="22"/>
              </w:rPr>
              <w:t>1,73</w:t>
            </w:r>
            <w:r w:rsidR="005D13D4">
              <w:rPr>
                <w:color w:val="000000"/>
                <w:sz w:val="22"/>
                <w:szCs w:val="22"/>
              </w:rPr>
              <w:t>4.78</w:t>
            </w:r>
          </w:p>
        </w:tc>
      </w:tr>
      <w:tr w:rsidR="00C34658" w:rsidRPr="00C60AD1" w:rsidTr="00D55642">
        <w:trPr>
          <w:trHeight w:val="300"/>
        </w:trPr>
        <w:tc>
          <w:tcPr>
            <w:tcW w:w="3201" w:type="pct"/>
            <w:shd w:val="clear" w:color="auto" w:fill="auto"/>
            <w:hideMark/>
          </w:tcPr>
          <w:p w:rsidR="00C34658" w:rsidRDefault="00C34658" w:rsidP="00D55642">
            <w:pPr>
              <w:spacing w:before="0" w:line="240" w:lineRule="auto"/>
              <w:rPr>
                <w:b/>
                <w:sz w:val="22"/>
                <w:szCs w:val="22"/>
              </w:rPr>
            </w:pPr>
            <w:r w:rsidRPr="00C60AD1">
              <w:rPr>
                <w:b/>
                <w:sz w:val="22"/>
                <w:szCs w:val="22"/>
              </w:rPr>
              <w:t>Gross Total</w:t>
            </w:r>
          </w:p>
        </w:tc>
        <w:tc>
          <w:tcPr>
            <w:tcW w:w="811"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b/>
                <w:color w:val="000000"/>
                <w:sz w:val="22"/>
                <w:szCs w:val="22"/>
              </w:rPr>
            </w:pPr>
            <w:r>
              <w:rPr>
                <w:b/>
                <w:bCs/>
                <w:color w:val="000000"/>
                <w:sz w:val="22"/>
                <w:szCs w:val="22"/>
              </w:rPr>
              <w:t xml:space="preserve">1,803.68 </w:t>
            </w:r>
          </w:p>
        </w:tc>
        <w:tc>
          <w:tcPr>
            <w:tcW w:w="988" w:type="pct"/>
            <w:shd w:val="clear" w:color="auto" w:fill="auto"/>
            <w:noWrap/>
            <w:vAlign w:val="center"/>
            <w:hideMark/>
          </w:tcPr>
          <w:p w:rsidR="002136A7" w:rsidRDefault="00C34658">
            <w:pPr>
              <w:spacing w:before="0" w:line="240" w:lineRule="auto"/>
              <w:jc w:val="right"/>
              <w:rPr>
                <w:rFonts w:cs="Calibri"/>
                <w:b/>
                <w:bCs/>
                <w:color w:val="000000"/>
                <w:sz w:val="22"/>
                <w:szCs w:val="22"/>
              </w:rPr>
            </w:pPr>
            <w:r>
              <w:rPr>
                <w:b/>
                <w:bCs/>
                <w:color w:val="000000"/>
                <w:sz w:val="22"/>
                <w:szCs w:val="22"/>
              </w:rPr>
              <w:t xml:space="preserve">     1,8</w:t>
            </w:r>
            <w:r w:rsidR="005D13D4">
              <w:rPr>
                <w:b/>
                <w:bCs/>
                <w:color w:val="000000"/>
                <w:sz w:val="22"/>
                <w:szCs w:val="22"/>
              </w:rPr>
              <w:t>06.02</w:t>
            </w:r>
          </w:p>
        </w:tc>
      </w:tr>
      <w:tr w:rsidR="00C34658" w:rsidRPr="00C60AD1" w:rsidTr="00D55642">
        <w:trPr>
          <w:trHeight w:val="600"/>
        </w:trPr>
        <w:tc>
          <w:tcPr>
            <w:tcW w:w="3201" w:type="pct"/>
            <w:shd w:val="clear" w:color="auto" w:fill="auto"/>
            <w:hideMark/>
          </w:tcPr>
          <w:p w:rsidR="00C34658" w:rsidRDefault="00C34658" w:rsidP="00D55642">
            <w:pPr>
              <w:spacing w:before="0" w:line="240" w:lineRule="auto"/>
              <w:rPr>
                <w:sz w:val="22"/>
                <w:szCs w:val="22"/>
              </w:rPr>
            </w:pPr>
            <w:r w:rsidRPr="00C60AD1">
              <w:rPr>
                <w:sz w:val="22"/>
                <w:szCs w:val="22"/>
              </w:rPr>
              <w:t>Less: Total Security Deposits by the Consumers reduced by Security Deposits under section 47(1)(b) of the Electricity Act 2003</w:t>
            </w:r>
          </w:p>
        </w:tc>
        <w:tc>
          <w:tcPr>
            <w:tcW w:w="811"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color w:val="000000"/>
                <w:sz w:val="22"/>
                <w:szCs w:val="22"/>
              </w:rPr>
            </w:pPr>
            <w:r>
              <w:rPr>
                <w:color w:val="000000"/>
                <w:sz w:val="22"/>
                <w:szCs w:val="22"/>
              </w:rPr>
              <w:t xml:space="preserve">526.98 </w:t>
            </w:r>
          </w:p>
        </w:tc>
        <w:tc>
          <w:tcPr>
            <w:tcW w:w="988"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color w:val="000000"/>
                <w:sz w:val="22"/>
                <w:szCs w:val="22"/>
              </w:rPr>
            </w:pPr>
            <w:r>
              <w:rPr>
                <w:color w:val="000000"/>
                <w:sz w:val="22"/>
                <w:szCs w:val="22"/>
              </w:rPr>
              <w:t xml:space="preserve">526.98 </w:t>
            </w:r>
          </w:p>
        </w:tc>
      </w:tr>
      <w:tr w:rsidR="00C34658" w:rsidRPr="00C60AD1" w:rsidTr="00D55642">
        <w:trPr>
          <w:trHeight w:val="300"/>
        </w:trPr>
        <w:tc>
          <w:tcPr>
            <w:tcW w:w="3201" w:type="pct"/>
            <w:shd w:val="clear" w:color="auto" w:fill="auto"/>
            <w:hideMark/>
          </w:tcPr>
          <w:p w:rsidR="00C34658" w:rsidRDefault="00C34658" w:rsidP="00D55642">
            <w:pPr>
              <w:spacing w:before="0" w:line="240" w:lineRule="auto"/>
              <w:rPr>
                <w:b/>
                <w:sz w:val="22"/>
                <w:szCs w:val="22"/>
              </w:rPr>
            </w:pPr>
            <w:r w:rsidRPr="00C60AD1">
              <w:rPr>
                <w:b/>
                <w:sz w:val="22"/>
                <w:szCs w:val="22"/>
              </w:rPr>
              <w:t>Net Working Capital</w:t>
            </w:r>
          </w:p>
        </w:tc>
        <w:tc>
          <w:tcPr>
            <w:tcW w:w="811"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b/>
                <w:color w:val="000000"/>
                <w:sz w:val="22"/>
                <w:szCs w:val="22"/>
              </w:rPr>
            </w:pPr>
            <w:r>
              <w:rPr>
                <w:b/>
                <w:bCs/>
                <w:color w:val="000000"/>
                <w:sz w:val="22"/>
                <w:szCs w:val="22"/>
              </w:rPr>
              <w:t xml:space="preserve">1,276.71 </w:t>
            </w:r>
          </w:p>
        </w:tc>
        <w:tc>
          <w:tcPr>
            <w:tcW w:w="988" w:type="pct"/>
            <w:shd w:val="clear" w:color="auto" w:fill="auto"/>
            <w:noWrap/>
            <w:vAlign w:val="center"/>
            <w:hideMark/>
          </w:tcPr>
          <w:p w:rsidR="002136A7" w:rsidRDefault="00C34658">
            <w:pPr>
              <w:spacing w:before="0" w:line="240" w:lineRule="auto"/>
              <w:jc w:val="right"/>
              <w:rPr>
                <w:rFonts w:asciiTheme="minorHAnsi" w:hAnsiTheme="minorHAnsi" w:cstheme="minorHAnsi"/>
                <w:b/>
                <w:color w:val="000000"/>
                <w:sz w:val="22"/>
                <w:szCs w:val="22"/>
              </w:rPr>
            </w:pPr>
            <w:r>
              <w:rPr>
                <w:b/>
                <w:bCs/>
                <w:color w:val="000000"/>
                <w:sz w:val="22"/>
                <w:szCs w:val="22"/>
              </w:rPr>
              <w:t xml:space="preserve">   1,2</w:t>
            </w:r>
            <w:r w:rsidR="005D13D4">
              <w:rPr>
                <w:b/>
                <w:bCs/>
                <w:color w:val="000000"/>
                <w:sz w:val="22"/>
                <w:szCs w:val="22"/>
              </w:rPr>
              <w:t>79.05</w:t>
            </w:r>
          </w:p>
        </w:tc>
      </w:tr>
      <w:tr w:rsidR="00C34658" w:rsidRPr="00C60AD1" w:rsidTr="00D55642">
        <w:trPr>
          <w:trHeight w:val="300"/>
        </w:trPr>
        <w:tc>
          <w:tcPr>
            <w:tcW w:w="3201" w:type="pct"/>
            <w:shd w:val="clear" w:color="auto" w:fill="auto"/>
            <w:hideMark/>
          </w:tcPr>
          <w:p w:rsidR="00C34658" w:rsidRDefault="00C34658" w:rsidP="00D55642">
            <w:pPr>
              <w:spacing w:before="0" w:line="240" w:lineRule="auto"/>
              <w:rPr>
                <w:sz w:val="22"/>
                <w:szCs w:val="22"/>
              </w:rPr>
            </w:pPr>
            <w:r w:rsidRPr="00C60AD1">
              <w:rPr>
                <w:sz w:val="22"/>
                <w:szCs w:val="22"/>
              </w:rPr>
              <w:lastRenderedPageBreak/>
              <w:t>Rate of Interest for Working Capital</w:t>
            </w:r>
          </w:p>
        </w:tc>
        <w:tc>
          <w:tcPr>
            <w:tcW w:w="811"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color w:val="000000"/>
                <w:sz w:val="22"/>
                <w:szCs w:val="22"/>
              </w:rPr>
            </w:pPr>
            <w:r>
              <w:rPr>
                <w:color w:val="000000"/>
                <w:sz w:val="22"/>
                <w:szCs w:val="22"/>
              </w:rPr>
              <w:t>12.50%</w:t>
            </w:r>
          </w:p>
        </w:tc>
        <w:tc>
          <w:tcPr>
            <w:tcW w:w="988"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color w:val="000000"/>
                <w:sz w:val="22"/>
                <w:szCs w:val="22"/>
              </w:rPr>
            </w:pPr>
            <w:r>
              <w:rPr>
                <w:color w:val="000000"/>
                <w:sz w:val="22"/>
                <w:szCs w:val="22"/>
              </w:rPr>
              <w:t>12.50%</w:t>
            </w:r>
          </w:p>
        </w:tc>
      </w:tr>
      <w:tr w:rsidR="00C34658" w:rsidRPr="00C60AD1" w:rsidTr="00D55642">
        <w:trPr>
          <w:trHeight w:val="300"/>
        </w:trPr>
        <w:tc>
          <w:tcPr>
            <w:tcW w:w="3201" w:type="pct"/>
            <w:shd w:val="clear" w:color="auto" w:fill="auto"/>
            <w:hideMark/>
          </w:tcPr>
          <w:p w:rsidR="00C34658" w:rsidRDefault="00C34658" w:rsidP="00D55642">
            <w:pPr>
              <w:spacing w:before="0" w:line="240" w:lineRule="auto"/>
              <w:rPr>
                <w:b/>
                <w:sz w:val="22"/>
                <w:szCs w:val="22"/>
              </w:rPr>
            </w:pPr>
            <w:r w:rsidRPr="00C60AD1">
              <w:rPr>
                <w:b/>
                <w:sz w:val="22"/>
                <w:szCs w:val="22"/>
              </w:rPr>
              <w:t>Interest on Working Capital</w:t>
            </w:r>
          </w:p>
        </w:tc>
        <w:tc>
          <w:tcPr>
            <w:tcW w:w="811" w:type="pct"/>
            <w:shd w:val="clear" w:color="auto" w:fill="auto"/>
            <w:noWrap/>
            <w:vAlign w:val="center"/>
            <w:hideMark/>
          </w:tcPr>
          <w:p w:rsidR="00C34658" w:rsidRDefault="00C34658" w:rsidP="00D55642">
            <w:pPr>
              <w:spacing w:before="0" w:line="240" w:lineRule="auto"/>
              <w:jc w:val="right"/>
              <w:rPr>
                <w:rFonts w:asciiTheme="minorHAnsi" w:hAnsiTheme="minorHAnsi" w:cstheme="minorHAnsi"/>
                <w:b/>
                <w:color w:val="000000"/>
                <w:sz w:val="22"/>
                <w:szCs w:val="22"/>
              </w:rPr>
            </w:pPr>
            <w:r>
              <w:rPr>
                <w:b/>
                <w:bCs/>
                <w:color w:val="000000"/>
                <w:sz w:val="22"/>
                <w:szCs w:val="22"/>
              </w:rPr>
              <w:t xml:space="preserve">159.59 </w:t>
            </w:r>
          </w:p>
        </w:tc>
        <w:tc>
          <w:tcPr>
            <w:tcW w:w="988" w:type="pct"/>
            <w:shd w:val="clear" w:color="auto" w:fill="auto"/>
            <w:noWrap/>
            <w:vAlign w:val="center"/>
            <w:hideMark/>
          </w:tcPr>
          <w:p w:rsidR="002136A7" w:rsidRDefault="00C34658">
            <w:pPr>
              <w:spacing w:before="0" w:line="240" w:lineRule="auto"/>
              <w:jc w:val="right"/>
              <w:rPr>
                <w:rFonts w:asciiTheme="minorHAnsi" w:hAnsiTheme="minorHAnsi" w:cstheme="minorHAnsi"/>
                <w:b/>
                <w:color w:val="000000"/>
                <w:sz w:val="22"/>
                <w:szCs w:val="22"/>
              </w:rPr>
            </w:pPr>
            <w:r>
              <w:rPr>
                <w:b/>
                <w:bCs/>
                <w:color w:val="000000"/>
                <w:sz w:val="22"/>
                <w:szCs w:val="22"/>
              </w:rPr>
              <w:t>1</w:t>
            </w:r>
            <w:r w:rsidR="005D13D4">
              <w:rPr>
                <w:b/>
                <w:bCs/>
                <w:color w:val="000000"/>
                <w:sz w:val="22"/>
                <w:szCs w:val="22"/>
              </w:rPr>
              <w:t>59.88</w:t>
            </w:r>
          </w:p>
        </w:tc>
      </w:tr>
    </w:tbl>
    <w:p w:rsidR="00AA3DF1" w:rsidRPr="00C60AD1" w:rsidRDefault="00AA3DF1" w:rsidP="00C34658">
      <w:pPr>
        <w:autoSpaceDE w:val="0"/>
        <w:autoSpaceDN w:val="0"/>
        <w:adjustRightInd w:val="0"/>
        <w:spacing w:before="0" w:line="240" w:lineRule="auto"/>
        <w:jc w:val="center"/>
      </w:pPr>
    </w:p>
    <w:p w:rsidR="00C34658" w:rsidRPr="00C60AD1" w:rsidRDefault="00C34658" w:rsidP="00C34658">
      <w:pPr>
        <w:tabs>
          <w:tab w:val="left" w:pos="720"/>
        </w:tabs>
        <w:outlineLvl w:val="2"/>
        <w:rPr>
          <w:rFonts w:cs="Arial"/>
          <w:b/>
          <w:bCs/>
          <w:szCs w:val="26"/>
        </w:rPr>
      </w:pPr>
      <w:r w:rsidRPr="00C60AD1">
        <w:rPr>
          <w:rFonts w:cs="Arial"/>
          <w:b/>
          <w:bCs/>
          <w:szCs w:val="26"/>
        </w:rPr>
        <w:t>Interest on Consumer Security Deposits</w:t>
      </w:r>
    </w:p>
    <w:p w:rsidR="00D5771F" w:rsidRDefault="00C34658">
      <w:pPr>
        <w:pStyle w:val="Heading3"/>
        <w:tabs>
          <w:tab w:val="clear" w:pos="720"/>
        </w:tabs>
        <w:spacing w:after="240"/>
        <w:ind w:left="993" w:hanging="993"/>
      </w:pPr>
      <w:r w:rsidRPr="00C60AD1">
        <w:t xml:space="preserve">The Petitioner submitted that as per the Regulation 4.8(3) of the Distribution Tariff Regulation, 2006, the Licensee has to pay interest to the consumers at Bank Rate or more on the consumer security deposit. </w:t>
      </w:r>
    </w:p>
    <w:p w:rsidR="00D5771F" w:rsidRDefault="00C34658">
      <w:pPr>
        <w:pStyle w:val="Heading3"/>
        <w:tabs>
          <w:tab w:val="clear" w:pos="720"/>
        </w:tabs>
        <w:spacing w:after="240"/>
        <w:ind w:left="993" w:hanging="993"/>
      </w:pPr>
      <w:r w:rsidRPr="00C60AD1">
        <w:t>The Petitioner further submitted that Section 47(4) of the Electricity Act 2003, states as follows:</w:t>
      </w:r>
    </w:p>
    <w:p w:rsidR="00C34658" w:rsidRPr="00C60AD1" w:rsidRDefault="00C34658" w:rsidP="00C34658">
      <w:pPr>
        <w:pStyle w:val="Heading4"/>
        <w:numPr>
          <w:ilvl w:val="0"/>
          <w:numId w:val="0"/>
        </w:numPr>
        <w:spacing w:before="0"/>
        <w:ind w:left="1440"/>
      </w:pPr>
      <w:r w:rsidRPr="00C60AD1">
        <w:t>“</w:t>
      </w:r>
      <w:r w:rsidRPr="00C60AD1">
        <w:rPr>
          <w:i/>
        </w:rPr>
        <w:t>the distribution licensee shall pay interest equivalent to the bank rate or more, as may be specified by the concerned state Commission, on the security referred to in sub-section (1) and refund such security on the request of the person who gave such security</w:t>
      </w:r>
      <w:r w:rsidRPr="00C60AD1">
        <w:t>”</w:t>
      </w:r>
    </w:p>
    <w:p w:rsidR="00D5771F" w:rsidRDefault="00C34658">
      <w:pPr>
        <w:pStyle w:val="Heading3"/>
        <w:tabs>
          <w:tab w:val="clear" w:pos="720"/>
        </w:tabs>
        <w:spacing w:after="240"/>
        <w:ind w:left="993" w:hanging="993"/>
      </w:pPr>
      <w:r w:rsidRPr="00C60AD1">
        <w:t xml:space="preserve">The Petitioner submitted that accordingly, the interest to consumers on the security deposits has been computed on the opening balance of the security deposits at the beginning of the year at the Bank Rate of </w:t>
      </w:r>
      <w:r>
        <w:t>8.50</w:t>
      </w:r>
      <w:r w:rsidRPr="00C60AD1">
        <w:t>% for FY 201</w:t>
      </w:r>
      <w:r>
        <w:t>5</w:t>
      </w:r>
      <w:r w:rsidRPr="00C60AD1">
        <w:t>-1</w:t>
      </w:r>
      <w:r>
        <w:t>6</w:t>
      </w:r>
      <w:r w:rsidRPr="00C60AD1">
        <w:t xml:space="preserve"> and </w:t>
      </w:r>
      <w:r>
        <w:t xml:space="preserve">7.75% for </w:t>
      </w:r>
      <w:r w:rsidRPr="00C60AD1">
        <w:t xml:space="preserve">FY </w:t>
      </w:r>
      <w:r>
        <w:t>2016-17</w:t>
      </w:r>
      <w:r w:rsidRPr="00C60AD1">
        <w:t>, however, the same shall be Trued-up, based on audited accounts.</w:t>
      </w:r>
    </w:p>
    <w:p w:rsidR="00D5771F" w:rsidRDefault="00C34658">
      <w:pPr>
        <w:pStyle w:val="Heading3"/>
        <w:tabs>
          <w:tab w:val="clear" w:pos="720"/>
        </w:tabs>
        <w:spacing w:after="240"/>
        <w:ind w:left="993" w:hanging="993"/>
      </w:pPr>
      <w:r w:rsidRPr="008B0C65">
        <w:t>As the approach followed by the Petitioner is in accordance with the Distribution Tariff Regulations, 2006 and is also consistent with the approach adopted by the Commission in the previous Tariff Orders, therefore, the Commission approves the methodology employed by the Petitioner in this regard. However, it is observed that the Reserve Bank of India vide circular no. RBI / 2015</w:t>
      </w:r>
      <w:r>
        <w:t>-16</w:t>
      </w:r>
      <w:r w:rsidRPr="008B0C65">
        <w:t xml:space="preserve"> / </w:t>
      </w:r>
      <w:r>
        <w:t>194</w:t>
      </w:r>
      <w:r w:rsidRPr="008B0C65">
        <w:t xml:space="preserve"> dated </w:t>
      </w:r>
      <w:r>
        <w:t>September 29</w:t>
      </w:r>
      <w:r w:rsidRPr="008B0C65">
        <w:t>, 2015 has revised the Bank Rate from 8.</w:t>
      </w:r>
      <w:r>
        <w:t>2</w:t>
      </w:r>
      <w:r w:rsidRPr="008B0C65">
        <w:t xml:space="preserve">5% to </w:t>
      </w:r>
      <w:r>
        <w:t>7.75</w:t>
      </w:r>
      <w:r w:rsidRPr="008B0C65">
        <w:t xml:space="preserve">% w.e.f. </w:t>
      </w:r>
      <w:r>
        <w:t>September 29</w:t>
      </w:r>
      <w:r w:rsidRPr="008B0C65">
        <w:t xml:space="preserve">, 2015. Hence, the Commission has recomputed the interest on consumer security deposit at the rate of </w:t>
      </w:r>
      <w:r>
        <w:t>7.75</w:t>
      </w:r>
      <w:r w:rsidRPr="008B0C65">
        <w:t>%. However, the actual interest payable on consumer security deposits would be at the Bank Rates notified by the RBI from time to time as per the provision of the Electricity Supply Code. The same would be trued up based on audited accounts.</w:t>
      </w:r>
    </w:p>
    <w:p w:rsidR="00D5771F" w:rsidRDefault="00C34658">
      <w:pPr>
        <w:pStyle w:val="Heading3"/>
        <w:tabs>
          <w:tab w:val="clear" w:pos="720"/>
        </w:tabs>
        <w:spacing w:after="240"/>
        <w:ind w:left="993" w:hanging="993"/>
      </w:pPr>
      <w:r w:rsidRPr="00C60AD1">
        <w:t xml:space="preserve">Accordingly, the Commission has approved interest on security deposits for FY </w:t>
      </w:r>
      <w:r>
        <w:t>2016-17</w:t>
      </w:r>
      <w:r w:rsidRPr="00C60AD1">
        <w:t xml:space="preserve"> at </w:t>
      </w:r>
      <w:r>
        <w:t>7.75</w:t>
      </w:r>
      <w:r w:rsidRPr="00C60AD1">
        <w:t>% as shown in the Table below:</w:t>
      </w:r>
    </w:p>
    <w:p w:rsidR="00C34658" w:rsidRPr="007057CE" w:rsidRDefault="006C63AF" w:rsidP="00C34658">
      <w:pPr>
        <w:jc w:val="center"/>
        <w:rPr>
          <w:rFonts w:cstheme="minorHAnsi"/>
          <w:b/>
          <w:sz w:val="22"/>
        </w:rPr>
      </w:pPr>
      <w:bookmarkStart w:id="933" w:name="_Toc338310716"/>
      <w:bookmarkStart w:id="934" w:name="_Toc338419546"/>
      <w:bookmarkStart w:id="935" w:name="_Toc357718754"/>
      <w:bookmarkStart w:id="936" w:name="_Toc395657978"/>
      <w:bookmarkStart w:id="937" w:name="_Toc396574029"/>
      <w:bookmarkStart w:id="938" w:name="_Toc419992325"/>
      <w:bookmarkStart w:id="939" w:name="_Toc453367707"/>
      <w:bookmarkStart w:id="940" w:name="_Toc457604078"/>
      <w:r w:rsidRPr="006C63AF">
        <w:rPr>
          <w:rFonts w:cstheme="minorHAnsi"/>
          <w:b/>
          <w:sz w:val="22"/>
        </w:rPr>
        <w:lastRenderedPageBreak/>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5</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62</w:t>
      </w:r>
      <w:r w:rsidR="009741CA" w:rsidRPr="006C63AF">
        <w:rPr>
          <w:rFonts w:cstheme="minorHAnsi"/>
          <w:b/>
          <w:sz w:val="22"/>
        </w:rPr>
        <w:fldChar w:fldCharType="end"/>
      </w:r>
      <w:r w:rsidRPr="006C63AF">
        <w:rPr>
          <w:rFonts w:cstheme="minorHAnsi"/>
          <w:b/>
          <w:sz w:val="22"/>
        </w:rPr>
        <w:t>: INTEREST ON SECURITY DEPOSITS FOR FY 2016-17 (Rs. Crore)</w:t>
      </w:r>
      <w:bookmarkEnd w:id="933"/>
      <w:bookmarkEnd w:id="934"/>
      <w:bookmarkEnd w:id="935"/>
      <w:bookmarkEnd w:id="936"/>
      <w:bookmarkEnd w:id="937"/>
      <w:bookmarkEnd w:id="938"/>
      <w:bookmarkEnd w:id="939"/>
      <w:bookmarkEnd w:id="940"/>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158"/>
        <w:gridCol w:w="1532"/>
        <w:gridCol w:w="1439"/>
        <w:gridCol w:w="1756"/>
      </w:tblGrid>
      <w:tr w:rsidR="00C34658" w:rsidRPr="00334549" w:rsidTr="00AA3DF1">
        <w:trPr>
          <w:trHeight w:val="341"/>
          <w:tblHeader/>
        </w:trPr>
        <w:tc>
          <w:tcPr>
            <w:tcW w:w="2340" w:type="pct"/>
            <w:shd w:val="clear" w:color="000000" w:fill="DBE5F1"/>
            <w:hideMark/>
          </w:tcPr>
          <w:p w:rsidR="00603835" w:rsidRDefault="00C34658">
            <w:pPr>
              <w:spacing w:before="0"/>
              <w:jc w:val="center"/>
              <w:rPr>
                <w:b/>
                <w:sz w:val="22"/>
                <w:szCs w:val="22"/>
              </w:rPr>
            </w:pPr>
            <w:r w:rsidRPr="008B0C65">
              <w:rPr>
                <w:b/>
                <w:sz w:val="22"/>
                <w:szCs w:val="22"/>
              </w:rPr>
              <w:t>Particulars</w:t>
            </w:r>
          </w:p>
        </w:tc>
        <w:tc>
          <w:tcPr>
            <w:tcW w:w="862" w:type="pct"/>
            <w:shd w:val="clear" w:color="000000" w:fill="DBE5F1"/>
            <w:hideMark/>
          </w:tcPr>
          <w:p w:rsidR="00603835" w:rsidRDefault="00C34658">
            <w:pPr>
              <w:spacing w:before="0"/>
              <w:jc w:val="center"/>
              <w:rPr>
                <w:b/>
                <w:sz w:val="22"/>
                <w:szCs w:val="22"/>
              </w:rPr>
            </w:pPr>
            <w:r w:rsidRPr="008B0C65">
              <w:rPr>
                <w:b/>
                <w:sz w:val="22"/>
                <w:szCs w:val="22"/>
              </w:rPr>
              <w:t>Derivation</w:t>
            </w:r>
          </w:p>
        </w:tc>
        <w:tc>
          <w:tcPr>
            <w:tcW w:w="810" w:type="pct"/>
            <w:shd w:val="clear" w:color="000000" w:fill="DBE5F1"/>
            <w:hideMark/>
          </w:tcPr>
          <w:p w:rsidR="00603835" w:rsidRDefault="00C34658">
            <w:pPr>
              <w:spacing w:before="0"/>
              <w:jc w:val="center"/>
              <w:rPr>
                <w:b/>
                <w:sz w:val="22"/>
                <w:szCs w:val="22"/>
              </w:rPr>
            </w:pPr>
            <w:r w:rsidRPr="008B0C65">
              <w:rPr>
                <w:b/>
                <w:sz w:val="22"/>
                <w:szCs w:val="22"/>
              </w:rPr>
              <w:t>Petition</w:t>
            </w:r>
          </w:p>
        </w:tc>
        <w:tc>
          <w:tcPr>
            <w:tcW w:w="988" w:type="pct"/>
            <w:shd w:val="clear" w:color="000000" w:fill="DBE5F1"/>
            <w:hideMark/>
          </w:tcPr>
          <w:p w:rsidR="00603835" w:rsidRDefault="00C34658">
            <w:pPr>
              <w:spacing w:before="0"/>
              <w:jc w:val="center"/>
              <w:rPr>
                <w:b/>
                <w:sz w:val="22"/>
                <w:szCs w:val="22"/>
              </w:rPr>
            </w:pPr>
            <w:r w:rsidRPr="008B0C65">
              <w:rPr>
                <w:b/>
                <w:sz w:val="22"/>
                <w:szCs w:val="22"/>
              </w:rPr>
              <w:t>FY 2016-17</w:t>
            </w:r>
            <w:r w:rsidRPr="008B0C65">
              <w:rPr>
                <w:b/>
                <w:sz w:val="22"/>
                <w:szCs w:val="22"/>
              </w:rPr>
              <w:br/>
              <w:t>(Approved)</w:t>
            </w:r>
          </w:p>
        </w:tc>
      </w:tr>
      <w:tr w:rsidR="00C34658" w:rsidRPr="00334549" w:rsidTr="00D55642">
        <w:trPr>
          <w:trHeight w:val="300"/>
        </w:trPr>
        <w:tc>
          <w:tcPr>
            <w:tcW w:w="2340" w:type="pct"/>
            <w:shd w:val="clear" w:color="auto" w:fill="auto"/>
            <w:vAlign w:val="center"/>
            <w:hideMark/>
          </w:tcPr>
          <w:p w:rsidR="00C34658" w:rsidRPr="00334549" w:rsidRDefault="00C34658" w:rsidP="00D55642">
            <w:pPr>
              <w:pStyle w:val="NoSpacing"/>
            </w:pPr>
            <w:r w:rsidRPr="00334549">
              <w:t>Opening Balance of Security Deposits from Consumers</w:t>
            </w:r>
          </w:p>
        </w:tc>
        <w:tc>
          <w:tcPr>
            <w:tcW w:w="862" w:type="pct"/>
            <w:shd w:val="clear" w:color="auto" w:fill="auto"/>
            <w:noWrap/>
            <w:vAlign w:val="center"/>
            <w:hideMark/>
          </w:tcPr>
          <w:p w:rsidR="00C34658" w:rsidRPr="00334549" w:rsidRDefault="00C34658" w:rsidP="00D55642">
            <w:pPr>
              <w:spacing w:before="0"/>
              <w:jc w:val="center"/>
              <w:rPr>
                <w:sz w:val="22"/>
                <w:szCs w:val="22"/>
              </w:rPr>
            </w:pPr>
            <w:r w:rsidRPr="00334549">
              <w:rPr>
                <w:sz w:val="22"/>
                <w:szCs w:val="22"/>
              </w:rPr>
              <w:t>A</w:t>
            </w:r>
          </w:p>
        </w:tc>
        <w:tc>
          <w:tcPr>
            <w:tcW w:w="810" w:type="pct"/>
            <w:shd w:val="clear" w:color="auto" w:fill="auto"/>
            <w:noWrap/>
            <w:vAlign w:val="center"/>
            <w:hideMark/>
          </w:tcPr>
          <w:p w:rsidR="00C34658" w:rsidRPr="00334549" w:rsidRDefault="00C34658" w:rsidP="00D55642">
            <w:pPr>
              <w:spacing w:before="0"/>
              <w:jc w:val="right"/>
              <w:rPr>
                <w:sz w:val="22"/>
                <w:szCs w:val="22"/>
              </w:rPr>
            </w:pPr>
            <w:r w:rsidRPr="00334549">
              <w:rPr>
                <w:color w:val="000000"/>
                <w:sz w:val="22"/>
                <w:szCs w:val="22"/>
              </w:rPr>
              <w:t xml:space="preserve">   468.83 </w:t>
            </w:r>
          </w:p>
        </w:tc>
        <w:tc>
          <w:tcPr>
            <w:tcW w:w="988" w:type="pct"/>
            <w:shd w:val="clear" w:color="auto" w:fill="auto"/>
            <w:noWrap/>
            <w:vAlign w:val="center"/>
            <w:hideMark/>
          </w:tcPr>
          <w:p w:rsidR="00C34658" w:rsidRPr="00334549" w:rsidRDefault="00C34658" w:rsidP="00D55642">
            <w:pPr>
              <w:spacing w:before="0"/>
              <w:jc w:val="right"/>
              <w:rPr>
                <w:sz w:val="22"/>
                <w:szCs w:val="22"/>
              </w:rPr>
            </w:pPr>
            <w:r w:rsidRPr="00334549">
              <w:rPr>
                <w:color w:val="000000"/>
                <w:sz w:val="22"/>
                <w:szCs w:val="22"/>
              </w:rPr>
              <w:t xml:space="preserve">                  468.83 </w:t>
            </w:r>
          </w:p>
        </w:tc>
      </w:tr>
      <w:tr w:rsidR="00C34658" w:rsidRPr="00334549" w:rsidTr="00D55642">
        <w:trPr>
          <w:trHeight w:val="386"/>
        </w:trPr>
        <w:tc>
          <w:tcPr>
            <w:tcW w:w="2340" w:type="pct"/>
            <w:shd w:val="clear" w:color="auto" w:fill="auto"/>
            <w:vAlign w:val="center"/>
            <w:hideMark/>
          </w:tcPr>
          <w:p w:rsidR="00C34658" w:rsidRPr="00334549" w:rsidRDefault="00C34658" w:rsidP="00D55642">
            <w:pPr>
              <w:pStyle w:val="NoSpacing"/>
            </w:pPr>
            <w:r w:rsidRPr="00334549">
              <w:t>Projected Closing Balance of Security Deposits from Consumers</w:t>
            </w:r>
          </w:p>
        </w:tc>
        <w:tc>
          <w:tcPr>
            <w:tcW w:w="862" w:type="pct"/>
            <w:shd w:val="clear" w:color="auto" w:fill="auto"/>
            <w:noWrap/>
            <w:vAlign w:val="center"/>
            <w:hideMark/>
          </w:tcPr>
          <w:p w:rsidR="00C34658" w:rsidRPr="00334549" w:rsidRDefault="00C34658" w:rsidP="00D55642">
            <w:pPr>
              <w:spacing w:before="0"/>
              <w:jc w:val="center"/>
              <w:rPr>
                <w:sz w:val="22"/>
                <w:szCs w:val="22"/>
              </w:rPr>
            </w:pPr>
            <w:r w:rsidRPr="00334549">
              <w:rPr>
                <w:sz w:val="22"/>
                <w:szCs w:val="22"/>
              </w:rPr>
              <w:t>B</w:t>
            </w:r>
          </w:p>
        </w:tc>
        <w:tc>
          <w:tcPr>
            <w:tcW w:w="810" w:type="pct"/>
            <w:shd w:val="clear" w:color="auto" w:fill="auto"/>
            <w:noWrap/>
            <w:vAlign w:val="center"/>
            <w:hideMark/>
          </w:tcPr>
          <w:p w:rsidR="00C34658" w:rsidRPr="00334549" w:rsidRDefault="00C34658" w:rsidP="00D55642">
            <w:pPr>
              <w:spacing w:before="0"/>
              <w:jc w:val="right"/>
              <w:rPr>
                <w:sz w:val="22"/>
                <w:szCs w:val="22"/>
              </w:rPr>
            </w:pPr>
            <w:r w:rsidRPr="00334549">
              <w:rPr>
                <w:color w:val="000000"/>
                <w:sz w:val="22"/>
                <w:szCs w:val="22"/>
              </w:rPr>
              <w:t xml:space="preserve">         526.98 </w:t>
            </w:r>
          </w:p>
        </w:tc>
        <w:tc>
          <w:tcPr>
            <w:tcW w:w="988" w:type="pct"/>
            <w:shd w:val="clear" w:color="auto" w:fill="auto"/>
            <w:noWrap/>
            <w:vAlign w:val="center"/>
            <w:hideMark/>
          </w:tcPr>
          <w:p w:rsidR="00C34658" w:rsidRPr="00334549" w:rsidRDefault="00C34658" w:rsidP="00D55642">
            <w:pPr>
              <w:spacing w:before="0"/>
              <w:jc w:val="right"/>
              <w:rPr>
                <w:sz w:val="22"/>
                <w:szCs w:val="22"/>
              </w:rPr>
            </w:pPr>
            <w:r w:rsidRPr="00334549">
              <w:rPr>
                <w:color w:val="000000"/>
                <w:sz w:val="22"/>
                <w:szCs w:val="22"/>
              </w:rPr>
              <w:t xml:space="preserve">                  526.98 </w:t>
            </w:r>
          </w:p>
        </w:tc>
      </w:tr>
      <w:tr w:rsidR="00C34658" w:rsidRPr="00334549" w:rsidTr="00D55642">
        <w:trPr>
          <w:trHeight w:val="300"/>
        </w:trPr>
        <w:tc>
          <w:tcPr>
            <w:tcW w:w="2340" w:type="pct"/>
            <w:shd w:val="clear" w:color="auto" w:fill="auto"/>
            <w:noWrap/>
            <w:vAlign w:val="center"/>
            <w:hideMark/>
          </w:tcPr>
          <w:p w:rsidR="00C34658" w:rsidRPr="00334549" w:rsidRDefault="00C34658" w:rsidP="00D55642">
            <w:pPr>
              <w:pStyle w:val="NoSpacing"/>
            </w:pPr>
            <w:r w:rsidRPr="00334549">
              <w:t>Bank Rate (%)</w:t>
            </w:r>
          </w:p>
        </w:tc>
        <w:tc>
          <w:tcPr>
            <w:tcW w:w="862" w:type="pct"/>
            <w:shd w:val="clear" w:color="auto" w:fill="auto"/>
            <w:noWrap/>
            <w:vAlign w:val="center"/>
            <w:hideMark/>
          </w:tcPr>
          <w:p w:rsidR="00C34658" w:rsidRPr="00334549" w:rsidRDefault="00C34658" w:rsidP="00D55642">
            <w:pPr>
              <w:spacing w:before="0"/>
              <w:jc w:val="center"/>
              <w:rPr>
                <w:sz w:val="22"/>
                <w:szCs w:val="22"/>
              </w:rPr>
            </w:pPr>
            <w:r w:rsidRPr="00334549">
              <w:rPr>
                <w:sz w:val="22"/>
                <w:szCs w:val="22"/>
              </w:rPr>
              <w:t>C</w:t>
            </w:r>
          </w:p>
        </w:tc>
        <w:tc>
          <w:tcPr>
            <w:tcW w:w="810" w:type="pct"/>
            <w:shd w:val="clear" w:color="auto" w:fill="auto"/>
            <w:noWrap/>
            <w:vAlign w:val="center"/>
            <w:hideMark/>
          </w:tcPr>
          <w:p w:rsidR="00C34658" w:rsidRPr="00334549" w:rsidRDefault="00C34658" w:rsidP="00D55642">
            <w:pPr>
              <w:spacing w:before="0"/>
              <w:jc w:val="right"/>
              <w:rPr>
                <w:sz w:val="22"/>
                <w:szCs w:val="22"/>
              </w:rPr>
            </w:pPr>
            <w:r w:rsidRPr="00334549">
              <w:rPr>
                <w:color w:val="000000"/>
                <w:sz w:val="22"/>
                <w:szCs w:val="22"/>
              </w:rPr>
              <w:t>7.75%</w:t>
            </w:r>
          </w:p>
        </w:tc>
        <w:tc>
          <w:tcPr>
            <w:tcW w:w="988" w:type="pct"/>
            <w:shd w:val="clear" w:color="auto" w:fill="auto"/>
            <w:noWrap/>
            <w:vAlign w:val="center"/>
            <w:hideMark/>
          </w:tcPr>
          <w:p w:rsidR="00C34658" w:rsidRPr="00334549" w:rsidRDefault="00C34658" w:rsidP="00D55642">
            <w:pPr>
              <w:spacing w:before="0"/>
              <w:jc w:val="right"/>
              <w:rPr>
                <w:sz w:val="22"/>
                <w:szCs w:val="22"/>
              </w:rPr>
            </w:pPr>
            <w:r w:rsidRPr="00334549">
              <w:rPr>
                <w:color w:val="000000"/>
                <w:sz w:val="22"/>
                <w:szCs w:val="22"/>
              </w:rPr>
              <w:t>7.75%</w:t>
            </w:r>
          </w:p>
        </w:tc>
      </w:tr>
      <w:tr w:rsidR="00C34658" w:rsidRPr="00334549" w:rsidTr="00D55642">
        <w:trPr>
          <w:trHeight w:val="300"/>
        </w:trPr>
        <w:tc>
          <w:tcPr>
            <w:tcW w:w="2340" w:type="pct"/>
            <w:shd w:val="clear" w:color="auto" w:fill="auto"/>
            <w:noWrap/>
            <w:vAlign w:val="center"/>
            <w:hideMark/>
          </w:tcPr>
          <w:p w:rsidR="00C34658" w:rsidRPr="00334549" w:rsidRDefault="00C34658" w:rsidP="00D55642">
            <w:pPr>
              <w:pStyle w:val="NoSpacing"/>
              <w:spacing w:line="276" w:lineRule="auto"/>
              <w:jc w:val="both"/>
              <w:rPr>
                <w:b/>
              </w:rPr>
            </w:pPr>
            <w:r w:rsidRPr="00334549">
              <w:rPr>
                <w:b/>
              </w:rPr>
              <w:t>Interest on Security Deposits</w:t>
            </w:r>
          </w:p>
        </w:tc>
        <w:tc>
          <w:tcPr>
            <w:tcW w:w="862" w:type="pct"/>
            <w:shd w:val="clear" w:color="auto" w:fill="auto"/>
            <w:noWrap/>
            <w:vAlign w:val="center"/>
            <w:hideMark/>
          </w:tcPr>
          <w:p w:rsidR="00C34658" w:rsidRPr="00334549" w:rsidRDefault="00C34658" w:rsidP="00D55642">
            <w:pPr>
              <w:spacing w:before="0"/>
              <w:jc w:val="center"/>
              <w:rPr>
                <w:b/>
                <w:sz w:val="22"/>
                <w:szCs w:val="22"/>
              </w:rPr>
            </w:pPr>
            <w:r w:rsidRPr="00334549">
              <w:rPr>
                <w:b/>
                <w:sz w:val="22"/>
                <w:szCs w:val="22"/>
              </w:rPr>
              <w:t>D = (A+B)/2*C</w:t>
            </w:r>
          </w:p>
        </w:tc>
        <w:tc>
          <w:tcPr>
            <w:tcW w:w="810" w:type="pct"/>
            <w:shd w:val="clear" w:color="auto" w:fill="auto"/>
            <w:noWrap/>
            <w:vAlign w:val="center"/>
            <w:hideMark/>
          </w:tcPr>
          <w:p w:rsidR="00C34658" w:rsidRPr="00334549" w:rsidRDefault="00C34658" w:rsidP="00D55642">
            <w:pPr>
              <w:spacing w:before="0"/>
              <w:jc w:val="right"/>
              <w:rPr>
                <w:sz w:val="22"/>
                <w:szCs w:val="22"/>
              </w:rPr>
            </w:pPr>
            <w:r w:rsidRPr="00334549">
              <w:rPr>
                <w:b/>
                <w:bCs/>
                <w:color w:val="000000"/>
                <w:sz w:val="22"/>
                <w:szCs w:val="22"/>
              </w:rPr>
              <w:t xml:space="preserve">38.59 </w:t>
            </w:r>
          </w:p>
        </w:tc>
        <w:tc>
          <w:tcPr>
            <w:tcW w:w="988" w:type="pct"/>
            <w:shd w:val="clear" w:color="auto" w:fill="auto"/>
            <w:noWrap/>
            <w:vAlign w:val="center"/>
            <w:hideMark/>
          </w:tcPr>
          <w:p w:rsidR="00C34658" w:rsidRPr="00334549" w:rsidRDefault="00C34658" w:rsidP="00D55642">
            <w:pPr>
              <w:spacing w:before="0"/>
              <w:jc w:val="right"/>
              <w:rPr>
                <w:sz w:val="22"/>
                <w:szCs w:val="22"/>
              </w:rPr>
            </w:pPr>
            <w:r w:rsidRPr="00334549">
              <w:rPr>
                <w:b/>
                <w:bCs/>
                <w:color w:val="000000"/>
                <w:sz w:val="22"/>
                <w:szCs w:val="22"/>
              </w:rPr>
              <w:t xml:space="preserve">38.59 </w:t>
            </w:r>
          </w:p>
        </w:tc>
      </w:tr>
    </w:tbl>
    <w:p w:rsidR="00C34658" w:rsidRPr="00C60AD1" w:rsidRDefault="00C34658" w:rsidP="00C34658">
      <w:pPr>
        <w:keepNext/>
        <w:spacing w:before="0" w:line="240" w:lineRule="auto"/>
        <w:jc w:val="center"/>
        <w:rPr>
          <w:b/>
          <w:bCs/>
          <w:sz w:val="23"/>
          <w:szCs w:val="23"/>
        </w:rPr>
      </w:pPr>
    </w:p>
    <w:p w:rsidR="00C34658" w:rsidRPr="00C60AD1" w:rsidRDefault="00C34658" w:rsidP="00C34658">
      <w:pPr>
        <w:ind w:left="180"/>
        <w:outlineLvl w:val="3"/>
        <w:rPr>
          <w:rFonts w:cs="Arial"/>
          <w:b/>
          <w:bCs/>
          <w:szCs w:val="26"/>
        </w:rPr>
      </w:pPr>
      <w:r w:rsidRPr="00C60AD1">
        <w:rPr>
          <w:rFonts w:cs="Arial"/>
          <w:b/>
          <w:bCs/>
          <w:szCs w:val="26"/>
        </w:rPr>
        <w:t>Finance Charges:</w:t>
      </w:r>
    </w:p>
    <w:p w:rsidR="00D5771F" w:rsidRDefault="00C34658">
      <w:pPr>
        <w:pStyle w:val="Heading3"/>
        <w:tabs>
          <w:tab w:val="clear" w:pos="720"/>
        </w:tabs>
        <w:spacing w:after="240"/>
        <w:ind w:left="993" w:hanging="993"/>
      </w:pPr>
      <w:r w:rsidRPr="00C60AD1">
        <w:t>The Petitioner has submitted that the finance charges towards expenses such as guarantee fees and bank charges is Rs. 0.</w:t>
      </w:r>
      <w:r>
        <w:t>172</w:t>
      </w:r>
      <w:r w:rsidRPr="00C60AD1">
        <w:t xml:space="preserve"> Crore for FY </w:t>
      </w:r>
      <w:r>
        <w:t>2016-17</w:t>
      </w:r>
      <w:r w:rsidRPr="00C60AD1">
        <w:t xml:space="preserve"> and the same have been computed by extrapolating the actual guarantee fees and bank charges incurred in FY 201</w:t>
      </w:r>
      <w:r>
        <w:t>4</w:t>
      </w:r>
      <w:r w:rsidRPr="00C60AD1">
        <w:t>-1</w:t>
      </w:r>
      <w:r>
        <w:t>5</w:t>
      </w:r>
      <w:r w:rsidRPr="00C60AD1">
        <w:t xml:space="preserve"> as per provisional accounts by using the Inflation Index. </w:t>
      </w:r>
    </w:p>
    <w:p w:rsidR="00D5771F" w:rsidRDefault="00C34658">
      <w:pPr>
        <w:pStyle w:val="Heading3"/>
        <w:tabs>
          <w:tab w:val="clear" w:pos="720"/>
        </w:tabs>
        <w:spacing w:after="240"/>
        <w:ind w:left="993" w:hanging="993"/>
      </w:pPr>
      <w:r w:rsidRPr="00C60AD1">
        <w:t xml:space="preserve">Further, the Petitioner submitted that it may be allowed to claim discount to consumers on actual during Truing-up based on audited accounts. </w:t>
      </w:r>
    </w:p>
    <w:p w:rsidR="00D5771F" w:rsidRDefault="00C34658">
      <w:pPr>
        <w:pStyle w:val="Heading3"/>
        <w:tabs>
          <w:tab w:val="clear" w:pos="720"/>
        </w:tabs>
        <w:spacing w:after="240"/>
        <w:ind w:left="993" w:hanging="993"/>
      </w:pPr>
      <w:r w:rsidRPr="00C60AD1">
        <w:t>The Commission has considered Rs. 0.</w:t>
      </w:r>
      <w:r>
        <w:t>172</w:t>
      </w:r>
      <w:r w:rsidRPr="00C60AD1">
        <w:t xml:space="preserve"> Crore as bank charges as submitted by the Petitioner for FY </w:t>
      </w:r>
      <w:r>
        <w:t>2016-17</w:t>
      </w:r>
      <w:r w:rsidRPr="00C60AD1">
        <w:t>.</w:t>
      </w:r>
    </w:p>
    <w:p w:rsidR="00C34658" w:rsidRPr="00C60AD1" w:rsidRDefault="00C34658" w:rsidP="00C34658">
      <w:pPr>
        <w:tabs>
          <w:tab w:val="left" w:pos="720"/>
        </w:tabs>
        <w:outlineLvl w:val="2"/>
        <w:rPr>
          <w:rFonts w:cs="Arial"/>
          <w:b/>
          <w:bCs/>
          <w:szCs w:val="26"/>
        </w:rPr>
      </w:pPr>
      <w:r w:rsidRPr="00C60AD1">
        <w:rPr>
          <w:rFonts w:cs="Arial"/>
          <w:b/>
          <w:bCs/>
          <w:szCs w:val="26"/>
        </w:rPr>
        <w:t xml:space="preserve">Summary of Interest and Finance Charges </w:t>
      </w:r>
    </w:p>
    <w:p w:rsidR="00D5771F" w:rsidRDefault="00C34658">
      <w:pPr>
        <w:pStyle w:val="Heading3"/>
        <w:tabs>
          <w:tab w:val="clear" w:pos="720"/>
        </w:tabs>
        <w:spacing w:after="240"/>
        <w:ind w:left="993" w:hanging="993"/>
      </w:pPr>
      <w:r w:rsidRPr="00C60AD1">
        <w:t xml:space="preserve">In view of the above, the approved interest and finance costs including interest on working capital for FY </w:t>
      </w:r>
      <w:r>
        <w:t>2016-17</w:t>
      </w:r>
      <w:r w:rsidRPr="00C60AD1">
        <w:t xml:space="preserve"> is summarised in the Table below:</w:t>
      </w:r>
    </w:p>
    <w:p w:rsidR="00C34658" w:rsidRPr="007057CE" w:rsidRDefault="006C63AF" w:rsidP="00C34658">
      <w:pPr>
        <w:jc w:val="center"/>
        <w:rPr>
          <w:rFonts w:cstheme="minorHAnsi"/>
          <w:b/>
          <w:sz w:val="22"/>
        </w:rPr>
      </w:pPr>
      <w:bookmarkStart w:id="941" w:name="_Toc338310717"/>
      <w:bookmarkStart w:id="942" w:name="_Toc338419547"/>
      <w:bookmarkStart w:id="943" w:name="_Toc357718755"/>
      <w:bookmarkStart w:id="944" w:name="_Toc395657979"/>
      <w:bookmarkStart w:id="945" w:name="_Toc396574030"/>
      <w:bookmarkStart w:id="946" w:name="_Toc419992326"/>
      <w:bookmarkStart w:id="947" w:name="_Toc453367708"/>
      <w:bookmarkStart w:id="948" w:name="_Toc457604079"/>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5</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63</w:t>
      </w:r>
      <w:r w:rsidR="009741CA" w:rsidRPr="006C63AF">
        <w:rPr>
          <w:rFonts w:cstheme="minorHAnsi"/>
          <w:b/>
          <w:sz w:val="22"/>
        </w:rPr>
        <w:fldChar w:fldCharType="end"/>
      </w:r>
      <w:r w:rsidRPr="006C63AF">
        <w:rPr>
          <w:rFonts w:cstheme="minorHAnsi"/>
          <w:b/>
          <w:sz w:val="22"/>
        </w:rPr>
        <w:t>: INTEREST AND FINANCE CHARGES FOR FY 2016-17 (RS. CRORE)</w:t>
      </w:r>
      <w:bookmarkEnd w:id="941"/>
      <w:bookmarkEnd w:id="942"/>
      <w:bookmarkEnd w:id="943"/>
      <w:bookmarkEnd w:id="944"/>
      <w:bookmarkEnd w:id="945"/>
      <w:bookmarkEnd w:id="946"/>
      <w:bookmarkEnd w:id="947"/>
      <w:bookmarkEnd w:id="948"/>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058"/>
        <w:gridCol w:w="2070"/>
        <w:gridCol w:w="1757"/>
      </w:tblGrid>
      <w:tr w:rsidR="00C34658" w:rsidRPr="00C60AD1" w:rsidTr="008334E8">
        <w:trPr>
          <w:trHeight w:val="600"/>
          <w:tblHeader/>
          <w:jc w:val="center"/>
        </w:trPr>
        <w:tc>
          <w:tcPr>
            <w:tcW w:w="2846" w:type="pct"/>
            <w:shd w:val="clear" w:color="000000" w:fill="DBE5F1"/>
            <w:hideMark/>
          </w:tcPr>
          <w:p w:rsidR="00603835" w:rsidRDefault="00C34658">
            <w:pPr>
              <w:spacing w:before="0"/>
              <w:jc w:val="center"/>
              <w:rPr>
                <w:rFonts w:asciiTheme="minorHAnsi" w:hAnsiTheme="minorHAnsi" w:cstheme="minorHAnsi"/>
                <w:b/>
                <w:sz w:val="22"/>
                <w:szCs w:val="22"/>
              </w:rPr>
            </w:pPr>
            <w:r w:rsidRPr="00C60AD1">
              <w:rPr>
                <w:rFonts w:asciiTheme="minorHAnsi" w:hAnsiTheme="minorHAnsi" w:cstheme="minorHAnsi"/>
                <w:b/>
                <w:sz w:val="22"/>
                <w:szCs w:val="22"/>
              </w:rPr>
              <w:t>Particulars</w:t>
            </w:r>
          </w:p>
        </w:tc>
        <w:tc>
          <w:tcPr>
            <w:tcW w:w="1165" w:type="pct"/>
            <w:shd w:val="clear" w:color="000000" w:fill="DBE5F1"/>
            <w:noWrap/>
            <w:hideMark/>
          </w:tcPr>
          <w:p w:rsidR="00603835" w:rsidRDefault="00C34658">
            <w:pPr>
              <w:spacing w:before="0"/>
              <w:jc w:val="center"/>
              <w:rPr>
                <w:rFonts w:asciiTheme="minorHAnsi" w:hAnsiTheme="minorHAnsi" w:cstheme="minorHAnsi"/>
                <w:b/>
                <w:sz w:val="22"/>
                <w:szCs w:val="22"/>
              </w:rPr>
            </w:pPr>
            <w:r w:rsidRPr="00C60AD1">
              <w:rPr>
                <w:rFonts w:asciiTheme="minorHAnsi" w:hAnsiTheme="minorHAnsi" w:cstheme="minorHAnsi"/>
                <w:b/>
                <w:sz w:val="22"/>
                <w:szCs w:val="22"/>
              </w:rPr>
              <w:t>ARR Petition</w:t>
            </w:r>
          </w:p>
        </w:tc>
        <w:tc>
          <w:tcPr>
            <w:tcW w:w="989" w:type="pct"/>
            <w:shd w:val="clear" w:color="000000" w:fill="DBE5F1"/>
            <w:hideMark/>
          </w:tcPr>
          <w:p w:rsidR="00603835" w:rsidRDefault="00C34658">
            <w:pPr>
              <w:spacing w:before="0"/>
              <w:jc w:val="center"/>
              <w:rPr>
                <w:rFonts w:asciiTheme="minorHAnsi" w:hAnsiTheme="minorHAnsi" w:cstheme="minorHAnsi"/>
                <w:b/>
                <w:sz w:val="22"/>
                <w:szCs w:val="22"/>
              </w:rPr>
            </w:pPr>
            <w:r w:rsidRPr="00C60AD1">
              <w:rPr>
                <w:rFonts w:asciiTheme="minorHAnsi" w:hAnsiTheme="minorHAnsi" w:cstheme="minorHAnsi"/>
                <w:b/>
                <w:sz w:val="22"/>
                <w:szCs w:val="22"/>
              </w:rPr>
              <w:t xml:space="preserve">FY </w:t>
            </w:r>
            <w:r>
              <w:rPr>
                <w:rFonts w:asciiTheme="minorHAnsi" w:hAnsiTheme="minorHAnsi" w:cstheme="minorHAnsi"/>
                <w:b/>
                <w:sz w:val="22"/>
                <w:szCs w:val="22"/>
              </w:rPr>
              <w:t>2016-17</w:t>
            </w:r>
            <w:r w:rsidRPr="00C60AD1">
              <w:rPr>
                <w:rFonts w:asciiTheme="minorHAnsi" w:hAnsiTheme="minorHAnsi" w:cstheme="minorHAnsi"/>
                <w:b/>
                <w:sz w:val="22"/>
                <w:szCs w:val="22"/>
              </w:rPr>
              <w:br/>
              <w:t>(Approved)</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pPr>
            <w:r w:rsidRPr="00C60AD1">
              <w:t>Interest on Long term Loans</w:t>
            </w:r>
          </w:p>
        </w:tc>
        <w:tc>
          <w:tcPr>
            <w:tcW w:w="1165"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 xml:space="preserve">491.70 </w:t>
            </w:r>
          </w:p>
        </w:tc>
        <w:tc>
          <w:tcPr>
            <w:tcW w:w="989"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 xml:space="preserve">340.58 </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pPr>
            <w:r w:rsidRPr="00C60AD1">
              <w:t>Interest on Working Capital Loans</w:t>
            </w:r>
          </w:p>
        </w:tc>
        <w:tc>
          <w:tcPr>
            <w:tcW w:w="1165"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 xml:space="preserve">159.59 </w:t>
            </w:r>
          </w:p>
        </w:tc>
        <w:tc>
          <w:tcPr>
            <w:tcW w:w="989" w:type="pct"/>
            <w:shd w:val="clear" w:color="auto" w:fill="auto"/>
            <w:noWrap/>
            <w:vAlign w:val="center"/>
            <w:hideMark/>
          </w:tcPr>
          <w:p w:rsidR="002136A7" w:rsidRDefault="001C1C35">
            <w:pPr>
              <w:spacing w:before="0"/>
              <w:jc w:val="right"/>
              <w:rPr>
                <w:rFonts w:asciiTheme="minorHAnsi" w:hAnsiTheme="minorHAnsi" w:cstheme="minorHAnsi"/>
                <w:sz w:val="22"/>
                <w:szCs w:val="22"/>
              </w:rPr>
            </w:pPr>
            <w:r>
              <w:rPr>
                <w:color w:val="000000"/>
                <w:sz w:val="22"/>
                <w:szCs w:val="22"/>
              </w:rPr>
              <w:t>159.88</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rPr>
                <w:b/>
              </w:rPr>
            </w:pPr>
            <w:r w:rsidRPr="00C60AD1">
              <w:rPr>
                <w:b/>
              </w:rPr>
              <w:t>Sub Total</w:t>
            </w:r>
          </w:p>
        </w:tc>
        <w:tc>
          <w:tcPr>
            <w:tcW w:w="1165"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b/>
                <w:bCs/>
                <w:color w:val="000000"/>
                <w:sz w:val="22"/>
                <w:szCs w:val="22"/>
              </w:rPr>
              <w:t xml:space="preserve">651.29 </w:t>
            </w:r>
          </w:p>
        </w:tc>
        <w:tc>
          <w:tcPr>
            <w:tcW w:w="989" w:type="pct"/>
            <w:shd w:val="clear" w:color="auto" w:fill="auto"/>
            <w:noWrap/>
            <w:vAlign w:val="center"/>
            <w:hideMark/>
          </w:tcPr>
          <w:p w:rsidR="002136A7" w:rsidRDefault="00C34658">
            <w:pPr>
              <w:spacing w:before="0"/>
              <w:jc w:val="right"/>
              <w:rPr>
                <w:rFonts w:asciiTheme="minorHAnsi" w:hAnsiTheme="minorHAnsi" w:cstheme="minorHAnsi"/>
                <w:sz w:val="22"/>
                <w:szCs w:val="22"/>
              </w:rPr>
            </w:pPr>
            <w:r>
              <w:rPr>
                <w:b/>
                <w:bCs/>
                <w:color w:val="000000"/>
                <w:sz w:val="22"/>
                <w:szCs w:val="22"/>
              </w:rPr>
              <w:t>50</w:t>
            </w:r>
            <w:r w:rsidR="001C1C35">
              <w:rPr>
                <w:b/>
                <w:bCs/>
                <w:color w:val="000000"/>
                <w:sz w:val="22"/>
                <w:szCs w:val="22"/>
              </w:rPr>
              <w:t>0.46</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pPr>
            <w:r w:rsidRPr="00C60AD1">
              <w:t>Interest on Consumer Security Deposits</w:t>
            </w:r>
          </w:p>
        </w:tc>
        <w:tc>
          <w:tcPr>
            <w:tcW w:w="1165" w:type="pct"/>
            <w:shd w:val="clear" w:color="auto" w:fill="auto"/>
            <w:noWrap/>
            <w:vAlign w:val="center"/>
            <w:hideMark/>
          </w:tcPr>
          <w:p w:rsidR="00C34658" w:rsidRPr="00C60AD1" w:rsidRDefault="00C34658" w:rsidP="00D55642">
            <w:pPr>
              <w:pStyle w:val="NoSpacing"/>
              <w:spacing w:line="276" w:lineRule="auto"/>
              <w:jc w:val="right"/>
              <w:rPr>
                <w:rFonts w:asciiTheme="minorHAnsi" w:hAnsiTheme="minorHAnsi"/>
              </w:rPr>
            </w:pPr>
            <w:r>
              <w:rPr>
                <w:color w:val="000000"/>
              </w:rPr>
              <w:t xml:space="preserve">38.59 </w:t>
            </w:r>
          </w:p>
        </w:tc>
        <w:tc>
          <w:tcPr>
            <w:tcW w:w="989" w:type="pct"/>
            <w:shd w:val="clear" w:color="auto" w:fill="auto"/>
            <w:noWrap/>
            <w:vAlign w:val="center"/>
            <w:hideMark/>
          </w:tcPr>
          <w:p w:rsidR="00C34658" w:rsidRPr="00C60AD1" w:rsidRDefault="00C34658" w:rsidP="00D55642">
            <w:pPr>
              <w:pStyle w:val="NoSpacing"/>
              <w:spacing w:line="276" w:lineRule="auto"/>
              <w:jc w:val="right"/>
              <w:rPr>
                <w:rFonts w:asciiTheme="minorHAnsi" w:hAnsiTheme="minorHAnsi" w:cstheme="minorHAnsi"/>
              </w:rPr>
            </w:pPr>
            <w:r>
              <w:rPr>
                <w:color w:val="000000"/>
              </w:rPr>
              <w:t xml:space="preserve">38.59 </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pPr>
            <w:r w:rsidRPr="00C60AD1">
              <w:t>Bank Charges</w:t>
            </w:r>
          </w:p>
        </w:tc>
        <w:tc>
          <w:tcPr>
            <w:tcW w:w="1165"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 xml:space="preserve">0.17 </w:t>
            </w:r>
          </w:p>
        </w:tc>
        <w:tc>
          <w:tcPr>
            <w:tcW w:w="989"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 xml:space="preserve">0.17 </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pPr>
            <w:r w:rsidRPr="00C60AD1">
              <w:t>Discount to Consumers</w:t>
            </w:r>
          </w:p>
        </w:tc>
        <w:tc>
          <w:tcPr>
            <w:tcW w:w="1165"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 xml:space="preserve">-   </w:t>
            </w:r>
          </w:p>
        </w:tc>
        <w:tc>
          <w:tcPr>
            <w:tcW w:w="989"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 xml:space="preserve">-   </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rPr>
                <w:b/>
              </w:rPr>
            </w:pPr>
            <w:r w:rsidRPr="00C60AD1">
              <w:rPr>
                <w:b/>
              </w:rPr>
              <w:t>Sub Total</w:t>
            </w:r>
          </w:p>
        </w:tc>
        <w:tc>
          <w:tcPr>
            <w:tcW w:w="1165"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b/>
                <w:bCs/>
                <w:color w:val="000000"/>
                <w:sz w:val="22"/>
                <w:szCs w:val="22"/>
              </w:rPr>
              <w:t xml:space="preserve">38.76 </w:t>
            </w:r>
          </w:p>
        </w:tc>
        <w:tc>
          <w:tcPr>
            <w:tcW w:w="989"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b/>
                <w:bCs/>
                <w:color w:val="000000"/>
                <w:sz w:val="22"/>
                <w:szCs w:val="22"/>
              </w:rPr>
              <w:t xml:space="preserve">38.76 </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rPr>
                <w:b/>
              </w:rPr>
            </w:pPr>
            <w:r w:rsidRPr="00C60AD1">
              <w:rPr>
                <w:b/>
              </w:rPr>
              <w:t>Gross Total Interest &amp; Finance Charges</w:t>
            </w:r>
          </w:p>
        </w:tc>
        <w:tc>
          <w:tcPr>
            <w:tcW w:w="1165"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b/>
                <w:bCs/>
                <w:color w:val="000000"/>
                <w:sz w:val="22"/>
                <w:szCs w:val="22"/>
              </w:rPr>
              <w:t xml:space="preserve">690.05 </w:t>
            </w:r>
          </w:p>
        </w:tc>
        <w:tc>
          <w:tcPr>
            <w:tcW w:w="989" w:type="pct"/>
            <w:shd w:val="clear" w:color="auto" w:fill="auto"/>
            <w:noWrap/>
            <w:vAlign w:val="center"/>
            <w:hideMark/>
          </w:tcPr>
          <w:p w:rsidR="002136A7" w:rsidRDefault="00C34658">
            <w:pPr>
              <w:spacing w:before="0"/>
              <w:jc w:val="right"/>
              <w:rPr>
                <w:rFonts w:asciiTheme="minorHAnsi" w:hAnsiTheme="minorHAnsi" w:cstheme="minorHAnsi"/>
                <w:sz w:val="22"/>
                <w:szCs w:val="22"/>
              </w:rPr>
            </w:pPr>
            <w:r>
              <w:rPr>
                <w:b/>
                <w:bCs/>
                <w:color w:val="000000"/>
                <w:sz w:val="22"/>
                <w:szCs w:val="22"/>
              </w:rPr>
              <w:t>539.</w:t>
            </w:r>
            <w:r w:rsidR="001C1C35">
              <w:rPr>
                <w:b/>
                <w:bCs/>
                <w:color w:val="000000"/>
                <w:sz w:val="22"/>
                <w:szCs w:val="22"/>
              </w:rPr>
              <w:t>22</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pPr>
            <w:r w:rsidRPr="00C60AD1">
              <w:t>Less: Capitalization of interest on Long term Loans</w:t>
            </w:r>
          </w:p>
        </w:tc>
        <w:tc>
          <w:tcPr>
            <w:tcW w:w="1165"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 xml:space="preserve">113.09 </w:t>
            </w:r>
          </w:p>
        </w:tc>
        <w:tc>
          <w:tcPr>
            <w:tcW w:w="989"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 xml:space="preserve">78.33 </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pPr>
            <w:r w:rsidRPr="00C60AD1">
              <w:lastRenderedPageBreak/>
              <w:t>% Capitalization</w:t>
            </w:r>
          </w:p>
        </w:tc>
        <w:tc>
          <w:tcPr>
            <w:tcW w:w="1165"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23.00%</w:t>
            </w:r>
          </w:p>
        </w:tc>
        <w:tc>
          <w:tcPr>
            <w:tcW w:w="989"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23.00%</w:t>
            </w:r>
          </w:p>
        </w:tc>
      </w:tr>
      <w:tr w:rsidR="00C34658" w:rsidRPr="00C60AD1" w:rsidTr="00D55642">
        <w:trPr>
          <w:trHeight w:val="300"/>
          <w:jc w:val="center"/>
        </w:trPr>
        <w:tc>
          <w:tcPr>
            <w:tcW w:w="2846" w:type="pct"/>
            <w:shd w:val="clear" w:color="auto" w:fill="auto"/>
            <w:vAlign w:val="center"/>
            <w:hideMark/>
          </w:tcPr>
          <w:p w:rsidR="00C34658" w:rsidRPr="00C60AD1" w:rsidRDefault="00C34658" w:rsidP="00D55642">
            <w:pPr>
              <w:pStyle w:val="NoSpacing"/>
              <w:rPr>
                <w:b/>
              </w:rPr>
            </w:pPr>
            <w:r w:rsidRPr="00C60AD1">
              <w:rPr>
                <w:b/>
              </w:rPr>
              <w:t>Net Interest &amp; Finance Charges</w:t>
            </w:r>
          </w:p>
        </w:tc>
        <w:tc>
          <w:tcPr>
            <w:tcW w:w="1165" w:type="pct"/>
            <w:shd w:val="clear" w:color="auto" w:fill="auto"/>
            <w:noWrap/>
            <w:vAlign w:val="center"/>
            <w:hideMark/>
          </w:tcPr>
          <w:p w:rsidR="00C34658" w:rsidRPr="00C60AD1" w:rsidRDefault="00C34658" w:rsidP="00D55642">
            <w:pPr>
              <w:spacing w:before="0"/>
              <w:jc w:val="right"/>
              <w:rPr>
                <w:rFonts w:asciiTheme="minorHAnsi" w:hAnsiTheme="minorHAnsi" w:cstheme="minorHAnsi"/>
                <w:sz w:val="22"/>
                <w:szCs w:val="22"/>
              </w:rPr>
            </w:pPr>
            <w:r>
              <w:rPr>
                <w:color w:val="000000"/>
                <w:sz w:val="22"/>
                <w:szCs w:val="22"/>
              </w:rPr>
              <w:t>576.96</w:t>
            </w:r>
          </w:p>
        </w:tc>
        <w:tc>
          <w:tcPr>
            <w:tcW w:w="989" w:type="pct"/>
            <w:shd w:val="clear" w:color="auto" w:fill="auto"/>
            <w:noWrap/>
            <w:vAlign w:val="center"/>
            <w:hideMark/>
          </w:tcPr>
          <w:p w:rsidR="002136A7" w:rsidRDefault="00C34658">
            <w:pPr>
              <w:spacing w:before="0"/>
              <w:jc w:val="right"/>
              <w:rPr>
                <w:rFonts w:asciiTheme="minorHAnsi" w:hAnsiTheme="minorHAnsi" w:cstheme="minorHAnsi"/>
                <w:sz w:val="22"/>
                <w:szCs w:val="22"/>
              </w:rPr>
            </w:pPr>
            <w:r>
              <w:rPr>
                <w:color w:val="000000"/>
                <w:sz w:val="22"/>
                <w:szCs w:val="22"/>
              </w:rPr>
              <w:t>46</w:t>
            </w:r>
            <w:r w:rsidR="001C1C35">
              <w:rPr>
                <w:color w:val="000000"/>
                <w:sz w:val="22"/>
                <w:szCs w:val="22"/>
              </w:rPr>
              <w:t>0.89</w:t>
            </w:r>
          </w:p>
        </w:tc>
      </w:tr>
    </w:tbl>
    <w:p w:rsidR="006C63AF" w:rsidRDefault="006C63AF" w:rsidP="006C63AF">
      <w:pPr>
        <w:pStyle w:val="Heading2"/>
        <w:numPr>
          <w:ilvl w:val="0"/>
          <w:numId w:val="0"/>
        </w:numPr>
        <w:spacing w:after="240"/>
        <w:ind w:left="780"/>
      </w:pPr>
      <w:bookmarkStart w:id="949" w:name="_Toc356322607"/>
      <w:bookmarkStart w:id="950" w:name="_Toc357718672"/>
      <w:bookmarkStart w:id="951" w:name="_Toc396573844"/>
      <w:bookmarkStart w:id="952" w:name="_Toc419992299"/>
      <w:bookmarkStart w:id="953" w:name="_Toc453367621"/>
    </w:p>
    <w:p w:rsidR="00C34658" w:rsidRPr="00C60AD1" w:rsidRDefault="00C34658" w:rsidP="00C34658">
      <w:pPr>
        <w:pStyle w:val="Heading2"/>
        <w:numPr>
          <w:ilvl w:val="1"/>
          <w:numId w:val="16"/>
        </w:numPr>
      </w:pPr>
      <w:bookmarkStart w:id="954" w:name="_Toc457603958"/>
      <w:r w:rsidRPr="00C60AD1">
        <w:t>PROVISION FOR BAD AND DOUBTFUL DEBTS</w:t>
      </w:r>
      <w:bookmarkEnd w:id="949"/>
      <w:bookmarkEnd w:id="950"/>
      <w:bookmarkEnd w:id="951"/>
      <w:bookmarkEnd w:id="952"/>
      <w:bookmarkEnd w:id="953"/>
      <w:bookmarkEnd w:id="954"/>
    </w:p>
    <w:p w:rsidR="00D5771F" w:rsidRDefault="00C34658">
      <w:pPr>
        <w:pStyle w:val="Heading3"/>
        <w:tabs>
          <w:tab w:val="clear" w:pos="720"/>
        </w:tabs>
        <w:spacing w:after="240"/>
        <w:ind w:left="993" w:hanging="993"/>
      </w:pPr>
      <w:bookmarkStart w:id="955" w:name="_Toc357349092"/>
      <w:bookmarkStart w:id="956" w:name="_Toc357356145"/>
      <w:r w:rsidRPr="00C60AD1">
        <w:t>The Petitioner submitted that the provisions for bad and doubtful debts have been made at 2% of revenue receivables in line with Regulation 4.4 of Distribution Tariff Regulations, 2006. The Petitioner submitted that in the last Tariff Order, the Commission had disallowed the Petitioner’s claim for provision for bad and doubtful debts due to the absence of any clear-cut policy. The Petitioner added that provision for bad and doubtful debts are an accepted accounting principle even in a sector like banking where the provisioning of un-collectable dues is considered as a normal commercial practice.</w:t>
      </w:r>
    </w:p>
    <w:p w:rsidR="00D5771F" w:rsidRDefault="00C34658">
      <w:pPr>
        <w:pStyle w:val="Heading3"/>
        <w:tabs>
          <w:tab w:val="clear" w:pos="720"/>
        </w:tabs>
        <w:spacing w:after="240"/>
        <w:ind w:left="993" w:hanging="993"/>
      </w:pPr>
      <w:r w:rsidRPr="00C60AD1">
        <w:t xml:space="preserve">The Petitioner has requested the Commission to allow the annual provisioning towards bad and doubtful debts as it is an accepted industry norm and also recognized by other State Electricity Regulatory Commissions. </w:t>
      </w:r>
    </w:p>
    <w:p w:rsidR="00D5771F" w:rsidRDefault="00C34658">
      <w:pPr>
        <w:pStyle w:val="Heading3"/>
        <w:tabs>
          <w:tab w:val="clear" w:pos="720"/>
        </w:tabs>
        <w:spacing w:after="240"/>
        <w:ind w:left="993" w:hanging="993"/>
      </w:pPr>
      <w:r w:rsidRPr="00C60AD1">
        <w:t xml:space="preserve">The Petitioner submitted that the amount, if any, written off towards bad debts is only adjusted against the accumulated provisions in the books, irrespective of the actual amount of bad debts during any particular year and hence, it is a legitimate ARR component. Accordingly, the Petitioner has made provisions for bad debts for FY </w:t>
      </w:r>
      <w:r>
        <w:t>2016-17</w:t>
      </w:r>
      <w:r w:rsidRPr="00C60AD1">
        <w:t xml:space="preserve"> in line with the provisions of the Distribution Tariff Regulations, 2006.</w:t>
      </w:r>
    </w:p>
    <w:p w:rsidR="00D5771F" w:rsidRDefault="00C34658">
      <w:pPr>
        <w:pStyle w:val="Heading3"/>
        <w:tabs>
          <w:tab w:val="clear" w:pos="720"/>
        </w:tabs>
        <w:spacing w:after="240"/>
        <w:ind w:left="993" w:hanging="993"/>
      </w:pPr>
      <w:r w:rsidRPr="00C60AD1">
        <w:t>Regulation 4.4 of the Distribution Tariff Regulations, 2006 provides for expenses under bad and doubtful Debts to the extent of 2% of the revenue receivables as specified below:</w:t>
      </w:r>
    </w:p>
    <w:p w:rsidR="00C34658" w:rsidRPr="00C60AD1" w:rsidRDefault="00C34658" w:rsidP="00C34658">
      <w:pPr>
        <w:pStyle w:val="ListParagraph"/>
        <w:ind w:left="1440"/>
        <w:rPr>
          <w:i/>
        </w:rPr>
      </w:pPr>
      <w:r w:rsidRPr="00C60AD1">
        <w:t xml:space="preserve">“4.4 Bad and Doubtful Debts: </w:t>
      </w:r>
      <w:r w:rsidRPr="00C60AD1">
        <w:rPr>
          <w:i/>
        </w:rPr>
        <w:t xml:space="preserve">Bad and Doubtful Debts shall be allowed as a legitimate business expense with the ceiling limit of 2% of the revenue receivables </w:t>
      </w:r>
      <w:r w:rsidRPr="00C60AD1">
        <w:rPr>
          <w:b/>
          <w:i/>
          <w:u w:val="single"/>
        </w:rPr>
        <w:t>provided the distribution licensee actually identifies and writes off bad debts as per the transparent policy approved by the Commission</w:t>
      </w:r>
      <w:r w:rsidRPr="00C60AD1">
        <w:rPr>
          <w:i/>
        </w:rPr>
        <w:t>. In case there is any recovery of bad debts already written off, the recovered bad debt will be treated as other income.”</w:t>
      </w:r>
      <w:r w:rsidRPr="00C60AD1">
        <w:rPr>
          <w:b/>
          <w:i/>
        </w:rPr>
        <w:t>(Emphasis added)</w:t>
      </w:r>
    </w:p>
    <w:p w:rsidR="00D5771F" w:rsidRDefault="00C34658">
      <w:pPr>
        <w:pStyle w:val="Heading3"/>
        <w:tabs>
          <w:tab w:val="clear" w:pos="720"/>
        </w:tabs>
        <w:spacing w:after="240"/>
        <w:ind w:left="993" w:hanging="993"/>
      </w:pPr>
      <w:r w:rsidRPr="00C60AD1">
        <w:lastRenderedPageBreak/>
        <w:t>However, the Petitioner has to actually identify and write-off the bad debts as per a transparent policy approved by the Commission.</w:t>
      </w:r>
      <w:bookmarkEnd w:id="955"/>
      <w:bookmarkEnd w:id="956"/>
    </w:p>
    <w:p w:rsidR="00D5771F" w:rsidRDefault="00C34658">
      <w:pPr>
        <w:pStyle w:val="Heading3"/>
        <w:tabs>
          <w:tab w:val="clear" w:pos="720"/>
        </w:tabs>
        <w:spacing w:after="240"/>
        <w:ind w:left="993" w:hanging="993"/>
      </w:pPr>
      <w:bookmarkStart w:id="957" w:name="_Toc357349093"/>
      <w:bookmarkStart w:id="958" w:name="_Toc357356146"/>
      <w:r w:rsidRPr="00C60AD1">
        <w:t>The Commission in its Tariff Order for FY 2014-15 dated October 1, 2014 has disallowed the provision for bad and doubtful debts on account of lack of proper and transparent policy for actual identification and write-off the bad debts. The relevant extract of the Commission’s aforesaid Order is reproduced below:</w:t>
      </w:r>
    </w:p>
    <w:p w:rsidR="00C34658" w:rsidRPr="00C60AD1" w:rsidRDefault="00C34658" w:rsidP="00C34658">
      <w:pPr>
        <w:pStyle w:val="Heading3"/>
        <w:numPr>
          <w:ilvl w:val="0"/>
          <w:numId w:val="0"/>
        </w:numPr>
        <w:tabs>
          <w:tab w:val="clear" w:pos="720"/>
        </w:tabs>
        <w:spacing w:after="240"/>
        <w:ind w:left="1440"/>
        <w:rPr>
          <w:b/>
          <w:i/>
        </w:rPr>
      </w:pPr>
      <w:r w:rsidRPr="00C60AD1">
        <w:rPr>
          <w:i/>
        </w:rPr>
        <w:t>“...The very fact that the Petitioner has not been able to identify and write off any amount towards bad and doubtful debts till now clearly indicates lack of proper policy framework for identification, recognition, and management of provision for bad and doubtful debts. Therefore, in accordance with the Regulations, the Commission disallows the Petitioner’s claim towards provision for bad an</w:t>
      </w:r>
      <w:r w:rsidRPr="00C60AD1">
        <w:rPr>
          <w:bCs w:val="0"/>
          <w:i/>
        </w:rPr>
        <w:t xml:space="preserve">d doubtful debts for FY 2014-15 </w:t>
      </w:r>
      <w:bookmarkStart w:id="959" w:name="_Toc357349094"/>
      <w:bookmarkStart w:id="960" w:name="_Toc357356147"/>
      <w:bookmarkEnd w:id="957"/>
      <w:bookmarkEnd w:id="958"/>
      <w:r w:rsidRPr="00C60AD1">
        <w:rPr>
          <w:i/>
        </w:rPr>
        <w:t>.</w:t>
      </w:r>
      <w:bookmarkEnd w:id="959"/>
      <w:bookmarkEnd w:id="960"/>
      <w:r w:rsidRPr="00C60AD1">
        <w:rPr>
          <w:i/>
        </w:rPr>
        <w:t>..”</w:t>
      </w:r>
    </w:p>
    <w:p w:rsidR="00D5771F" w:rsidRDefault="00C34658">
      <w:pPr>
        <w:pStyle w:val="Heading3"/>
        <w:tabs>
          <w:tab w:val="clear" w:pos="720"/>
        </w:tabs>
        <w:spacing w:after="240"/>
        <w:ind w:left="993" w:hanging="993"/>
      </w:pPr>
      <w:r w:rsidRPr="00C60AD1">
        <w:t>The Petitioner has repeatedly pointed out that provisioning towards bad and doubtful debts is an accepted industry norm. However, the Petitioner should also recognize that as per prudent practices, every business should also ensure that the amount of debtors do not increase to an alarming level. Further, every prudent management would ensure to recover the dues and prevent them from becoming bad. It has been observed that despite the Commission’s directions in the regard in the previous Tariff Orders, there has been no improvement on the part of the Petitioner.</w:t>
      </w:r>
    </w:p>
    <w:p w:rsidR="00D5771F" w:rsidRDefault="00C34658">
      <w:pPr>
        <w:pStyle w:val="Heading3"/>
        <w:tabs>
          <w:tab w:val="clear" w:pos="720"/>
        </w:tabs>
        <w:spacing w:after="240"/>
        <w:ind w:left="993" w:hanging="993"/>
        <w:rPr>
          <w:szCs w:val="24"/>
        </w:rPr>
      </w:pPr>
      <w:r w:rsidRPr="008B0C65">
        <w:rPr>
          <w:szCs w:val="24"/>
        </w:rPr>
        <w:t xml:space="preserve">In reply to the status of compliance to the Commission’s directive regarding submission of a policy to be followed by Licensee for identification and writing off actual bad debts and </w:t>
      </w:r>
      <w:r w:rsidRPr="008B0C65">
        <w:rPr>
          <w:rFonts w:cstheme="minorHAnsi"/>
          <w:szCs w:val="24"/>
        </w:rPr>
        <w:t xml:space="preserve">submission of  ten sample cases of LT &amp; HT consumers where orders have been issued for writing off bad debts, </w:t>
      </w:r>
      <w:r w:rsidRPr="008B0C65">
        <w:rPr>
          <w:szCs w:val="24"/>
        </w:rPr>
        <w:t xml:space="preserve">the Petitioner submitted that it has recently framed a policy for identifying and writing off old arrears, which has been provided to the Commission during the proceedings in respect of ARR and Tariff Petition for FY 2014-15 and appropriate directions have been issued to the field units to compile the sample cases based on this recently issued order by the licensee. </w:t>
      </w:r>
    </w:p>
    <w:p w:rsidR="00D5771F" w:rsidRDefault="00C34658">
      <w:pPr>
        <w:pStyle w:val="Heading3"/>
        <w:tabs>
          <w:tab w:val="clear" w:pos="720"/>
        </w:tabs>
        <w:spacing w:after="240"/>
        <w:ind w:left="993" w:hanging="993"/>
        <w:rPr>
          <w:szCs w:val="24"/>
        </w:rPr>
      </w:pPr>
      <w:r w:rsidRPr="008B0C65">
        <w:t>Further, in reply to the query the Petitioner requested the Commission to approve the policy it has framed for identifying and writing off old arrears which it has submitted during the proceedings of ARR and Tariff for FY 2014-</w:t>
      </w:r>
      <w:r w:rsidRPr="008B0C65">
        <w:lastRenderedPageBreak/>
        <w:t xml:space="preserve">15 and also during the current proceedings. </w:t>
      </w:r>
      <w:r w:rsidRPr="008B0C65">
        <w:rPr>
          <w:szCs w:val="24"/>
        </w:rPr>
        <w:t xml:space="preserve">It has also failed to submit </w:t>
      </w:r>
      <w:r w:rsidRPr="008B0C65">
        <w:rPr>
          <w:rFonts w:asciiTheme="minorHAnsi" w:hAnsiTheme="minorHAnsi" w:cstheme="minorHAnsi"/>
          <w:szCs w:val="24"/>
        </w:rPr>
        <w:t xml:space="preserve">any such sample data on the consumer indicating the policy framework for managing bad debts for the Commission’s perusal. </w:t>
      </w:r>
      <w:r w:rsidR="00E34329" w:rsidRPr="00E34329">
        <w:rPr>
          <w:b/>
          <w:szCs w:val="24"/>
        </w:rPr>
        <w:t>As discussed in earlier paragraphs it is observed that the so called policy submitted by the Petitioner is just the basic approach for creation of provision of bad debts instead of the detailed policy to be followed by it for identification of actual bad debts and writing off the same</w:t>
      </w:r>
      <w:r w:rsidRPr="008B0C65">
        <w:rPr>
          <w:szCs w:val="24"/>
        </w:rPr>
        <w:t>.</w:t>
      </w:r>
    </w:p>
    <w:p w:rsidR="00D5771F" w:rsidRDefault="00C34658">
      <w:pPr>
        <w:pStyle w:val="Heading3"/>
        <w:tabs>
          <w:tab w:val="clear" w:pos="720"/>
        </w:tabs>
        <w:spacing w:after="240"/>
        <w:ind w:left="993" w:hanging="993"/>
      </w:pPr>
      <w:r w:rsidRPr="008B0C65">
        <w:t>The very fact that the Petitioner has not been able to identify and write off any amount towards bad and doubtful debts till now clearly indicates lack of proper policy framework for identification, recognition, and management of provision for bad and doubtful debts. Therefore, in accordance with the Regulations, the Commission has not allowed the Petitioner’s claim towards provision for bad and doubtful debts for FY 2016-17.</w:t>
      </w:r>
    </w:p>
    <w:p w:rsidR="00D5771F" w:rsidRPr="00D14AAD" w:rsidRDefault="00C34658">
      <w:pPr>
        <w:pStyle w:val="Heading3"/>
        <w:tabs>
          <w:tab w:val="clear" w:pos="720"/>
        </w:tabs>
        <w:spacing w:after="240"/>
        <w:ind w:left="993" w:hanging="993"/>
        <w:rPr>
          <w:b/>
        </w:rPr>
      </w:pPr>
      <w:r w:rsidRPr="008B0C65">
        <w:rPr>
          <w:b/>
        </w:rPr>
        <w:t xml:space="preserve">In view of the above, the Commission directs the Petitioner to frame guidelines and procedures for identifying, physically verifying and writing off the bad debts and also to fix responsibility of its employees in this regard </w:t>
      </w:r>
      <w:r w:rsidR="00EA74AF">
        <w:rPr>
          <w:b/>
        </w:rPr>
        <w:t>immediately</w:t>
      </w:r>
      <w:r w:rsidRPr="008B0C65">
        <w:rPr>
          <w:b/>
        </w:rPr>
        <w:t xml:space="preserve"> and submit the same to the Commission for its approval.</w:t>
      </w:r>
      <w:r w:rsidRPr="00C60AD1">
        <w:rPr>
          <w:rFonts w:cstheme="minorHAnsi"/>
          <w:color w:val="000000" w:themeColor="text1"/>
        </w:rPr>
        <w:t xml:space="preserve">As lack of approved transparent policy on identifying and writing off bad debts is hindering allowance of bad debts as an ARR component; </w:t>
      </w:r>
      <w:r w:rsidRPr="00FA7B1E">
        <w:rPr>
          <w:rFonts w:cstheme="minorHAnsi"/>
          <w:b/>
          <w:color w:val="000000" w:themeColor="text1"/>
        </w:rPr>
        <w:t>the Commission directs the Licensee to submit ten sample cases of LT &amp; HT consumers where orders have been issued for writing off bad debts, clearly depicting the procedure adopted for writing off bad debts along with policy framework for managing bad debts for the Commission’s perusal</w:t>
      </w:r>
      <w:r>
        <w:rPr>
          <w:rFonts w:cstheme="minorHAnsi"/>
          <w:b/>
          <w:color w:val="000000" w:themeColor="text1"/>
        </w:rPr>
        <w:t>.</w:t>
      </w:r>
    </w:p>
    <w:p w:rsidR="006C63AF" w:rsidRDefault="006C63AF" w:rsidP="006C63AF">
      <w:pPr>
        <w:pStyle w:val="Heading3"/>
        <w:numPr>
          <w:ilvl w:val="0"/>
          <w:numId w:val="0"/>
        </w:numPr>
        <w:tabs>
          <w:tab w:val="clear" w:pos="720"/>
        </w:tabs>
        <w:spacing w:before="0"/>
        <w:ind w:left="993"/>
        <w:rPr>
          <w:b/>
        </w:rPr>
      </w:pPr>
    </w:p>
    <w:p w:rsidR="006C63AF" w:rsidRDefault="00C34658" w:rsidP="006C63AF">
      <w:pPr>
        <w:pStyle w:val="Heading2"/>
        <w:numPr>
          <w:ilvl w:val="1"/>
          <w:numId w:val="16"/>
        </w:numPr>
        <w:spacing w:before="0"/>
      </w:pPr>
      <w:bookmarkStart w:id="961" w:name="_Toc356322608"/>
      <w:bookmarkStart w:id="962" w:name="_Toc357718673"/>
      <w:bookmarkStart w:id="963" w:name="_Toc396573845"/>
      <w:bookmarkStart w:id="964" w:name="_Toc419992300"/>
      <w:bookmarkStart w:id="965" w:name="_Toc453367622"/>
      <w:bookmarkStart w:id="966" w:name="_Toc457603959"/>
      <w:r w:rsidRPr="00C60AD1">
        <w:t>OTHER INCOME</w:t>
      </w:r>
      <w:bookmarkEnd w:id="961"/>
      <w:bookmarkEnd w:id="962"/>
      <w:bookmarkEnd w:id="963"/>
      <w:bookmarkEnd w:id="964"/>
      <w:bookmarkEnd w:id="965"/>
      <w:bookmarkEnd w:id="966"/>
    </w:p>
    <w:p w:rsidR="00D5771F" w:rsidRDefault="00C34658">
      <w:pPr>
        <w:pStyle w:val="Heading3"/>
        <w:tabs>
          <w:tab w:val="clear" w:pos="720"/>
        </w:tabs>
        <w:spacing w:after="240"/>
        <w:ind w:left="993" w:hanging="993"/>
      </w:pPr>
      <w:r w:rsidRPr="00C60AD1">
        <w:t xml:space="preserve">The Petitioner submitted that other income includes non tariff income such as interest on loans &amp; advances to employees, income from fixed rate investment deposits and other miscellaneous income from retail sources. The Petitioner submitted that the other income for FY </w:t>
      </w:r>
      <w:r>
        <w:t>2016-17</w:t>
      </w:r>
      <w:r w:rsidRPr="00C60AD1">
        <w:t xml:space="preserve"> has been projected to grow at the rate of inflation index from the actual of FY 201</w:t>
      </w:r>
      <w:r>
        <w:t>4</w:t>
      </w:r>
      <w:r w:rsidRPr="00C60AD1">
        <w:t>-1</w:t>
      </w:r>
      <w:r>
        <w:t>5</w:t>
      </w:r>
      <w:r w:rsidRPr="00C60AD1">
        <w:t>.</w:t>
      </w:r>
    </w:p>
    <w:p w:rsidR="00D5771F" w:rsidRDefault="00C34658">
      <w:pPr>
        <w:pStyle w:val="Heading3"/>
        <w:tabs>
          <w:tab w:val="clear" w:pos="720"/>
        </w:tabs>
        <w:spacing w:after="240"/>
        <w:ind w:left="993" w:hanging="993"/>
      </w:pPr>
      <w:r w:rsidRPr="00C60AD1">
        <w:t>As per Regulation 5.1 (2) of the Distribution Tariff Regulations, 2006, the indicative heads to be considered in Non-Tariff are as follows:</w:t>
      </w:r>
    </w:p>
    <w:p w:rsidR="00C34658" w:rsidRPr="00C60AD1" w:rsidRDefault="00C34658" w:rsidP="00C34658">
      <w:pPr>
        <w:pStyle w:val="Heading3"/>
        <w:numPr>
          <w:ilvl w:val="0"/>
          <w:numId w:val="0"/>
        </w:numPr>
        <w:tabs>
          <w:tab w:val="clear" w:pos="720"/>
          <w:tab w:val="left" w:pos="1440"/>
        </w:tabs>
        <w:ind w:left="1710"/>
        <w:rPr>
          <w:i/>
        </w:rPr>
      </w:pPr>
      <w:r w:rsidRPr="00C60AD1">
        <w:rPr>
          <w:i/>
        </w:rPr>
        <w:t>“5.1 Forecast of Revenues:</w:t>
      </w:r>
    </w:p>
    <w:p w:rsidR="00C34658" w:rsidRPr="00C60AD1" w:rsidRDefault="00C34658" w:rsidP="00C34658">
      <w:pPr>
        <w:pStyle w:val="Heading3"/>
        <w:numPr>
          <w:ilvl w:val="0"/>
          <w:numId w:val="0"/>
        </w:numPr>
        <w:tabs>
          <w:tab w:val="clear" w:pos="720"/>
          <w:tab w:val="left" w:pos="1440"/>
        </w:tabs>
        <w:ind w:left="1710"/>
        <w:rPr>
          <w:i/>
        </w:rPr>
      </w:pPr>
      <w:r w:rsidRPr="00C60AD1">
        <w:rPr>
          <w:i/>
        </w:rPr>
        <w:lastRenderedPageBreak/>
        <w:t>...2. The non-tariff income shall comprise of:</w:t>
      </w:r>
    </w:p>
    <w:p w:rsidR="00C34658" w:rsidRPr="00C60AD1" w:rsidRDefault="00C34658" w:rsidP="00C34658">
      <w:pPr>
        <w:pStyle w:val="Heading3"/>
        <w:numPr>
          <w:ilvl w:val="0"/>
          <w:numId w:val="0"/>
        </w:numPr>
        <w:tabs>
          <w:tab w:val="clear" w:pos="720"/>
          <w:tab w:val="left" w:pos="1440"/>
        </w:tabs>
        <w:ind w:left="1710"/>
        <w:rPr>
          <w:i/>
        </w:rPr>
      </w:pPr>
      <w:r w:rsidRPr="00C60AD1">
        <w:rPr>
          <w:i/>
        </w:rPr>
        <w:t>(a) Delayed Payment Surcharge,</w:t>
      </w:r>
    </w:p>
    <w:p w:rsidR="00C34658" w:rsidRPr="00C60AD1" w:rsidRDefault="00C34658" w:rsidP="00C34658">
      <w:pPr>
        <w:pStyle w:val="Heading3"/>
        <w:numPr>
          <w:ilvl w:val="0"/>
          <w:numId w:val="0"/>
        </w:numPr>
        <w:tabs>
          <w:tab w:val="clear" w:pos="720"/>
          <w:tab w:val="left" w:pos="1440"/>
        </w:tabs>
        <w:ind w:left="1710"/>
        <w:rPr>
          <w:i/>
        </w:rPr>
      </w:pPr>
      <w:r w:rsidRPr="00C60AD1">
        <w:rPr>
          <w:i/>
        </w:rPr>
        <w:t>(b) Meter Rent,</w:t>
      </w:r>
    </w:p>
    <w:p w:rsidR="00C34658" w:rsidRPr="00C60AD1" w:rsidRDefault="00C34658" w:rsidP="00C34658">
      <w:pPr>
        <w:pStyle w:val="Heading3"/>
        <w:numPr>
          <w:ilvl w:val="0"/>
          <w:numId w:val="0"/>
        </w:numPr>
        <w:tabs>
          <w:tab w:val="clear" w:pos="720"/>
          <w:tab w:val="left" w:pos="1440"/>
        </w:tabs>
        <w:ind w:left="1710"/>
        <w:rPr>
          <w:i/>
        </w:rPr>
      </w:pPr>
      <w:r w:rsidRPr="00C60AD1">
        <w:rPr>
          <w:i/>
        </w:rPr>
        <w:t>(c) Income from investments,</w:t>
      </w:r>
    </w:p>
    <w:p w:rsidR="00C34658" w:rsidRPr="00C60AD1" w:rsidRDefault="00C34658" w:rsidP="00C34658">
      <w:pPr>
        <w:pStyle w:val="Heading3"/>
        <w:numPr>
          <w:ilvl w:val="0"/>
          <w:numId w:val="0"/>
        </w:numPr>
        <w:tabs>
          <w:tab w:val="clear" w:pos="720"/>
          <w:tab w:val="left" w:pos="1440"/>
        </w:tabs>
        <w:ind w:left="1710"/>
        <w:rPr>
          <w:i/>
        </w:rPr>
      </w:pPr>
      <w:r w:rsidRPr="00C60AD1">
        <w:rPr>
          <w:i/>
        </w:rPr>
        <w:t>(d) Miscellaneous receipts from consumers,</w:t>
      </w:r>
    </w:p>
    <w:p w:rsidR="00C34658" w:rsidRPr="00C60AD1" w:rsidRDefault="00C34658" w:rsidP="00C34658">
      <w:pPr>
        <w:pStyle w:val="Heading3"/>
        <w:numPr>
          <w:ilvl w:val="0"/>
          <w:numId w:val="0"/>
        </w:numPr>
        <w:tabs>
          <w:tab w:val="clear" w:pos="720"/>
          <w:tab w:val="left" w:pos="1440"/>
        </w:tabs>
        <w:ind w:left="1710"/>
        <w:rPr>
          <w:i/>
        </w:rPr>
      </w:pPr>
      <w:r w:rsidRPr="00C60AD1">
        <w:rPr>
          <w:i/>
        </w:rPr>
        <w:t>(e) Trading income</w:t>
      </w:r>
    </w:p>
    <w:p w:rsidR="00C34658" w:rsidRPr="00C60AD1" w:rsidRDefault="00C34658" w:rsidP="00C34658">
      <w:pPr>
        <w:pStyle w:val="Heading3"/>
        <w:numPr>
          <w:ilvl w:val="0"/>
          <w:numId w:val="0"/>
        </w:numPr>
        <w:tabs>
          <w:tab w:val="clear" w:pos="720"/>
          <w:tab w:val="left" w:pos="1440"/>
        </w:tabs>
        <w:ind w:left="1710"/>
        <w:rPr>
          <w:i/>
        </w:rPr>
      </w:pPr>
      <w:r w:rsidRPr="00C60AD1">
        <w:rPr>
          <w:i/>
        </w:rPr>
        <w:t>(f) Share of income from the other businesses of the distribution licensee</w:t>
      </w:r>
    </w:p>
    <w:p w:rsidR="00C34658" w:rsidRPr="00C60AD1" w:rsidRDefault="00C34658" w:rsidP="00C34658">
      <w:pPr>
        <w:pStyle w:val="Heading3"/>
        <w:numPr>
          <w:ilvl w:val="0"/>
          <w:numId w:val="0"/>
        </w:numPr>
        <w:tabs>
          <w:tab w:val="clear" w:pos="720"/>
          <w:tab w:val="left" w:pos="1440"/>
        </w:tabs>
        <w:ind w:left="1710"/>
      </w:pPr>
      <w:r w:rsidRPr="00C60AD1">
        <w:rPr>
          <w:i/>
        </w:rPr>
        <w:t>(g) Any other income....”</w:t>
      </w:r>
    </w:p>
    <w:p w:rsidR="00D5771F" w:rsidRDefault="00C34658">
      <w:pPr>
        <w:pStyle w:val="Heading3"/>
        <w:tabs>
          <w:tab w:val="clear" w:pos="720"/>
        </w:tabs>
        <w:spacing w:after="240"/>
        <w:ind w:left="993" w:hanging="993"/>
        <w:rPr>
          <w:b/>
        </w:rPr>
      </w:pPr>
      <w:bookmarkStart w:id="967" w:name="_Toc357349096"/>
      <w:bookmarkStart w:id="968" w:name="_Toc357356149"/>
      <w:r w:rsidRPr="00C60AD1">
        <w:t xml:space="preserve">Accordingly, the Commission approves Non-Tariff Income to the tune of Rs. </w:t>
      </w:r>
      <w:r>
        <w:t>40.00</w:t>
      </w:r>
      <w:r w:rsidRPr="00C60AD1">
        <w:t xml:space="preserve"> Crore as claimed by the Petitioner for FY </w:t>
      </w:r>
      <w:r>
        <w:t>2016-17</w:t>
      </w:r>
      <w:r w:rsidRPr="00C60AD1">
        <w:t xml:space="preserve"> and as shown in the Table below:</w:t>
      </w:r>
      <w:bookmarkEnd w:id="967"/>
      <w:bookmarkEnd w:id="968"/>
    </w:p>
    <w:p w:rsidR="00C34658" w:rsidRPr="00C60AD1" w:rsidRDefault="00C34658" w:rsidP="00C34658">
      <w:pPr>
        <w:jc w:val="center"/>
        <w:rPr>
          <w:rFonts w:cstheme="minorHAnsi"/>
          <w:b/>
        </w:rPr>
      </w:pPr>
      <w:bookmarkStart w:id="969" w:name="_Toc338310718"/>
      <w:bookmarkStart w:id="970" w:name="_Toc338419548"/>
      <w:bookmarkStart w:id="971" w:name="_Toc357718756"/>
      <w:bookmarkStart w:id="972" w:name="_Toc395657980"/>
      <w:bookmarkStart w:id="973" w:name="_Toc396574031"/>
      <w:bookmarkStart w:id="974" w:name="_Toc419992327"/>
      <w:bookmarkStart w:id="975" w:name="_Toc453367709"/>
      <w:bookmarkStart w:id="976" w:name="_Toc457604080"/>
      <w:r w:rsidRPr="00C60AD1">
        <w:rPr>
          <w:rFonts w:cstheme="minorHAnsi"/>
          <w:b/>
        </w:rPr>
        <w:t xml:space="preserve">Table </w:t>
      </w:r>
      <w:r w:rsidR="009741CA" w:rsidRPr="00C60AD1">
        <w:rPr>
          <w:rFonts w:cstheme="minorHAnsi"/>
          <w:b/>
        </w:rPr>
        <w:fldChar w:fldCharType="begin"/>
      </w:r>
      <w:r w:rsidRPr="00C60AD1">
        <w:rPr>
          <w:rFonts w:cstheme="minorHAnsi"/>
          <w:b/>
        </w:rPr>
        <w:instrText xml:space="preserve"> STYLEREF 1 \s </w:instrText>
      </w:r>
      <w:r w:rsidR="009741CA" w:rsidRPr="00C60AD1">
        <w:rPr>
          <w:rFonts w:cstheme="minorHAnsi"/>
          <w:b/>
        </w:rPr>
        <w:fldChar w:fldCharType="separate"/>
      </w:r>
      <w:r w:rsidR="00BA08F0">
        <w:rPr>
          <w:rFonts w:cstheme="minorHAnsi"/>
          <w:b/>
          <w:noProof/>
        </w:rPr>
        <w:t>5</w:t>
      </w:r>
      <w:r w:rsidR="009741CA" w:rsidRPr="00C60AD1">
        <w:rPr>
          <w:rFonts w:cstheme="minorHAnsi"/>
          <w:b/>
        </w:rPr>
        <w:fldChar w:fldCharType="end"/>
      </w:r>
      <w:r w:rsidRPr="00C60AD1">
        <w:rPr>
          <w:rFonts w:cstheme="minorHAnsi"/>
          <w:b/>
        </w:rPr>
        <w:noBreakHyphen/>
      </w:r>
      <w:r w:rsidR="009741CA" w:rsidRPr="00C60AD1">
        <w:rPr>
          <w:rFonts w:cstheme="minorHAnsi"/>
          <w:b/>
        </w:rPr>
        <w:fldChar w:fldCharType="begin"/>
      </w:r>
      <w:r w:rsidRPr="00C60AD1">
        <w:rPr>
          <w:rFonts w:cstheme="minorHAnsi"/>
          <w:b/>
        </w:rPr>
        <w:instrText xml:space="preserve"> SEQ Table \* ARABIC \s 1 </w:instrText>
      </w:r>
      <w:r w:rsidR="009741CA" w:rsidRPr="00C60AD1">
        <w:rPr>
          <w:rFonts w:cstheme="minorHAnsi"/>
          <w:b/>
        </w:rPr>
        <w:fldChar w:fldCharType="separate"/>
      </w:r>
      <w:r w:rsidR="00BA08F0">
        <w:rPr>
          <w:rFonts w:cstheme="minorHAnsi"/>
          <w:b/>
          <w:noProof/>
        </w:rPr>
        <w:t>64</w:t>
      </w:r>
      <w:r w:rsidR="009741CA" w:rsidRPr="00C60AD1">
        <w:rPr>
          <w:rFonts w:cstheme="minorHAnsi"/>
          <w:b/>
        </w:rPr>
        <w:fldChar w:fldCharType="end"/>
      </w:r>
      <w:r w:rsidRPr="00C60AD1">
        <w:rPr>
          <w:rFonts w:cstheme="minorHAnsi"/>
          <w:b/>
        </w:rPr>
        <w:t xml:space="preserve">: OTHER INCOME FOR FY </w:t>
      </w:r>
      <w:r>
        <w:rPr>
          <w:rFonts w:cstheme="minorHAnsi"/>
          <w:b/>
        </w:rPr>
        <w:t>2016-17</w:t>
      </w:r>
      <w:r w:rsidRPr="00C60AD1">
        <w:rPr>
          <w:rFonts w:cstheme="minorHAnsi"/>
          <w:b/>
        </w:rPr>
        <w:t xml:space="preserve"> (Rs. Crore)</w:t>
      </w:r>
      <w:bookmarkEnd w:id="969"/>
      <w:bookmarkEnd w:id="970"/>
      <w:bookmarkEnd w:id="971"/>
      <w:bookmarkEnd w:id="972"/>
      <w:bookmarkEnd w:id="973"/>
      <w:bookmarkEnd w:id="974"/>
      <w:bookmarkEnd w:id="975"/>
      <w:bookmarkEnd w:id="976"/>
    </w:p>
    <w:tbl>
      <w:tblPr>
        <w:tblW w:w="6413" w:type="dxa"/>
        <w:jc w:val="center"/>
        <w:tblLook w:val="04A0"/>
      </w:tblPr>
      <w:tblGrid>
        <w:gridCol w:w="3873"/>
        <w:gridCol w:w="1226"/>
        <w:gridCol w:w="1314"/>
      </w:tblGrid>
      <w:tr w:rsidR="00C34658" w:rsidRPr="00D42D18" w:rsidTr="00AA3DF1">
        <w:trPr>
          <w:trHeight w:val="467"/>
          <w:tblHeader/>
          <w:jc w:val="center"/>
        </w:trPr>
        <w:tc>
          <w:tcPr>
            <w:tcW w:w="3873" w:type="dxa"/>
            <w:tcBorders>
              <w:top w:val="dotted" w:sz="4" w:space="0" w:color="auto"/>
              <w:left w:val="dotted" w:sz="4" w:space="0" w:color="auto"/>
              <w:bottom w:val="dotted" w:sz="4" w:space="0" w:color="auto"/>
              <w:right w:val="dotted" w:sz="4" w:space="0" w:color="auto"/>
            </w:tcBorders>
            <w:shd w:val="clear" w:color="000000" w:fill="DBE5F1"/>
            <w:noWrap/>
            <w:hideMark/>
          </w:tcPr>
          <w:p w:rsidR="00603835" w:rsidRDefault="00C34658">
            <w:pPr>
              <w:spacing w:before="0"/>
              <w:jc w:val="center"/>
              <w:rPr>
                <w:b/>
                <w:sz w:val="22"/>
                <w:szCs w:val="22"/>
              </w:rPr>
            </w:pPr>
            <w:r w:rsidRPr="008B0C65">
              <w:rPr>
                <w:b/>
                <w:sz w:val="22"/>
                <w:szCs w:val="22"/>
              </w:rPr>
              <w:t>Particulars</w:t>
            </w:r>
          </w:p>
        </w:tc>
        <w:tc>
          <w:tcPr>
            <w:tcW w:w="1226" w:type="dxa"/>
            <w:tcBorders>
              <w:top w:val="dotted" w:sz="4" w:space="0" w:color="auto"/>
              <w:left w:val="nil"/>
              <w:bottom w:val="dotted" w:sz="4" w:space="0" w:color="auto"/>
              <w:right w:val="dotted" w:sz="4" w:space="0" w:color="auto"/>
            </w:tcBorders>
            <w:shd w:val="clear" w:color="000000" w:fill="DBE5F1"/>
            <w:noWrap/>
            <w:hideMark/>
          </w:tcPr>
          <w:p w:rsidR="00603835" w:rsidRDefault="00C34658">
            <w:pPr>
              <w:spacing w:before="0"/>
              <w:jc w:val="center"/>
              <w:rPr>
                <w:b/>
                <w:sz w:val="22"/>
                <w:szCs w:val="22"/>
              </w:rPr>
            </w:pPr>
            <w:r w:rsidRPr="008B0C65">
              <w:rPr>
                <w:b/>
                <w:sz w:val="22"/>
                <w:szCs w:val="22"/>
              </w:rPr>
              <w:t>ARR Petition</w:t>
            </w:r>
          </w:p>
        </w:tc>
        <w:tc>
          <w:tcPr>
            <w:tcW w:w="1314" w:type="dxa"/>
            <w:tcBorders>
              <w:top w:val="dotted" w:sz="4" w:space="0" w:color="auto"/>
              <w:left w:val="nil"/>
              <w:bottom w:val="dotted" w:sz="4" w:space="0" w:color="auto"/>
              <w:right w:val="dotted" w:sz="4" w:space="0" w:color="auto"/>
            </w:tcBorders>
            <w:shd w:val="clear" w:color="000000" w:fill="DBE5F1"/>
            <w:hideMark/>
          </w:tcPr>
          <w:p w:rsidR="00603835" w:rsidRDefault="00C34658">
            <w:pPr>
              <w:spacing w:before="0"/>
              <w:jc w:val="center"/>
              <w:rPr>
                <w:b/>
                <w:sz w:val="22"/>
                <w:szCs w:val="22"/>
              </w:rPr>
            </w:pPr>
            <w:r w:rsidRPr="008B0C65">
              <w:rPr>
                <w:b/>
                <w:sz w:val="22"/>
                <w:szCs w:val="22"/>
              </w:rPr>
              <w:t>Approved FY 2016-17</w:t>
            </w:r>
          </w:p>
        </w:tc>
      </w:tr>
      <w:tr w:rsidR="00C34658" w:rsidRPr="00D42D18" w:rsidTr="00D55642">
        <w:trPr>
          <w:trHeight w:val="300"/>
          <w:jc w:val="center"/>
        </w:trPr>
        <w:tc>
          <w:tcPr>
            <w:tcW w:w="3873" w:type="dxa"/>
            <w:tcBorders>
              <w:top w:val="nil"/>
              <w:left w:val="dotted" w:sz="4" w:space="0" w:color="auto"/>
              <w:bottom w:val="dotted" w:sz="4" w:space="0" w:color="auto"/>
              <w:right w:val="dotted" w:sz="4" w:space="0" w:color="auto"/>
            </w:tcBorders>
            <w:shd w:val="clear" w:color="000000" w:fill="FFFFFF"/>
            <w:vAlign w:val="bottom"/>
            <w:hideMark/>
          </w:tcPr>
          <w:p w:rsidR="00C34658" w:rsidRPr="00D42D18" w:rsidRDefault="00C34658" w:rsidP="00D55642">
            <w:pPr>
              <w:pStyle w:val="NoSpacing"/>
            </w:pPr>
            <w:r w:rsidRPr="00D42D18">
              <w:t>Interest on fixed deposits</w:t>
            </w:r>
          </w:p>
        </w:tc>
        <w:tc>
          <w:tcPr>
            <w:tcW w:w="1226"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sz w:val="22"/>
                <w:szCs w:val="22"/>
              </w:rPr>
            </w:pPr>
            <w:r>
              <w:rPr>
                <w:sz w:val="22"/>
                <w:szCs w:val="22"/>
              </w:rPr>
              <w:t>19.97</w:t>
            </w:r>
          </w:p>
        </w:tc>
        <w:tc>
          <w:tcPr>
            <w:tcW w:w="1314"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sz w:val="22"/>
                <w:szCs w:val="22"/>
              </w:rPr>
            </w:pPr>
            <w:r>
              <w:rPr>
                <w:sz w:val="22"/>
                <w:szCs w:val="22"/>
              </w:rPr>
              <w:t>19.97</w:t>
            </w:r>
          </w:p>
        </w:tc>
      </w:tr>
      <w:tr w:rsidR="00C34658" w:rsidRPr="00D42D18" w:rsidTr="00D55642">
        <w:trPr>
          <w:trHeight w:val="300"/>
          <w:jc w:val="center"/>
        </w:trPr>
        <w:tc>
          <w:tcPr>
            <w:tcW w:w="3873" w:type="dxa"/>
            <w:tcBorders>
              <w:top w:val="nil"/>
              <w:left w:val="dotted" w:sz="4" w:space="0" w:color="auto"/>
              <w:bottom w:val="dotted" w:sz="4" w:space="0" w:color="auto"/>
              <w:right w:val="dotted" w:sz="4" w:space="0" w:color="auto"/>
            </w:tcBorders>
            <w:shd w:val="clear" w:color="000000" w:fill="FFFFFF"/>
            <w:vAlign w:val="bottom"/>
            <w:hideMark/>
          </w:tcPr>
          <w:p w:rsidR="00C34658" w:rsidRPr="00D42D18" w:rsidRDefault="00C34658" w:rsidP="00D55642">
            <w:pPr>
              <w:pStyle w:val="NoSpacing"/>
            </w:pPr>
            <w:r>
              <w:t>Interest on loans and Advance to Staff</w:t>
            </w:r>
          </w:p>
        </w:tc>
        <w:tc>
          <w:tcPr>
            <w:tcW w:w="1226"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sz w:val="22"/>
                <w:szCs w:val="22"/>
              </w:rPr>
            </w:pPr>
            <w:r>
              <w:rPr>
                <w:sz w:val="22"/>
                <w:szCs w:val="22"/>
              </w:rPr>
              <w:t>0.09</w:t>
            </w:r>
          </w:p>
        </w:tc>
        <w:tc>
          <w:tcPr>
            <w:tcW w:w="1314"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sz w:val="22"/>
                <w:szCs w:val="22"/>
              </w:rPr>
            </w:pPr>
            <w:r>
              <w:rPr>
                <w:sz w:val="22"/>
                <w:szCs w:val="22"/>
              </w:rPr>
              <w:t>0.09</w:t>
            </w:r>
          </w:p>
        </w:tc>
      </w:tr>
      <w:tr w:rsidR="00C34658" w:rsidRPr="00D42D18" w:rsidTr="00D55642">
        <w:trPr>
          <w:trHeight w:val="300"/>
          <w:jc w:val="center"/>
        </w:trPr>
        <w:tc>
          <w:tcPr>
            <w:tcW w:w="3873" w:type="dxa"/>
            <w:tcBorders>
              <w:top w:val="nil"/>
              <w:left w:val="dotted" w:sz="4" w:space="0" w:color="auto"/>
              <w:bottom w:val="dotted" w:sz="4" w:space="0" w:color="auto"/>
              <w:right w:val="dotted" w:sz="4" w:space="0" w:color="auto"/>
            </w:tcBorders>
            <w:shd w:val="clear" w:color="000000" w:fill="FFFFFF"/>
            <w:vAlign w:val="bottom"/>
            <w:hideMark/>
          </w:tcPr>
          <w:p w:rsidR="00C34658" w:rsidRPr="00D42D18" w:rsidRDefault="00C34658" w:rsidP="00D55642">
            <w:pPr>
              <w:pStyle w:val="NoSpacing"/>
            </w:pPr>
            <w:r w:rsidRPr="00D42D18">
              <w:t>Miscellaneous receipts</w:t>
            </w:r>
          </w:p>
        </w:tc>
        <w:tc>
          <w:tcPr>
            <w:tcW w:w="1226"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sz w:val="22"/>
                <w:szCs w:val="22"/>
              </w:rPr>
            </w:pPr>
            <w:r>
              <w:rPr>
                <w:sz w:val="22"/>
                <w:szCs w:val="22"/>
              </w:rPr>
              <w:t>2.64</w:t>
            </w:r>
          </w:p>
        </w:tc>
        <w:tc>
          <w:tcPr>
            <w:tcW w:w="1314"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sz w:val="22"/>
                <w:szCs w:val="22"/>
              </w:rPr>
            </w:pPr>
            <w:r>
              <w:rPr>
                <w:sz w:val="22"/>
                <w:szCs w:val="22"/>
              </w:rPr>
              <w:t>2.64</w:t>
            </w:r>
          </w:p>
        </w:tc>
      </w:tr>
      <w:tr w:rsidR="00C34658" w:rsidRPr="00D42D18" w:rsidTr="00D55642">
        <w:trPr>
          <w:trHeight w:val="297"/>
          <w:jc w:val="center"/>
        </w:trPr>
        <w:tc>
          <w:tcPr>
            <w:tcW w:w="3873" w:type="dxa"/>
            <w:tcBorders>
              <w:top w:val="nil"/>
              <w:left w:val="dotted" w:sz="4" w:space="0" w:color="auto"/>
              <w:bottom w:val="dotted" w:sz="4" w:space="0" w:color="auto"/>
              <w:right w:val="dotted" w:sz="4" w:space="0" w:color="auto"/>
            </w:tcBorders>
            <w:shd w:val="clear" w:color="000000" w:fill="FFFFFF"/>
            <w:vAlign w:val="bottom"/>
            <w:hideMark/>
          </w:tcPr>
          <w:p w:rsidR="00C34658" w:rsidRPr="00D42D18" w:rsidRDefault="00C34658" w:rsidP="00D55642">
            <w:pPr>
              <w:pStyle w:val="NoSpacing"/>
            </w:pPr>
            <w:r w:rsidRPr="00D42D18">
              <w:t>Income from Contractors &amp; Suppliers</w:t>
            </w:r>
          </w:p>
        </w:tc>
        <w:tc>
          <w:tcPr>
            <w:tcW w:w="1226"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sz w:val="22"/>
                <w:szCs w:val="22"/>
              </w:rPr>
            </w:pPr>
            <w:r>
              <w:rPr>
                <w:sz w:val="22"/>
                <w:szCs w:val="22"/>
              </w:rPr>
              <w:t>10.10</w:t>
            </w:r>
          </w:p>
        </w:tc>
        <w:tc>
          <w:tcPr>
            <w:tcW w:w="1314"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sz w:val="22"/>
                <w:szCs w:val="22"/>
              </w:rPr>
            </w:pPr>
            <w:r>
              <w:rPr>
                <w:sz w:val="22"/>
                <w:szCs w:val="22"/>
              </w:rPr>
              <w:t>10.10</w:t>
            </w:r>
          </w:p>
        </w:tc>
      </w:tr>
      <w:tr w:rsidR="00C34658" w:rsidRPr="00D42D18" w:rsidTr="00D55642">
        <w:trPr>
          <w:trHeight w:val="300"/>
          <w:jc w:val="center"/>
        </w:trPr>
        <w:tc>
          <w:tcPr>
            <w:tcW w:w="3873" w:type="dxa"/>
            <w:tcBorders>
              <w:top w:val="nil"/>
              <w:left w:val="dotted" w:sz="4" w:space="0" w:color="auto"/>
              <w:bottom w:val="dotted" w:sz="4" w:space="0" w:color="auto"/>
              <w:right w:val="dotted" w:sz="4" w:space="0" w:color="auto"/>
            </w:tcBorders>
            <w:shd w:val="clear" w:color="000000" w:fill="FFFFFF"/>
            <w:vAlign w:val="bottom"/>
            <w:hideMark/>
          </w:tcPr>
          <w:p w:rsidR="00C34658" w:rsidRPr="00D42D18" w:rsidRDefault="00C34658" w:rsidP="00D55642">
            <w:pPr>
              <w:pStyle w:val="NoSpacing"/>
            </w:pPr>
            <w:r>
              <w:t xml:space="preserve">Interest from </w:t>
            </w:r>
            <w:r w:rsidRPr="00D42D18">
              <w:t>Banks (Other than FD)</w:t>
            </w:r>
          </w:p>
        </w:tc>
        <w:tc>
          <w:tcPr>
            <w:tcW w:w="1226"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sz w:val="22"/>
                <w:szCs w:val="22"/>
              </w:rPr>
            </w:pPr>
            <w:r>
              <w:rPr>
                <w:sz w:val="22"/>
                <w:szCs w:val="22"/>
              </w:rPr>
              <w:t>7.21</w:t>
            </w:r>
          </w:p>
        </w:tc>
        <w:tc>
          <w:tcPr>
            <w:tcW w:w="1314"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sz w:val="22"/>
                <w:szCs w:val="22"/>
              </w:rPr>
            </w:pPr>
            <w:r>
              <w:rPr>
                <w:sz w:val="22"/>
                <w:szCs w:val="22"/>
              </w:rPr>
              <w:t>7.21</w:t>
            </w:r>
          </w:p>
        </w:tc>
      </w:tr>
      <w:tr w:rsidR="00C34658" w:rsidRPr="00D42D18" w:rsidTr="00D55642">
        <w:trPr>
          <w:trHeight w:val="300"/>
          <w:jc w:val="center"/>
        </w:trPr>
        <w:tc>
          <w:tcPr>
            <w:tcW w:w="3873" w:type="dxa"/>
            <w:tcBorders>
              <w:top w:val="nil"/>
              <w:left w:val="dotted" w:sz="4" w:space="0" w:color="auto"/>
              <w:bottom w:val="dotted" w:sz="4" w:space="0" w:color="auto"/>
              <w:right w:val="dotted" w:sz="4" w:space="0" w:color="auto"/>
            </w:tcBorders>
            <w:shd w:val="clear" w:color="000000" w:fill="FFFFFF"/>
            <w:vAlign w:val="bottom"/>
            <w:hideMark/>
          </w:tcPr>
          <w:p w:rsidR="00C34658" w:rsidRPr="00D42D18" w:rsidRDefault="00C34658" w:rsidP="00D55642">
            <w:pPr>
              <w:spacing w:before="0"/>
              <w:jc w:val="center"/>
              <w:rPr>
                <w:b/>
                <w:sz w:val="22"/>
                <w:szCs w:val="22"/>
              </w:rPr>
            </w:pPr>
            <w:r w:rsidRPr="00D42D18">
              <w:rPr>
                <w:b/>
                <w:sz w:val="22"/>
                <w:szCs w:val="22"/>
              </w:rPr>
              <w:t>Total</w:t>
            </w:r>
          </w:p>
        </w:tc>
        <w:tc>
          <w:tcPr>
            <w:tcW w:w="1226"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b/>
                <w:sz w:val="22"/>
                <w:szCs w:val="22"/>
              </w:rPr>
            </w:pPr>
            <w:r>
              <w:rPr>
                <w:b/>
                <w:sz w:val="22"/>
                <w:szCs w:val="22"/>
              </w:rPr>
              <w:t>40.00</w:t>
            </w:r>
          </w:p>
        </w:tc>
        <w:tc>
          <w:tcPr>
            <w:tcW w:w="1314" w:type="dxa"/>
            <w:tcBorders>
              <w:top w:val="nil"/>
              <w:left w:val="nil"/>
              <w:bottom w:val="dotted" w:sz="4" w:space="0" w:color="auto"/>
              <w:right w:val="dotted" w:sz="4" w:space="0" w:color="auto"/>
            </w:tcBorders>
            <w:shd w:val="clear" w:color="auto" w:fill="auto"/>
            <w:noWrap/>
            <w:vAlign w:val="center"/>
            <w:hideMark/>
          </w:tcPr>
          <w:p w:rsidR="00C34658" w:rsidRPr="00D42D18" w:rsidRDefault="00C34658" w:rsidP="00D55642">
            <w:pPr>
              <w:spacing w:before="0"/>
              <w:jc w:val="right"/>
              <w:rPr>
                <w:b/>
                <w:sz w:val="22"/>
                <w:szCs w:val="22"/>
              </w:rPr>
            </w:pPr>
            <w:r>
              <w:rPr>
                <w:b/>
                <w:sz w:val="22"/>
                <w:szCs w:val="22"/>
              </w:rPr>
              <w:t>40.00</w:t>
            </w:r>
          </w:p>
        </w:tc>
      </w:tr>
    </w:tbl>
    <w:p w:rsidR="00D5771F" w:rsidRDefault="00C34658">
      <w:pPr>
        <w:pStyle w:val="Heading3"/>
        <w:tabs>
          <w:tab w:val="clear" w:pos="720"/>
        </w:tabs>
        <w:spacing w:after="240"/>
        <w:ind w:left="993" w:hanging="993"/>
      </w:pPr>
      <w:bookmarkStart w:id="977" w:name="_Toc357718674"/>
      <w:r w:rsidRPr="00C60AD1">
        <w:t xml:space="preserve">Further, any variation on this account would be taken up at the time of True-up of FY </w:t>
      </w:r>
      <w:r>
        <w:t>2016-17</w:t>
      </w:r>
      <w:r w:rsidRPr="00C60AD1">
        <w:t xml:space="preserve"> based on the audited accounts.</w:t>
      </w:r>
    </w:p>
    <w:p w:rsidR="006C63AF" w:rsidRDefault="006C63AF" w:rsidP="006C63AF">
      <w:pPr>
        <w:pStyle w:val="Heading3"/>
        <w:numPr>
          <w:ilvl w:val="0"/>
          <w:numId w:val="0"/>
        </w:numPr>
        <w:tabs>
          <w:tab w:val="clear" w:pos="720"/>
        </w:tabs>
        <w:spacing w:before="0"/>
        <w:ind w:left="993"/>
      </w:pPr>
    </w:p>
    <w:p w:rsidR="006C63AF" w:rsidRDefault="00C34658" w:rsidP="006C63AF">
      <w:pPr>
        <w:pStyle w:val="Heading2"/>
        <w:numPr>
          <w:ilvl w:val="1"/>
          <w:numId w:val="16"/>
        </w:numPr>
        <w:spacing w:before="0"/>
      </w:pPr>
      <w:bookmarkStart w:id="978" w:name="_Toc357733336"/>
      <w:bookmarkStart w:id="979" w:name="_Toc396573846"/>
      <w:bookmarkStart w:id="980" w:name="_Toc419992301"/>
      <w:bookmarkStart w:id="981" w:name="_Toc453367623"/>
      <w:bookmarkStart w:id="982" w:name="_Toc457603960"/>
      <w:r w:rsidRPr="00C60AD1">
        <w:t>RETURN ON EQUITY</w:t>
      </w:r>
      <w:bookmarkEnd w:id="978"/>
      <w:bookmarkEnd w:id="979"/>
      <w:bookmarkEnd w:id="980"/>
      <w:bookmarkEnd w:id="981"/>
      <w:bookmarkEnd w:id="982"/>
    </w:p>
    <w:p w:rsidR="00D5771F" w:rsidRDefault="00C34658">
      <w:pPr>
        <w:pStyle w:val="Heading3"/>
        <w:tabs>
          <w:tab w:val="clear" w:pos="720"/>
        </w:tabs>
        <w:spacing w:after="240"/>
        <w:ind w:left="993" w:hanging="993"/>
      </w:pPr>
      <w:r w:rsidRPr="003739AE">
        <w:t xml:space="preserve">The Petitioner </w:t>
      </w:r>
      <w:r>
        <w:t>has s</w:t>
      </w:r>
      <w:r w:rsidRPr="003739AE">
        <w:t>ubmit</w:t>
      </w:r>
      <w:r>
        <w:t>ted</w:t>
      </w:r>
      <w:r w:rsidRPr="003739AE">
        <w:t xml:space="preserve"> that the </w:t>
      </w:r>
      <w:r>
        <w:t xml:space="preserve">return on equity </w:t>
      </w:r>
      <w:r w:rsidRPr="003739AE">
        <w:t xml:space="preserve">may be allowed to cover subsidization of departmental employees under LMV-10 dispensation to the extent of 50% as has been historically allowed by the </w:t>
      </w:r>
      <w:r>
        <w:t>C</w:t>
      </w:r>
      <w:r w:rsidRPr="003739AE">
        <w:t xml:space="preserve">ommission and making good of waived surcharge in case of applicability of OTS, if required.  </w:t>
      </w:r>
    </w:p>
    <w:p w:rsidR="00D5771F" w:rsidRDefault="00C34658">
      <w:pPr>
        <w:pStyle w:val="Heading3"/>
        <w:tabs>
          <w:tab w:val="clear" w:pos="720"/>
        </w:tabs>
        <w:spacing w:after="240"/>
        <w:ind w:left="993" w:hanging="993"/>
      </w:pPr>
      <w:r>
        <w:t>Regulation 4.10</w:t>
      </w:r>
      <w:r w:rsidRPr="00C60AD1">
        <w:t xml:space="preserve"> of the Distribution Tariff Regulations, 2006 provides for </w:t>
      </w:r>
      <w:r>
        <w:t>return on equity @16%</w:t>
      </w:r>
      <w:r w:rsidRPr="00C60AD1">
        <w:t xml:space="preserve"> as specified below:</w:t>
      </w:r>
    </w:p>
    <w:p w:rsidR="00C34658" w:rsidRPr="008B0C65" w:rsidRDefault="00C34658" w:rsidP="00C34658">
      <w:pPr>
        <w:pStyle w:val="Heading3"/>
        <w:numPr>
          <w:ilvl w:val="0"/>
          <w:numId w:val="0"/>
        </w:numPr>
        <w:tabs>
          <w:tab w:val="clear" w:pos="720"/>
        </w:tabs>
        <w:spacing w:after="240"/>
        <w:ind w:left="1440"/>
        <w:rPr>
          <w:b/>
          <w:i/>
        </w:rPr>
      </w:pPr>
      <w:r>
        <w:rPr>
          <w:b/>
          <w:i/>
        </w:rPr>
        <w:lastRenderedPageBreak/>
        <w:t>“</w:t>
      </w:r>
      <w:r w:rsidRPr="008B0C65">
        <w:rPr>
          <w:b/>
          <w:i/>
        </w:rPr>
        <w:t>4.10 Return on Equity:</w:t>
      </w:r>
    </w:p>
    <w:p w:rsidR="00C34658" w:rsidRPr="00D80D75" w:rsidRDefault="00C34658" w:rsidP="00C34658">
      <w:pPr>
        <w:numPr>
          <w:ilvl w:val="0"/>
          <w:numId w:val="117"/>
        </w:numPr>
        <w:spacing w:before="0" w:after="240" w:line="240" w:lineRule="auto"/>
        <w:ind w:left="1843"/>
        <w:rPr>
          <w:rFonts w:cs="Calibri"/>
          <w:i/>
        </w:rPr>
      </w:pPr>
      <w:r w:rsidRPr="00D80D75">
        <w:rPr>
          <w:rFonts w:cs="Calibri"/>
          <w:i/>
        </w:rPr>
        <w:t>Return on equity shall be allowed @16%, on the equity base determined in accordance with regulation 4.7. However, the Commission may reduce/raise the rate of return subject to performance of the distribution licensee vis-à-vis performance benchmarks set by the Commission.</w:t>
      </w:r>
    </w:p>
    <w:p w:rsidR="00C34658" w:rsidRPr="00D80D75" w:rsidRDefault="00C34658" w:rsidP="00C34658">
      <w:pPr>
        <w:numPr>
          <w:ilvl w:val="0"/>
          <w:numId w:val="117"/>
        </w:numPr>
        <w:spacing w:before="0" w:after="240" w:line="240" w:lineRule="auto"/>
        <w:ind w:left="1843"/>
        <w:rPr>
          <w:rFonts w:cs="Calibri"/>
          <w:i/>
        </w:rPr>
      </w:pPr>
      <w:r w:rsidRPr="00D80D75">
        <w:rPr>
          <w:rFonts w:cs="Calibri"/>
          <w:i/>
        </w:rPr>
        <w:t>Equity invested in foreign currency shall be allowed a return up to the prescribed limit in the same currency and the payment on this account shall be made in Indian Rupees based on the prevailing exchange rate.</w:t>
      </w:r>
    </w:p>
    <w:p w:rsidR="00C34658" w:rsidRPr="00D80D75" w:rsidRDefault="00C34658" w:rsidP="00C34658">
      <w:pPr>
        <w:numPr>
          <w:ilvl w:val="0"/>
          <w:numId w:val="117"/>
        </w:numPr>
        <w:spacing w:before="0" w:after="240" w:line="240" w:lineRule="auto"/>
        <w:ind w:left="1843"/>
        <w:rPr>
          <w:rFonts w:cs="Calibri"/>
          <w:i/>
        </w:rPr>
      </w:pPr>
      <w:r w:rsidRPr="00D80D75">
        <w:rPr>
          <w:rFonts w:cs="Calibri"/>
          <w:i/>
        </w:rPr>
        <w:t>The premium raised by the distribution licensee while issuing share capital and investment of internal resources created out of free reserves, if any, for the funding of the project, shall also be reckoned as paid up capital for the purpose of computing return on equity, provided such share capital, premium amount and internal resources are actually utilized for meeting the capital expenditure of the distribution system and forms part of the approved financial package.</w:t>
      </w:r>
    </w:p>
    <w:p w:rsidR="00C34658" w:rsidRDefault="00C34658" w:rsidP="00C34658">
      <w:pPr>
        <w:pStyle w:val="Heading3"/>
        <w:numPr>
          <w:ilvl w:val="0"/>
          <w:numId w:val="0"/>
        </w:numPr>
        <w:tabs>
          <w:tab w:val="clear" w:pos="720"/>
        </w:tabs>
        <w:spacing w:after="240"/>
        <w:ind w:left="1843"/>
      </w:pPr>
      <w:r w:rsidRPr="00D80D75">
        <w:rPr>
          <w:rFonts w:cs="Calibri"/>
          <w:i/>
        </w:rPr>
        <w:t>Return on equity shall be chargeable from the first year of operation. In case of infusion of equity during the year, return on equity shall be charged on pro-rata basis.</w:t>
      </w:r>
      <w:r>
        <w:rPr>
          <w:rFonts w:cs="Calibri"/>
          <w:i/>
        </w:rPr>
        <w:t>”</w:t>
      </w:r>
    </w:p>
    <w:p w:rsidR="00D5771F" w:rsidRDefault="00C34658">
      <w:pPr>
        <w:pStyle w:val="Heading3"/>
        <w:tabs>
          <w:tab w:val="clear" w:pos="720"/>
        </w:tabs>
        <w:spacing w:after="240"/>
        <w:ind w:left="993" w:hanging="993"/>
      </w:pPr>
      <w:r w:rsidRPr="00D80D75">
        <w:rPr>
          <w:rFonts w:cs="Calibri"/>
        </w:rPr>
        <w:t>Under the provisions of the Distribution Tariff Regulations</w:t>
      </w:r>
      <w:r>
        <w:rPr>
          <w:rFonts w:cs="Calibri"/>
        </w:rPr>
        <w:t xml:space="preserve">, 2006Licensees are permitted </w:t>
      </w:r>
      <w:r w:rsidRPr="00D80D75">
        <w:rPr>
          <w:rFonts w:cs="Calibri"/>
        </w:rPr>
        <w:t xml:space="preserve">return on equity @ 16% </w:t>
      </w:r>
      <w:r w:rsidRPr="00DD67DD">
        <w:rPr>
          <w:rFonts w:cs="Calibri"/>
        </w:rPr>
        <w:t xml:space="preserve">on the equity base determined in accordance with </w:t>
      </w:r>
      <w:r>
        <w:rPr>
          <w:rFonts w:cs="Calibri"/>
        </w:rPr>
        <w:t>R</w:t>
      </w:r>
      <w:r w:rsidRPr="00DD67DD">
        <w:rPr>
          <w:rFonts w:cs="Calibri"/>
        </w:rPr>
        <w:t>egulation 4.7</w:t>
      </w:r>
      <w:r w:rsidRPr="00D80D75">
        <w:rPr>
          <w:rFonts w:cs="Calibri"/>
        </w:rPr>
        <w:t>of the Distribution Tariff Regulations</w:t>
      </w:r>
      <w:r>
        <w:rPr>
          <w:rFonts w:cs="Calibri"/>
        </w:rPr>
        <w:t>, 2006</w:t>
      </w:r>
      <w:r w:rsidRPr="00DD67DD">
        <w:rPr>
          <w:rFonts w:cs="Calibri"/>
        </w:rPr>
        <w:t>. However, the Commission may reduce/raise the rate of return subject to performance of the distribution licensee vis-à-vis performance benchmarks set by the Commission</w:t>
      </w:r>
      <w:r>
        <w:rPr>
          <w:rFonts w:cs="Calibri"/>
        </w:rPr>
        <w:t xml:space="preserve">. </w:t>
      </w:r>
      <w:r w:rsidRPr="008B0C65">
        <w:t>The Commission is of the view that there is huge under recovery under the distribution segment andthe</w:t>
      </w:r>
      <w:r>
        <w:t xml:space="preserve"> Commission</w:t>
      </w:r>
      <w:r w:rsidRPr="008B0C65">
        <w:t xml:space="preserve"> do</w:t>
      </w:r>
      <w:r>
        <w:t>es</w:t>
      </w:r>
      <w:r w:rsidRPr="008B0C65">
        <w:t xml:space="preserve"> not want to burden the consumers by </w:t>
      </w:r>
      <w:r>
        <w:t>allowing</w:t>
      </w:r>
      <w:r w:rsidRPr="008B0C65">
        <w:t xml:space="preserve"> return on equity as it will further increase the gap. </w:t>
      </w:r>
    </w:p>
    <w:p w:rsidR="00D5771F" w:rsidRDefault="00C34658">
      <w:pPr>
        <w:pStyle w:val="Heading3"/>
        <w:tabs>
          <w:tab w:val="clear" w:pos="720"/>
        </w:tabs>
        <w:spacing w:after="240"/>
        <w:ind w:left="993" w:hanging="993"/>
      </w:pPr>
      <w:r w:rsidRPr="008B0C65">
        <w:t>Hence, the Commission has not approved any amounts towards return on equity for FY 2016-17.</w:t>
      </w:r>
    </w:p>
    <w:p w:rsidR="006C63AF" w:rsidRDefault="006C63AF" w:rsidP="006C63AF">
      <w:pPr>
        <w:pStyle w:val="Heading3"/>
        <w:numPr>
          <w:ilvl w:val="0"/>
          <w:numId w:val="0"/>
        </w:numPr>
        <w:tabs>
          <w:tab w:val="clear" w:pos="720"/>
        </w:tabs>
        <w:spacing w:before="0"/>
        <w:ind w:left="993"/>
      </w:pPr>
    </w:p>
    <w:p w:rsidR="006C63AF" w:rsidRDefault="00C34658" w:rsidP="006C63AF">
      <w:pPr>
        <w:pStyle w:val="Heading2"/>
        <w:numPr>
          <w:ilvl w:val="1"/>
          <w:numId w:val="16"/>
        </w:numPr>
        <w:spacing w:before="0"/>
      </w:pPr>
      <w:bookmarkStart w:id="983" w:name="_Toc357733337"/>
      <w:bookmarkStart w:id="984" w:name="_Toc396573847"/>
      <w:bookmarkStart w:id="985" w:name="_Toc419992302"/>
      <w:bookmarkStart w:id="986" w:name="_Toc453367624"/>
      <w:bookmarkStart w:id="987" w:name="_Toc457603961"/>
      <w:r w:rsidRPr="00C60AD1">
        <w:t>CONTRIBUTION TO CONTINGENCY RESERVE</w:t>
      </w:r>
      <w:bookmarkEnd w:id="983"/>
      <w:bookmarkEnd w:id="984"/>
      <w:bookmarkEnd w:id="985"/>
      <w:bookmarkEnd w:id="986"/>
      <w:bookmarkEnd w:id="987"/>
    </w:p>
    <w:p w:rsidR="00D5771F" w:rsidRDefault="00C34658">
      <w:pPr>
        <w:pStyle w:val="Heading3"/>
        <w:tabs>
          <w:tab w:val="clear" w:pos="720"/>
        </w:tabs>
        <w:spacing w:after="240"/>
        <w:ind w:left="993" w:hanging="993"/>
      </w:pPr>
      <w:r w:rsidRPr="00C60AD1">
        <w:t xml:space="preserve">The Petitioner submitted that the Distribution Tariff Regulations, 2006 provides for the contribution to the contingency reserves up to 0.50% of </w:t>
      </w:r>
      <w:r w:rsidRPr="00C60AD1">
        <w:lastRenderedPageBreak/>
        <w:t>opening GFA to be included in the ARR of Licensees and the contingency reserve so created shall be utilized to meet cost of replacement of equipment damaged due to force majeure situations. The Licensee shall invest in Contingency Reserve as allowed by the Commission in Government securities. However, the use of such reserve is only with the prior permission of the Commission.</w:t>
      </w:r>
    </w:p>
    <w:p w:rsidR="00D5771F" w:rsidRDefault="00C34658">
      <w:pPr>
        <w:pStyle w:val="Heading3"/>
        <w:tabs>
          <w:tab w:val="clear" w:pos="720"/>
        </w:tabs>
        <w:spacing w:after="240"/>
        <w:ind w:left="993" w:hanging="993"/>
      </w:pPr>
      <w:r w:rsidRPr="00C60AD1">
        <w:t xml:space="preserve">The Petitioner submitted that since there is a substantial revenue gap between ARR and revenue forecast, any amounts allowed on this account will only go to enhance the already large gap and create extra burden on the consumers. The Petitioner has not claimed any contribution to contingency reserve for the year under review. </w:t>
      </w:r>
    </w:p>
    <w:p w:rsidR="00D5771F" w:rsidRDefault="00C34658">
      <w:pPr>
        <w:pStyle w:val="Heading3"/>
        <w:tabs>
          <w:tab w:val="clear" w:pos="720"/>
        </w:tabs>
        <w:spacing w:after="240"/>
        <w:ind w:left="993" w:hanging="993"/>
        <w:rPr>
          <w:b/>
        </w:rPr>
      </w:pPr>
      <w:r w:rsidRPr="00C60AD1">
        <w:t>In view of the same, the Commission has not approved any amounts under the said component in the present Order</w:t>
      </w:r>
      <w:r>
        <w:t xml:space="preserve"> for FY 2016-17</w:t>
      </w:r>
      <w:r w:rsidRPr="00C60AD1">
        <w:t>.</w:t>
      </w:r>
    </w:p>
    <w:p w:rsidR="00C34658" w:rsidRPr="00C60AD1" w:rsidRDefault="00C34658" w:rsidP="00C34658">
      <w:pPr>
        <w:tabs>
          <w:tab w:val="left" w:pos="360"/>
        </w:tabs>
        <w:rPr>
          <w:sz w:val="23"/>
          <w:szCs w:val="23"/>
        </w:rPr>
      </w:pPr>
    </w:p>
    <w:p w:rsidR="00C34658" w:rsidRPr="00C60AD1" w:rsidRDefault="00C34658" w:rsidP="00C34658">
      <w:pPr>
        <w:pStyle w:val="Heading2"/>
        <w:numPr>
          <w:ilvl w:val="1"/>
          <w:numId w:val="16"/>
        </w:numPr>
      </w:pPr>
      <w:bookmarkStart w:id="988" w:name="_Toc357702893"/>
      <w:bookmarkStart w:id="989" w:name="_Toc357703274"/>
      <w:bookmarkStart w:id="990" w:name="_Toc357703464"/>
      <w:bookmarkStart w:id="991" w:name="_Toc357707333"/>
      <w:bookmarkStart w:id="992" w:name="_Toc357702894"/>
      <w:bookmarkStart w:id="993" w:name="_Toc357703275"/>
      <w:bookmarkStart w:id="994" w:name="_Toc357703465"/>
      <w:bookmarkStart w:id="995" w:name="_Toc357707334"/>
      <w:bookmarkStart w:id="996" w:name="_Toc373269571"/>
      <w:bookmarkStart w:id="997" w:name="_Toc396573848"/>
      <w:bookmarkStart w:id="998" w:name="_Toc419992303"/>
      <w:bookmarkStart w:id="999" w:name="_Toc453367625"/>
      <w:bookmarkStart w:id="1000" w:name="_Toc457603962"/>
      <w:bookmarkEnd w:id="988"/>
      <w:bookmarkEnd w:id="989"/>
      <w:bookmarkEnd w:id="990"/>
      <w:bookmarkEnd w:id="991"/>
      <w:bookmarkEnd w:id="992"/>
      <w:bookmarkEnd w:id="993"/>
      <w:bookmarkEnd w:id="994"/>
      <w:bookmarkEnd w:id="995"/>
      <w:r w:rsidRPr="00C60AD1">
        <w:t>APPORTIONMENT OF O&amp;M EXPENSES AND INTEREST &amp; FINANCE CHARGES OF UPPCL</w:t>
      </w:r>
      <w:bookmarkEnd w:id="996"/>
      <w:bookmarkEnd w:id="997"/>
      <w:bookmarkEnd w:id="998"/>
      <w:bookmarkEnd w:id="999"/>
      <w:bookmarkEnd w:id="1000"/>
    </w:p>
    <w:p w:rsidR="00D5771F" w:rsidRDefault="00EA74AF">
      <w:pPr>
        <w:pStyle w:val="Heading3"/>
        <w:tabs>
          <w:tab w:val="clear" w:pos="720"/>
        </w:tabs>
        <w:spacing w:after="240"/>
        <w:ind w:left="993" w:hanging="993"/>
      </w:pPr>
      <w:r>
        <w:t xml:space="preserve">The </w:t>
      </w:r>
      <w:r w:rsidR="00C34658" w:rsidRPr="00C60AD1">
        <w:t>Petitioner submitted that in FY 2013-14 Tariff Order the Commission had directed the Distribution Companies to consider the apportionment of the O&amp;M expenses of UPPCL and submit the share of each Distribution Licensees and accordingly, the O&amp;M expenses of UPPCL for FY 201</w:t>
      </w:r>
      <w:r w:rsidR="00C34658">
        <w:t>4</w:t>
      </w:r>
      <w:r w:rsidR="00C34658" w:rsidRPr="00C60AD1">
        <w:t>-1</w:t>
      </w:r>
      <w:r w:rsidR="00C34658">
        <w:t>5</w:t>
      </w:r>
      <w:r w:rsidR="00C34658" w:rsidRPr="00C60AD1">
        <w:t xml:space="preserve"> as per provisional accounts have been considered as base expenses and the same have been escalated for FY </w:t>
      </w:r>
      <w:r w:rsidR="00C34658">
        <w:t>2016-17</w:t>
      </w:r>
      <w:r w:rsidR="00C34658" w:rsidRPr="00C60AD1">
        <w:t xml:space="preserve"> based on the escalation indices. </w:t>
      </w:r>
    </w:p>
    <w:p w:rsidR="00D5771F" w:rsidRDefault="00C34658">
      <w:pPr>
        <w:pStyle w:val="Heading3"/>
        <w:tabs>
          <w:tab w:val="clear" w:pos="720"/>
        </w:tabs>
        <w:spacing w:after="240"/>
        <w:ind w:left="993" w:hanging="993"/>
      </w:pPr>
      <w:r w:rsidRPr="00C60AD1">
        <w:t xml:space="preserve">The Petitioner submitted that considering the above, the same have also been apportioned to all the Distribution Licensees including the Petitioner in the power purchase ratio for each relevant year. The Petitioner submitted that the share of apportionment of O&amp;M charges of UPPCL is Rs. </w:t>
      </w:r>
      <w:r>
        <w:t>40.02</w:t>
      </w:r>
      <w:r w:rsidRPr="00C60AD1">
        <w:t xml:space="preserve"> Crore for FY </w:t>
      </w:r>
      <w:r>
        <w:t>2016-17</w:t>
      </w:r>
      <w:r w:rsidRPr="00C60AD1">
        <w:t xml:space="preserve"> and accordingly the same have been considered as part of ARR to be recovered from retail consumers.</w:t>
      </w:r>
    </w:p>
    <w:p w:rsidR="00D5771F" w:rsidRDefault="00C34658">
      <w:pPr>
        <w:pStyle w:val="Heading3"/>
        <w:tabs>
          <w:tab w:val="clear" w:pos="720"/>
        </w:tabs>
        <w:spacing w:after="240"/>
        <w:ind w:left="993" w:hanging="993"/>
      </w:pPr>
      <w:r w:rsidRPr="00C60AD1">
        <w:t xml:space="preserve">Petitioner submitted that UPPCL resorts to short term borrowings on behalf of Distribution Companies to meet the power purchase liabilities of Licensees and incurs interest expenses on behalf of such working capital loans. Also it incurs expenditure towards LC and OD charges incidental to power purchase expenses. Petitioner requested the Commission to consider these expenses </w:t>
      </w:r>
      <w:r w:rsidRPr="00C60AD1">
        <w:lastRenderedPageBreak/>
        <w:t>and allow UPPCL to claim such expenses from the Petitioner and other Distribution Companies through an internal adjustment without any impact on the ARR.</w:t>
      </w:r>
    </w:p>
    <w:p w:rsidR="00D5771F" w:rsidRDefault="00C34658">
      <w:pPr>
        <w:pStyle w:val="Heading3"/>
        <w:tabs>
          <w:tab w:val="clear" w:pos="720"/>
        </w:tabs>
        <w:spacing w:after="240"/>
        <w:ind w:left="993" w:hanging="993"/>
        <w:rPr>
          <w:b/>
        </w:rPr>
      </w:pPr>
      <w:r w:rsidRPr="00C60AD1">
        <w:t>The Commission in this Order while computing the Bulk Supply Tariff for FY 2013</w:t>
      </w:r>
      <w:r>
        <w:t>-14</w:t>
      </w:r>
      <w:r w:rsidRPr="00C60AD1">
        <w:t xml:space="preserve"> has allowed such expenses based on actual based on the audited accounts of UPPCL. Further, as discussed in the Truing-up section, since, the above expenses have been incurred by UPPCL, mostly for procuring the power for the Licensees, the above expenses have been allowed while doing the Truing up of FY 2013</w:t>
      </w:r>
      <w:r>
        <w:t>-14</w:t>
      </w:r>
      <w:r w:rsidRPr="00C60AD1">
        <w:t>. However, it may be noted that procurement of power is the responsibility of the Distribution Licensees and the Commission allows considerable amount of O&amp;M Expenses and the interest on working capital to the Licensees for this purpose. The Commission has allowed such expenses for the past years, but in its Tariff Order for FY 2014-15 dated October 1, 2014 the Commission has specifically mentioned that, such expense will not be allowed for future years i.e., FY 2014-15 onwards. The relevant extract of the aforementioned Order is reproduced below:</w:t>
      </w:r>
    </w:p>
    <w:p w:rsidR="00C34658" w:rsidRPr="00C60AD1" w:rsidRDefault="00C34658" w:rsidP="00C34658">
      <w:pPr>
        <w:pStyle w:val="Heading3"/>
        <w:numPr>
          <w:ilvl w:val="0"/>
          <w:numId w:val="0"/>
        </w:numPr>
        <w:tabs>
          <w:tab w:val="clear" w:pos="720"/>
        </w:tabs>
        <w:spacing w:after="240"/>
        <w:ind w:left="1440"/>
        <w:rPr>
          <w:i/>
        </w:rPr>
      </w:pPr>
      <w:r w:rsidRPr="00C60AD1">
        <w:rPr>
          <w:i/>
        </w:rPr>
        <w:t>“The Commission has allowed such expenses for the past years, however for future years, i.e., from FY 2014-15 onwards, the Commission disallows the claim of additional expenses towards allocation of O&amp;M expenses for UPPCL and directs the Petitioner to manage such additional Expenses for procuring the power from the O&amp;M Expenses allowed to it for the relevant year.”</w:t>
      </w:r>
    </w:p>
    <w:p w:rsidR="00D5771F" w:rsidRPr="00D14AAD" w:rsidRDefault="00C34658">
      <w:pPr>
        <w:pStyle w:val="Heading3"/>
        <w:tabs>
          <w:tab w:val="clear" w:pos="720"/>
        </w:tabs>
        <w:spacing w:after="240"/>
        <w:ind w:left="993" w:hanging="993"/>
        <w:rPr>
          <w:b/>
        </w:rPr>
      </w:pPr>
      <w:r w:rsidRPr="00C60AD1">
        <w:t xml:space="preserve">Thus, the Commission has not considered the claim of additional expenses towards allocation of O&amp;M expenses for UPPCL for FY </w:t>
      </w:r>
      <w:r>
        <w:t>2016-17</w:t>
      </w:r>
      <w:r w:rsidRPr="00C60AD1">
        <w:t>.</w:t>
      </w:r>
    </w:p>
    <w:p w:rsidR="006C63AF" w:rsidRDefault="006C63AF" w:rsidP="006C63AF">
      <w:pPr>
        <w:pStyle w:val="Heading3"/>
        <w:numPr>
          <w:ilvl w:val="0"/>
          <w:numId w:val="0"/>
        </w:numPr>
        <w:tabs>
          <w:tab w:val="clear" w:pos="720"/>
        </w:tabs>
        <w:spacing w:before="0"/>
        <w:ind w:left="993"/>
        <w:rPr>
          <w:b/>
        </w:rPr>
      </w:pPr>
    </w:p>
    <w:p w:rsidR="006C63AF" w:rsidRDefault="00C34658" w:rsidP="006C63AF">
      <w:pPr>
        <w:pStyle w:val="Heading2"/>
        <w:numPr>
          <w:ilvl w:val="1"/>
          <w:numId w:val="16"/>
        </w:numPr>
        <w:spacing w:before="0"/>
      </w:pPr>
      <w:bookmarkStart w:id="1001" w:name="_Toc396573849"/>
      <w:bookmarkStart w:id="1002" w:name="_Toc419992304"/>
      <w:bookmarkStart w:id="1003" w:name="_Toc453367626"/>
      <w:bookmarkStart w:id="1004" w:name="_Toc457603963"/>
      <w:r w:rsidRPr="00C60AD1">
        <w:t>GoUP S</w:t>
      </w:r>
      <w:bookmarkEnd w:id="977"/>
      <w:r w:rsidRPr="00C60AD1">
        <w:t>UBSIDY</w:t>
      </w:r>
      <w:bookmarkEnd w:id="1001"/>
      <w:bookmarkEnd w:id="1002"/>
      <w:bookmarkEnd w:id="1003"/>
      <w:bookmarkEnd w:id="1004"/>
    </w:p>
    <w:p w:rsidR="00D5771F" w:rsidRDefault="00C34658">
      <w:pPr>
        <w:pStyle w:val="Heading3"/>
        <w:tabs>
          <w:tab w:val="clear" w:pos="720"/>
        </w:tabs>
        <w:spacing w:after="240"/>
        <w:ind w:left="993" w:hanging="993"/>
      </w:pPr>
      <w:bookmarkStart w:id="1005" w:name="_Toc357356151"/>
      <w:r w:rsidRPr="00C60AD1">
        <w:t xml:space="preserve">The Petitioner has submitted that the projected budgeted subsidy for FY </w:t>
      </w:r>
      <w:r>
        <w:t>2016-17</w:t>
      </w:r>
      <w:r w:rsidRPr="00C60AD1">
        <w:t xml:space="preserve"> for overall Discoms is to the tune of Rs</w:t>
      </w:r>
      <w:r>
        <w:t>. 5,440</w:t>
      </w:r>
      <w:r w:rsidRPr="00C60AD1">
        <w:t xml:space="preserve"> Crore, out of which the share of the Petitioner is pegged to be Rs. </w:t>
      </w:r>
      <w:r>
        <w:t>1,142.73</w:t>
      </w:r>
      <w:r w:rsidRPr="00C60AD1">
        <w:t xml:space="preserve"> Crore on provisional basis. </w:t>
      </w:r>
    </w:p>
    <w:p w:rsidR="00D5771F" w:rsidRDefault="00C34658">
      <w:pPr>
        <w:pStyle w:val="Heading3"/>
        <w:tabs>
          <w:tab w:val="clear" w:pos="720"/>
        </w:tabs>
        <w:spacing w:after="240"/>
        <w:ind w:left="993" w:hanging="993"/>
      </w:pPr>
      <w:r w:rsidRPr="00C60AD1">
        <w:t xml:space="preserve">The Petitioner submitted that the decision on the basis and allocation within Distribution Companies is yet to be finalized by the GoUP. It is submitted that the estimated budgeted subsidy is the absolute quantum of subsidy available from GoUP. </w:t>
      </w:r>
    </w:p>
    <w:p w:rsidR="00D5771F" w:rsidRDefault="00C34658">
      <w:pPr>
        <w:pStyle w:val="Heading3"/>
        <w:tabs>
          <w:tab w:val="clear" w:pos="720"/>
        </w:tabs>
        <w:spacing w:after="240"/>
        <w:ind w:left="993" w:hanging="993"/>
      </w:pPr>
      <w:r w:rsidRPr="00C60AD1">
        <w:lastRenderedPageBreak/>
        <w:t>Clause 6.10 of the Distribution Tariff Regulations, 2006 specifies as under:</w:t>
      </w:r>
      <w:bookmarkEnd w:id="1005"/>
    </w:p>
    <w:p w:rsidR="00C34658" w:rsidRPr="00C60AD1" w:rsidRDefault="00C34658" w:rsidP="00C34658">
      <w:pPr>
        <w:spacing w:before="240"/>
        <w:ind w:left="1530"/>
        <w:rPr>
          <w:i/>
        </w:rPr>
      </w:pPr>
      <w:r w:rsidRPr="00C60AD1">
        <w:rPr>
          <w:i/>
        </w:rPr>
        <w:t>“</w:t>
      </w:r>
      <w:r w:rsidRPr="00C60AD1">
        <w:rPr>
          <w:b/>
          <w:i/>
        </w:rPr>
        <w:t>6.10 Provision of Subsidy</w:t>
      </w:r>
    </w:p>
    <w:p w:rsidR="00C34658" w:rsidRPr="00C60AD1" w:rsidRDefault="00C34658" w:rsidP="00C34658">
      <w:pPr>
        <w:spacing w:before="240"/>
        <w:ind w:left="1530"/>
        <w:rPr>
          <w:i/>
        </w:rPr>
      </w:pPr>
      <w:r w:rsidRPr="00C60AD1">
        <w:rPr>
          <w:i/>
        </w:rPr>
        <w:t>1. The Commission, while determining the tariff, shall see that the tariff progressively reflects the cost of supply of electricity and the cross subsidy is reduced or eliminated.</w:t>
      </w:r>
    </w:p>
    <w:p w:rsidR="00C34658" w:rsidRPr="00C60AD1" w:rsidRDefault="00C34658" w:rsidP="00C34658">
      <w:pPr>
        <w:spacing w:before="240"/>
        <w:ind w:left="1530"/>
        <w:rPr>
          <w:i/>
        </w:rPr>
      </w:pPr>
      <w:r w:rsidRPr="00C60AD1">
        <w:rPr>
          <w:i/>
        </w:rPr>
        <w:t xml:space="preserve">2. If the State Government decides to subsidize any consumer or class of consumers, the State Government shall pay the amount to compensate the affected Licensee by grant of such subsidy in advance. </w:t>
      </w:r>
    </w:p>
    <w:p w:rsidR="00C34658" w:rsidRPr="00C60AD1" w:rsidRDefault="00C34658" w:rsidP="00C34658">
      <w:pPr>
        <w:spacing w:before="240"/>
        <w:ind w:left="1530"/>
        <w:rPr>
          <w:i/>
        </w:rPr>
      </w:pPr>
      <w:r w:rsidRPr="00C60AD1">
        <w:rPr>
          <w:i/>
        </w:rPr>
        <w:t>Provided that no such direction of the State Government to grant subsidy shall be operative if the payment is not made in accordance with the relevant provisions contained in these Regulations and the Act. In such a case, the tariff of the applicable categories may be revised excluding the subsidy.</w:t>
      </w:r>
    </w:p>
    <w:p w:rsidR="00C34658" w:rsidRPr="00C60AD1" w:rsidRDefault="00C34658" w:rsidP="00C34658">
      <w:pPr>
        <w:spacing w:before="240"/>
        <w:ind w:left="1530"/>
        <w:rPr>
          <w:i/>
        </w:rPr>
      </w:pPr>
      <w:r w:rsidRPr="00C60AD1">
        <w:rPr>
          <w:i/>
        </w:rPr>
        <w:t xml:space="preserve">3. The Government shall, by notification, declare the consumers or class of consumers to be subsidized. </w:t>
      </w:r>
    </w:p>
    <w:p w:rsidR="00C34658" w:rsidRPr="00C60AD1" w:rsidRDefault="00C34658" w:rsidP="00C34658">
      <w:pPr>
        <w:spacing w:before="240"/>
        <w:ind w:left="1530"/>
        <w:rPr>
          <w:b/>
          <w:i/>
        </w:rPr>
      </w:pPr>
      <w:r w:rsidRPr="00C60AD1">
        <w:rPr>
          <w:b/>
          <w:i/>
        </w:rPr>
        <w:t>4. Tariff of the subsidized category shall be designed taking into account the subsidy allocated to that category.</w:t>
      </w:r>
    </w:p>
    <w:p w:rsidR="00C34658" w:rsidRPr="00C60AD1" w:rsidRDefault="00C34658" w:rsidP="00C34658">
      <w:pPr>
        <w:spacing w:before="240"/>
        <w:ind w:left="1530"/>
        <w:rPr>
          <w:i/>
        </w:rPr>
      </w:pPr>
      <w:r w:rsidRPr="00C60AD1">
        <w:rPr>
          <w:b/>
          <w:i/>
        </w:rPr>
        <w:t>5. The Distribution Licensee shall furnish details of power consumed by the subsidized category to the State Government and the Commission.</w:t>
      </w:r>
      <w:r w:rsidRPr="00C60AD1">
        <w:rPr>
          <w:i/>
        </w:rPr>
        <w:t xml:space="preserve"> The Distribution Licensee shall provide meters on all rural distribution transformers and shall also furnish the power consumption details in respect of agricultural and rural domestic consumption based on readings from such meters and normative distribution losses on a monthly basis.” </w:t>
      </w:r>
      <w:r w:rsidRPr="00C60AD1">
        <w:rPr>
          <w:b/>
          <w:i/>
        </w:rPr>
        <w:t>(Emphasis supplied)</w:t>
      </w:r>
    </w:p>
    <w:p w:rsidR="00D5771F" w:rsidRDefault="00C34658">
      <w:pPr>
        <w:pStyle w:val="Heading3"/>
        <w:tabs>
          <w:tab w:val="clear" w:pos="720"/>
        </w:tabs>
        <w:spacing w:after="240"/>
        <w:ind w:left="993" w:hanging="993"/>
      </w:pPr>
      <w:bookmarkStart w:id="1006" w:name="_Toc357356154"/>
      <w:r w:rsidRPr="00C60AD1">
        <w:t xml:space="preserve">As per the submission of the Licensee, since the estimated budgeted subsidy is the absolute quantum of subsidy available from GoUP, the share as submitted by the Licensee has been considered by the Commission. The Commission has accepted the total subsidy allocation of Rs. </w:t>
      </w:r>
      <w:r>
        <w:t>5,440</w:t>
      </w:r>
      <w:r w:rsidRPr="00C60AD1">
        <w:t xml:space="preserve">Crore for FY </w:t>
      </w:r>
      <w:r>
        <w:t>2016-17</w:t>
      </w:r>
      <w:r w:rsidRPr="00C60AD1">
        <w:t xml:space="preserve"> from GoUP as submitted by the Licensee and its allocation for DVVNL as Rs. </w:t>
      </w:r>
      <w:r>
        <w:t>1,142.73</w:t>
      </w:r>
      <w:r w:rsidRPr="00C60AD1">
        <w:t xml:space="preserve"> Crore</w:t>
      </w:r>
      <w:bookmarkStart w:id="1007" w:name="_Toc357356155"/>
      <w:bookmarkEnd w:id="1006"/>
      <w:r w:rsidRPr="00C60AD1">
        <w:t>.</w:t>
      </w:r>
    </w:p>
    <w:p w:rsidR="006C63AF" w:rsidRDefault="006C63AF" w:rsidP="006C63AF">
      <w:pPr>
        <w:pStyle w:val="Heading3"/>
        <w:numPr>
          <w:ilvl w:val="0"/>
          <w:numId w:val="0"/>
        </w:numPr>
        <w:tabs>
          <w:tab w:val="clear" w:pos="720"/>
        </w:tabs>
        <w:spacing w:after="240"/>
        <w:ind w:left="993"/>
      </w:pPr>
    </w:p>
    <w:p w:rsidR="00C34658" w:rsidRPr="00C60AD1" w:rsidRDefault="00C34658" w:rsidP="00C34658">
      <w:pPr>
        <w:pStyle w:val="Heading2"/>
        <w:numPr>
          <w:ilvl w:val="1"/>
          <w:numId w:val="16"/>
        </w:numPr>
      </w:pPr>
      <w:bookmarkStart w:id="1008" w:name="_Toc357718675"/>
      <w:bookmarkStart w:id="1009" w:name="_Toc396573850"/>
      <w:bookmarkStart w:id="1010" w:name="_Toc419992305"/>
      <w:bookmarkStart w:id="1011" w:name="_Toc453367627"/>
      <w:bookmarkStart w:id="1012" w:name="_Toc457603964"/>
      <w:r w:rsidRPr="00C60AD1">
        <w:lastRenderedPageBreak/>
        <w:t>ADDITIONAL SUBSIDY REQUIREMENT</w:t>
      </w:r>
      <w:bookmarkEnd w:id="1008"/>
      <w:bookmarkEnd w:id="1009"/>
      <w:bookmarkEnd w:id="1010"/>
      <w:bookmarkEnd w:id="1011"/>
      <w:bookmarkEnd w:id="1012"/>
    </w:p>
    <w:bookmarkEnd w:id="1007"/>
    <w:p w:rsidR="00D5771F" w:rsidRDefault="00FC40F0">
      <w:pPr>
        <w:pStyle w:val="Heading3"/>
        <w:tabs>
          <w:tab w:val="clear" w:pos="720"/>
        </w:tabs>
        <w:spacing w:after="240"/>
        <w:ind w:left="993" w:hanging="993"/>
        <w:rPr>
          <w:rFonts w:cs="Calibri"/>
          <w:color w:val="000000"/>
          <w:lang w:eastAsia="en-IN"/>
        </w:rPr>
      </w:pPr>
      <w:r w:rsidRPr="00F06DF7">
        <w:t xml:space="preserve">As discussed in the earlier chapters of Truing up of FY 2013-14, the Distribution Licensees had filed an Appeal before the Hon’ble APTEL on applicability of additional subsidy to which the Hon’ble APTEL gave its Judgment </w:t>
      </w:r>
      <w:r>
        <w:t xml:space="preserve">dated </w:t>
      </w:r>
      <w:r w:rsidRPr="00F06DF7">
        <w:t xml:space="preserve">November 23, 2015in favour of the Commission. </w:t>
      </w:r>
    </w:p>
    <w:p w:rsidR="00D5771F" w:rsidRPr="00D14AAD" w:rsidRDefault="00FC40F0">
      <w:pPr>
        <w:pStyle w:val="Heading3"/>
        <w:tabs>
          <w:tab w:val="clear" w:pos="720"/>
        </w:tabs>
        <w:spacing w:after="240"/>
        <w:ind w:left="993" w:hanging="993"/>
        <w:rPr>
          <w:rFonts w:cs="Calibri"/>
          <w:color w:val="000000"/>
          <w:lang w:eastAsia="en-IN"/>
        </w:rPr>
      </w:pPr>
      <w:r w:rsidRPr="00F06DF7">
        <w:t xml:space="preserve">It can be observed from the earlier section that, the Petitioner has projected the billing determinants for various categories for FY 2016-17. Accordingly, the Commission has also approved the billing determinants for FY 2016-17. The Commission in its various Orders has been aggressively pursuing the Petitioner to convert all its unmetered consumers of rural and urban area to metered consumers. Most of these consumers would be from the rural areas having lower tariffs and are largely subsidised. Large number of addition of such consumers would require large amount of the subsidy to be provided in order to compensate for the lower tariffs as compared with </w:t>
      </w:r>
      <w:r>
        <w:t xml:space="preserve">the </w:t>
      </w:r>
      <w:r w:rsidRPr="00F06DF7">
        <w:t xml:space="preserve">Average Cost of Supply. The Commission feels that it would be premature to estimate </w:t>
      </w:r>
      <w:r>
        <w:t xml:space="preserve">the </w:t>
      </w:r>
      <w:r w:rsidRPr="00F06DF7">
        <w:t xml:space="preserve">additional subsidy requirement for all </w:t>
      </w:r>
      <w:r>
        <w:t>such</w:t>
      </w:r>
      <w:r w:rsidRPr="00F06DF7">
        <w:t xml:space="preserve"> consumers as these consumers would be added over the time period of the full year. </w:t>
      </w:r>
      <w:r>
        <w:t>Also</w:t>
      </w:r>
      <w:r w:rsidRPr="00F06DF7">
        <w:t xml:space="preserve">, the actual subsidy allocation may also vary for each Discom and accordingly the values of additional subsidy may also vary. So, the Commission has decided to </w:t>
      </w:r>
      <w:r>
        <w:t>consider the</w:t>
      </w:r>
      <w:r w:rsidRPr="00F06DF7">
        <w:t xml:space="preserve"> matter of </w:t>
      </w:r>
      <w:r>
        <w:t xml:space="preserve">appropriate </w:t>
      </w:r>
      <w:r w:rsidRPr="00F06DF7">
        <w:t>allocation of additional subsidy to the Discoms for FY 2016-17</w:t>
      </w:r>
      <w:r>
        <w:t>in the</w:t>
      </w:r>
      <w:r w:rsidRPr="00F06DF7">
        <w:t xml:space="preserve"> trued up </w:t>
      </w:r>
      <w:r>
        <w:t xml:space="preserve">exercise </w:t>
      </w:r>
      <w:r w:rsidRPr="00F06DF7">
        <w:t>based on the actual audited figures</w:t>
      </w:r>
      <w:r w:rsidR="00DB3783">
        <w:t xml:space="preserve"> and the petitions filed.</w:t>
      </w:r>
    </w:p>
    <w:p w:rsidR="006C63AF" w:rsidRDefault="006C63AF" w:rsidP="006C63AF">
      <w:pPr>
        <w:pStyle w:val="Heading3"/>
        <w:numPr>
          <w:ilvl w:val="0"/>
          <w:numId w:val="0"/>
        </w:numPr>
        <w:tabs>
          <w:tab w:val="clear" w:pos="720"/>
        </w:tabs>
        <w:spacing w:before="0"/>
        <w:ind w:left="993"/>
        <w:rPr>
          <w:rFonts w:cs="Calibri"/>
          <w:color w:val="000000"/>
          <w:lang w:eastAsia="en-IN"/>
        </w:rPr>
      </w:pPr>
    </w:p>
    <w:p w:rsidR="006C63AF" w:rsidRDefault="00C34658" w:rsidP="006C63AF">
      <w:pPr>
        <w:pStyle w:val="Heading2"/>
        <w:numPr>
          <w:ilvl w:val="1"/>
          <w:numId w:val="16"/>
        </w:numPr>
        <w:spacing w:before="0"/>
        <w:ind w:left="778" w:hanging="778"/>
        <w:contextualSpacing w:val="0"/>
      </w:pPr>
      <w:bookmarkStart w:id="1013" w:name="_Toc457055620"/>
      <w:bookmarkStart w:id="1014" w:name="_Toc454752741"/>
      <w:bookmarkStart w:id="1015" w:name="_Toc455415769"/>
      <w:bookmarkStart w:id="1016" w:name="_Toc455482277"/>
      <w:bookmarkStart w:id="1017" w:name="_Toc455482992"/>
      <w:bookmarkStart w:id="1018" w:name="_Toc455483705"/>
      <w:bookmarkStart w:id="1019" w:name="_Toc455505314"/>
      <w:bookmarkStart w:id="1020" w:name="_Toc455575271"/>
      <w:bookmarkStart w:id="1021" w:name="_Toc455575985"/>
      <w:bookmarkStart w:id="1022" w:name="_Toc455576699"/>
      <w:bookmarkStart w:id="1023" w:name="_Toc356322611"/>
      <w:bookmarkStart w:id="1024" w:name="_Toc357718678"/>
      <w:bookmarkStart w:id="1025" w:name="_Toc396573851"/>
      <w:bookmarkStart w:id="1026" w:name="_Toc419992306"/>
      <w:bookmarkStart w:id="1027" w:name="_Toc453367628"/>
      <w:bookmarkStart w:id="1028" w:name="_Toc457603965"/>
      <w:bookmarkEnd w:id="1013"/>
      <w:bookmarkEnd w:id="1014"/>
      <w:bookmarkEnd w:id="1015"/>
      <w:bookmarkEnd w:id="1016"/>
      <w:bookmarkEnd w:id="1017"/>
      <w:bookmarkEnd w:id="1018"/>
      <w:bookmarkEnd w:id="1019"/>
      <w:bookmarkEnd w:id="1020"/>
      <w:bookmarkEnd w:id="1021"/>
      <w:bookmarkEnd w:id="1022"/>
      <w:r w:rsidRPr="00C60AD1">
        <w:t>REVENUE FROM SALE OF ELECTRICITY</w:t>
      </w:r>
      <w:bookmarkEnd w:id="1023"/>
      <w:bookmarkEnd w:id="1024"/>
      <w:bookmarkEnd w:id="1025"/>
      <w:bookmarkEnd w:id="1026"/>
      <w:bookmarkEnd w:id="1027"/>
      <w:bookmarkEnd w:id="1028"/>
    </w:p>
    <w:p w:rsidR="006C63AF" w:rsidRDefault="00C34658" w:rsidP="006C63AF">
      <w:pPr>
        <w:pStyle w:val="Heading3"/>
        <w:tabs>
          <w:tab w:val="clear" w:pos="720"/>
        </w:tabs>
        <w:spacing w:after="240"/>
        <w:ind w:left="994" w:hanging="994"/>
        <w:rPr>
          <w:lang w:eastAsia="en-IN"/>
        </w:rPr>
      </w:pPr>
      <w:bookmarkStart w:id="1029" w:name="_Toc357349105"/>
      <w:bookmarkStart w:id="1030" w:name="_Toc357356164"/>
      <w:r w:rsidRPr="00C60AD1">
        <w:t xml:space="preserve">For FY </w:t>
      </w:r>
      <w:r>
        <w:t>2016-17</w:t>
      </w:r>
      <w:r w:rsidRPr="00C60AD1">
        <w:t xml:space="preserve">, the Petitioner has estimated the revenue from existing tariffs to </w:t>
      </w:r>
      <w:r w:rsidRPr="00C60AD1">
        <w:rPr>
          <w:lang w:eastAsia="en-IN"/>
        </w:rPr>
        <w:t xml:space="preserve">the tune of Rs. </w:t>
      </w:r>
      <w:r>
        <w:rPr>
          <w:lang w:eastAsia="en-IN"/>
        </w:rPr>
        <w:t>10,456.65</w:t>
      </w:r>
      <w:r w:rsidRPr="00C60AD1">
        <w:rPr>
          <w:lang w:eastAsia="en-IN"/>
        </w:rPr>
        <w:t xml:space="preserve"> Crore, i.e., based on approved Tariff as per Tariff Order dated </w:t>
      </w:r>
      <w:r>
        <w:rPr>
          <w:lang w:eastAsia="en-IN"/>
        </w:rPr>
        <w:t>June 18, 2015</w:t>
      </w:r>
      <w:r w:rsidRPr="00C60AD1">
        <w:rPr>
          <w:lang w:eastAsia="en-IN"/>
        </w:rPr>
        <w:t>.</w:t>
      </w:r>
    </w:p>
    <w:p w:rsidR="00D5771F" w:rsidRDefault="00C34658">
      <w:pPr>
        <w:pStyle w:val="Heading3"/>
        <w:tabs>
          <w:tab w:val="clear" w:pos="720"/>
        </w:tabs>
        <w:spacing w:after="240"/>
        <w:ind w:left="993" w:hanging="993"/>
        <w:rPr>
          <w:b/>
        </w:rPr>
      </w:pPr>
      <w:r w:rsidRPr="00C60AD1">
        <w:rPr>
          <w:lang w:eastAsia="en-IN"/>
        </w:rPr>
        <w:t xml:space="preserve">The Commission has computed the revenue at existing tariffs by applying the tariff rates as per Tariff Order dated </w:t>
      </w:r>
      <w:r>
        <w:rPr>
          <w:lang w:eastAsia="en-IN"/>
        </w:rPr>
        <w:t>June 18, 2015</w:t>
      </w:r>
      <w:r w:rsidRPr="00C60AD1">
        <w:rPr>
          <w:lang w:eastAsia="en-IN"/>
        </w:rPr>
        <w:t xml:space="preserve"> to the approved consumption for FY </w:t>
      </w:r>
      <w:r>
        <w:rPr>
          <w:lang w:eastAsia="en-IN"/>
        </w:rPr>
        <w:t>2016-17</w:t>
      </w:r>
      <w:r w:rsidRPr="00C60AD1">
        <w:rPr>
          <w:lang w:eastAsia="en-IN"/>
        </w:rPr>
        <w:t xml:space="preserve">. </w:t>
      </w:r>
      <w:r w:rsidRPr="00C60AD1">
        <w:t xml:space="preserve">Further, the Commission has also approved tariffs and computed resultant revenue by applying the approved tariff rates to the approved consumption parameters for FY </w:t>
      </w:r>
      <w:r>
        <w:t>2016-17</w:t>
      </w:r>
      <w:r w:rsidRPr="00C60AD1">
        <w:t xml:space="preserve">. </w:t>
      </w:r>
      <w:r w:rsidR="005A0D5A">
        <w:rPr>
          <w:rFonts w:asciiTheme="minorHAnsi" w:hAnsiTheme="minorHAnsi"/>
        </w:rPr>
        <w:t xml:space="preserve">The Commission has also observed that the Petitioner has projected sales for the LMV-1 bulk supply category at a very lower level as compared to the previous year giving rise to an abnormal Average Billing Rate (ABR). Thus the Commission has </w:t>
      </w:r>
      <w:r w:rsidR="005A0D5A">
        <w:rPr>
          <w:rFonts w:asciiTheme="minorHAnsi" w:hAnsiTheme="minorHAnsi"/>
        </w:rPr>
        <w:lastRenderedPageBreak/>
        <w:t>considered the approved Average Billing Rate (ABR) of the FY 2015</w:t>
      </w:r>
      <w:r w:rsidR="00B45411">
        <w:rPr>
          <w:rFonts w:asciiTheme="minorHAnsi" w:hAnsiTheme="minorHAnsi"/>
        </w:rPr>
        <w:t>-</w:t>
      </w:r>
      <w:r w:rsidR="005A0D5A">
        <w:rPr>
          <w:rFonts w:asciiTheme="minorHAnsi" w:hAnsiTheme="minorHAnsi"/>
        </w:rPr>
        <w:t xml:space="preserve">16 to calculate the revenue for that particular category of consumers. </w:t>
      </w:r>
      <w:r w:rsidRPr="00C60AD1">
        <w:t xml:space="preserve">The following Table summarizes the revenue approved by Commission for FY </w:t>
      </w:r>
      <w:r>
        <w:t>2016-17</w:t>
      </w:r>
      <w:r w:rsidRPr="00C60AD1">
        <w:t xml:space="preserve"> at both existing as well as revised tariffs.</w:t>
      </w:r>
    </w:p>
    <w:p w:rsidR="00C34658" w:rsidRPr="00C60AD1" w:rsidRDefault="00C34658" w:rsidP="00C34658">
      <w:pPr>
        <w:jc w:val="center"/>
        <w:rPr>
          <w:rFonts w:cstheme="minorHAnsi"/>
          <w:b/>
          <w:sz w:val="22"/>
        </w:rPr>
      </w:pPr>
      <w:bookmarkStart w:id="1031" w:name="_Toc338310721"/>
      <w:bookmarkStart w:id="1032" w:name="_Toc338419551"/>
      <w:bookmarkStart w:id="1033" w:name="_Toc357718760"/>
      <w:bookmarkStart w:id="1034" w:name="_Toc395657982"/>
      <w:bookmarkStart w:id="1035" w:name="_Toc396574033"/>
      <w:bookmarkStart w:id="1036" w:name="_Toc419992329"/>
      <w:bookmarkStart w:id="1037" w:name="_Toc453367711"/>
      <w:bookmarkStart w:id="1038" w:name="_Toc457604081"/>
      <w:bookmarkEnd w:id="1029"/>
      <w:bookmarkEnd w:id="1030"/>
      <w:r w:rsidRPr="00C60AD1">
        <w:rPr>
          <w:rFonts w:cstheme="minorHAnsi"/>
          <w:b/>
          <w:sz w:val="22"/>
        </w:rPr>
        <w:t xml:space="preserve">Table </w:t>
      </w:r>
      <w:r w:rsidR="009741CA" w:rsidRPr="00C60AD1">
        <w:rPr>
          <w:rFonts w:cstheme="minorHAnsi"/>
          <w:b/>
          <w:sz w:val="22"/>
        </w:rPr>
        <w:fldChar w:fldCharType="begin"/>
      </w:r>
      <w:r w:rsidRPr="00C60AD1">
        <w:rPr>
          <w:rFonts w:cstheme="minorHAnsi"/>
          <w:b/>
          <w:sz w:val="22"/>
        </w:rPr>
        <w:instrText xml:space="preserve"> STYLEREF 1 \s </w:instrText>
      </w:r>
      <w:r w:rsidR="009741CA" w:rsidRPr="00C60AD1">
        <w:rPr>
          <w:rFonts w:cstheme="minorHAnsi"/>
          <w:b/>
          <w:sz w:val="22"/>
        </w:rPr>
        <w:fldChar w:fldCharType="separate"/>
      </w:r>
      <w:r w:rsidR="00BA08F0">
        <w:rPr>
          <w:rFonts w:cstheme="minorHAnsi"/>
          <w:b/>
          <w:noProof/>
          <w:sz w:val="22"/>
        </w:rPr>
        <w:t>5</w:t>
      </w:r>
      <w:r w:rsidR="009741CA" w:rsidRPr="00C60AD1">
        <w:rPr>
          <w:rFonts w:cstheme="minorHAnsi"/>
          <w:b/>
          <w:sz w:val="22"/>
        </w:rPr>
        <w:fldChar w:fldCharType="end"/>
      </w:r>
      <w:r w:rsidRPr="00C60AD1">
        <w:rPr>
          <w:rFonts w:cstheme="minorHAnsi"/>
          <w:b/>
          <w:sz w:val="22"/>
        </w:rPr>
        <w:noBreakHyphen/>
      </w:r>
      <w:r w:rsidR="009741CA" w:rsidRPr="00C60AD1">
        <w:rPr>
          <w:rFonts w:cstheme="minorHAnsi"/>
          <w:b/>
          <w:sz w:val="22"/>
        </w:rPr>
        <w:fldChar w:fldCharType="begin"/>
      </w:r>
      <w:r w:rsidRPr="00C60AD1">
        <w:rPr>
          <w:rFonts w:cstheme="minorHAnsi"/>
          <w:b/>
          <w:sz w:val="22"/>
        </w:rPr>
        <w:instrText xml:space="preserve"> SEQ Table \* ARABIC \s 1 </w:instrText>
      </w:r>
      <w:r w:rsidR="009741CA" w:rsidRPr="00C60AD1">
        <w:rPr>
          <w:rFonts w:cstheme="minorHAnsi"/>
          <w:b/>
          <w:sz w:val="22"/>
        </w:rPr>
        <w:fldChar w:fldCharType="separate"/>
      </w:r>
      <w:r w:rsidR="00BA08F0">
        <w:rPr>
          <w:rFonts w:cstheme="minorHAnsi"/>
          <w:b/>
          <w:noProof/>
          <w:sz w:val="22"/>
        </w:rPr>
        <w:t>65</w:t>
      </w:r>
      <w:r w:rsidR="009741CA" w:rsidRPr="00C60AD1">
        <w:rPr>
          <w:rFonts w:cstheme="minorHAnsi"/>
          <w:b/>
          <w:sz w:val="22"/>
        </w:rPr>
        <w:fldChar w:fldCharType="end"/>
      </w:r>
      <w:r w:rsidRPr="00C60AD1">
        <w:rPr>
          <w:rFonts w:cstheme="minorHAnsi"/>
          <w:b/>
          <w:sz w:val="22"/>
        </w:rPr>
        <w:t xml:space="preserve">: EXISTING &amp; APPROVED TARIFF REVENUES: FY </w:t>
      </w:r>
      <w:r>
        <w:rPr>
          <w:rFonts w:cstheme="minorHAnsi"/>
          <w:b/>
          <w:sz w:val="22"/>
        </w:rPr>
        <w:t>2016-17</w:t>
      </w:r>
      <w:r w:rsidRPr="00C60AD1">
        <w:rPr>
          <w:rFonts w:cstheme="minorHAnsi"/>
          <w:b/>
          <w:sz w:val="22"/>
        </w:rPr>
        <w:t xml:space="preserve"> (Rs. Crore)</w:t>
      </w:r>
      <w:bookmarkEnd w:id="1031"/>
      <w:bookmarkEnd w:id="1032"/>
      <w:bookmarkEnd w:id="1033"/>
      <w:bookmarkEnd w:id="1034"/>
      <w:bookmarkEnd w:id="1035"/>
      <w:bookmarkEnd w:id="1036"/>
      <w:bookmarkEnd w:id="1037"/>
      <w:bookmarkEnd w:id="1038"/>
    </w:p>
    <w:tbl>
      <w:tblPr>
        <w:tblW w:w="4439" w:type="pct"/>
        <w:jc w:val="center"/>
        <w:tblInd w:w="10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288"/>
        <w:gridCol w:w="2300"/>
        <w:gridCol w:w="2300"/>
      </w:tblGrid>
      <w:tr w:rsidR="00C34658" w:rsidRPr="009A328F" w:rsidTr="008A6163">
        <w:trPr>
          <w:trHeight w:val="125"/>
          <w:tblHeader/>
          <w:jc w:val="center"/>
        </w:trPr>
        <w:tc>
          <w:tcPr>
            <w:tcW w:w="2084" w:type="pct"/>
            <w:shd w:val="clear" w:color="000000" w:fill="DBE5F1"/>
            <w:noWrap/>
            <w:hideMark/>
          </w:tcPr>
          <w:p w:rsidR="00D5771F" w:rsidRDefault="006D5313">
            <w:pPr>
              <w:spacing w:before="0" w:line="240" w:lineRule="auto"/>
              <w:jc w:val="center"/>
              <w:rPr>
                <w:rFonts w:asciiTheme="minorHAnsi" w:hAnsiTheme="minorHAnsi" w:cstheme="minorHAnsi"/>
                <w:b/>
                <w:sz w:val="22"/>
                <w:szCs w:val="22"/>
              </w:rPr>
            </w:pPr>
            <w:r>
              <w:rPr>
                <w:rFonts w:asciiTheme="minorHAnsi" w:hAnsiTheme="minorHAnsi" w:cstheme="minorHAnsi"/>
                <w:b/>
                <w:sz w:val="22"/>
                <w:szCs w:val="22"/>
              </w:rPr>
              <w:t>Consumer Categories</w:t>
            </w:r>
          </w:p>
        </w:tc>
        <w:tc>
          <w:tcPr>
            <w:tcW w:w="1458" w:type="pct"/>
            <w:shd w:val="clear" w:color="000000" w:fill="DBE5F1"/>
            <w:hideMark/>
          </w:tcPr>
          <w:p w:rsidR="00D5771F" w:rsidRDefault="006D5313">
            <w:pPr>
              <w:spacing w:before="0" w:line="240" w:lineRule="auto"/>
              <w:jc w:val="center"/>
              <w:rPr>
                <w:rFonts w:asciiTheme="minorHAnsi" w:hAnsiTheme="minorHAnsi" w:cstheme="minorHAnsi"/>
                <w:b/>
                <w:sz w:val="22"/>
                <w:szCs w:val="22"/>
              </w:rPr>
            </w:pPr>
            <w:r>
              <w:rPr>
                <w:rFonts w:asciiTheme="minorHAnsi" w:hAnsiTheme="minorHAnsi" w:cstheme="minorHAnsi"/>
                <w:b/>
                <w:sz w:val="22"/>
                <w:szCs w:val="22"/>
              </w:rPr>
              <w:t>Approved</w:t>
            </w:r>
          </w:p>
          <w:p w:rsidR="00D5771F" w:rsidRDefault="006D5313">
            <w:pPr>
              <w:spacing w:before="0" w:line="240" w:lineRule="auto"/>
              <w:jc w:val="center"/>
              <w:rPr>
                <w:rFonts w:asciiTheme="minorHAnsi" w:hAnsiTheme="minorHAnsi" w:cstheme="minorHAnsi"/>
                <w:b/>
                <w:sz w:val="22"/>
                <w:szCs w:val="22"/>
              </w:rPr>
            </w:pPr>
            <w:r>
              <w:rPr>
                <w:rFonts w:asciiTheme="minorHAnsi" w:hAnsiTheme="minorHAnsi" w:cstheme="minorHAnsi"/>
                <w:b/>
                <w:sz w:val="22"/>
                <w:szCs w:val="22"/>
              </w:rPr>
              <w:t>(At Existing Tariff)</w:t>
            </w:r>
          </w:p>
        </w:tc>
        <w:tc>
          <w:tcPr>
            <w:tcW w:w="1458" w:type="pct"/>
            <w:shd w:val="clear" w:color="000000" w:fill="DBE5F1"/>
            <w:hideMark/>
          </w:tcPr>
          <w:p w:rsidR="00D5771F" w:rsidRDefault="006D5313">
            <w:pPr>
              <w:spacing w:before="0" w:line="240" w:lineRule="auto"/>
              <w:jc w:val="center"/>
              <w:rPr>
                <w:rFonts w:asciiTheme="minorHAnsi" w:hAnsiTheme="minorHAnsi" w:cstheme="minorHAnsi"/>
                <w:b/>
                <w:sz w:val="22"/>
                <w:szCs w:val="22"/>
              </w:rPr>
            </w:pPr>
            <w:r>
              <w:rPr>
                <w:rFonts w:asciiTheme="minorHAnsi" w:hAnsiTheme="minorHAnsi" w:cstheme="minorHAnsi"/>
                <w:b/>
                <w:sz w:val="22"/>
                <w:szCs w:val="22"/>
              </w:rPr>
              <w:t>Approved</w:t>
            </w:r>
          </w:p>
          <w:p w:rsidR="00D5771F" w:rsidRDefault="006D5313">
            <w:pPr>
              <w:spacing w:before="0" w:line="240" w:lineRule="auto"/>
              <w:jc w:val="center"/>
              <w:rPr>
                <w:rFonts w:asciiTheme="minorHAnsi" w:hAnsiTheme="minorHAnsi" w:cstheme="minorHAnsi"/>
                <w:b/>
                <w:sz w:val="22"/>
                <w:szCs w:val="22"/>
              </w:rPr>
            </w:pPr>
            <w:r>
              <w:rPr>
                <w:rFonts w:asciiTheme="minorHAnsi" w:hAnsiTheme="minorHAnsi" w:cstheme="minorHAnsi"/>
                <w:b/>
                <w:sz w:val="22"/>
                <w:szCs w:val="22"/>
              </w:rPr>
              <w:t>(At Revised Tariff)</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LMV-1: Domestic</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3,249.05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3,249.05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LMV-2:Non-Domestic</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807.29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852.22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LMV-3: Public Lamps</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171.66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176.42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LMV-4: Institutions</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390.34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404.81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LMV-5: Private Tube Wells</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778.94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778.94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LMV 6: Small and Medium Power</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691.94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719.81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LMV-7: Public Water Works</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415.48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451.72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LMV-8: State Tube Wells</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599.22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634.27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LMV-9: Temporary Supply</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40.45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44.64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LMV-10: Departmental Employees</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25.15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26.95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HV-1: Non-Industrial Bulk Loads</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339.09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365.45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HV-2: Large and Heavy Power</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2,200.95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2,200.95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HV-3: Railway Traction</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475.89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508.86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HV-4: Lift Irrigation</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130.18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139.15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b/>
                <w:sz w:val="22"/>
                <w:szCs w:val="22"/>
                <w:lang w:val="en-US"/>
              </w:rPr>
            </w:pPr>
            <w:r>
              <w:rPr>
                <w:rFonts w:asciiTheme="minorHAnsi" w:eastAsia="Calibri" w:hAnsiTheme="minorHAnsi" w:cstheme="minorHAnsi"/>
                <w:b/>
                <w:sz w:val="22"/>
                <w:szCs w:val="22"/>
                <w:lang w:val="en-US"/>
              </w:rPr>
              <w:t>Sub-total</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
                <w:sz w:val="22"/>
                <w:szCs w:val="22"/>
              </w:rPr>
            </w:pPr>
            <w:r w:rsidRPr="00E34329">
              <w:rPr>
                <w:color w:val="000000"/>
                <w:sz w:val="22"/>
                <w:szCs w:val="22"/>
              </w:rPr>
              <w:t xml:space="preserve">              10,315.65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b/>
                <w:color w:val="000000"/>
                <w:sz w:val="22"/>
                <w:szCs w:val="22"/>
              </w:rPr>
            </w:pPr>
            <w:r w:rsidRPr="00E34329">
              <w:rPr>
                <w:color w:val="000000"/>
                <w:sz w:val="22"/>
                <w:szCs w:val="22"/>
              </w:rPr>
              <w:t xml:space="preserve">              10,553.24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sz w:val="22"/>
                <w:szCs w:val="22"/>
                <w:lang w:val="en-US"/>
              </w:rPr>
            </w:pPr>
            <w:r>
              <w:rPr>
                <w:rFonts w:asciiTheme="minorHAnsi" w:eastAsia="Calibri" w:hAnsiTheme="minorHAnsi" w:cstheme="minorHAnsi"/>
                <w:sz w:val="22"/>
                <w:szCs w:val="22"/>
                <w:lang w:val="en-US"/>
              </w:rPr>
              <w:t>Extra state &amp; Bulk</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Cs/>
                <w:sz w:val="22"/>
                <w:szCs w:val="22"/>
              </w:rPr>
            </w:pPr>
            <w:r w:rsidRPr="00E34329">
              <w:rPr>
                <w:color w:val="000000"/>
                <w:sz w:val="22"/>
                <w:szCs w:val="22"/>
              </w:rPr>
              <w:t xml:space="preserve">                             -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color w:val="000000"/>
                <w:sz w:val="22"/>
                <w:szCs w:val="22"/>
              </w:rPr>
            </w:pPr>
            <w:r w:rsidRPr="00E34329">
              <w:rPr>
                <w:color w:val="000000"/>
                <w:sz w:val="22"/>
                <w:szCs w:val="22"/>
              </w:rPr>
              <w:t xml:space="preserve">                             -   </w:t>
            </w:r>
          </w:p>
        </w:tc>
      </w:tr>
      <w:tr w:rsidR="005A0D5A" w:rsidRPr="009A328F" w:rsidTr="009A328F">
        <w:trPr>
          <w:trHeight w:val="255"/>
          <w:jc w:val="center"/>
        </w:trPr>
        <w:tc>
          <w:tcPr>
            <w:tcW w:w="2084" w:type="pct"/>
            <w:shd w:val="clear" w:color="auto" w:fill="auto"/>
            <w:noWrap/>
            <w:vAlign w:val="center"/>
            <w:hideMark/>
          </w:tcPr>
          <w:p w:rsidR="00D5771F" w:rsidRDefault="005A0D5A">
            <w:pPr>
              <w:spacing w:before="0" w:line="240" w:lineRule="auto"/>
              <w:rPr>
                <w:rFonts w:asciiTheme="minorHAnsi" w:hAnsiTheme="minorHAnsi" w:cstheme="minorHAnsi"/>
                <w:b/>
                <w:sz w:val="22"/>
                <w:szCs w:val="22"/>
                <w:lang w:val="en-US"/>
              </w:rPr>
            </w:pPr>
            <w:r>
              <w:rPr>
                <w:rFonts w:asciiTheme="minorHAnsi" w:eastAsia="Calibri" w:hAnsiTheme="minorHAnsi" w:cstheme="minorHAnsi"/>
                <w:b/>
                <w:sz w:val="22"/>
                <w:szCs w:val="22"/>
                <w:lang w:val="en-US"/>
              </w:rPr>
              <w:t>Total</w:t>
            </w:r>
          </w:p>
        </w:tc>
        <w:tc>
          <w:tcPr>
            <w:tcW w:w="1458" w:type="pct"/>
            <w:shd w:val="clear" w:color="auto" w:fill="auto"/>
            <w:noWrap/>
            <w:vAlign w:val="center"/>
            <w:hideMark/>
          </w:tcPr>
          <w:p w:rsidR="00D5771F" w:rsidRDefault="00E34329">
            <w:pPr>
              <w:spacing w:before="0" w:line="240" w:lineRule="auto"/>
              <w:jc w:val="right"/>
              <w:rPr>
                <w:rFonts w:asciiTheme="minorHAnsi" w:hAnsiTheme="minorHAnsi" w:cstheme="minorHAnsi"/>
                <w:b/>
                <w:sz w:val="22"/>
                <w:szCs w:val="22"/>
              </w:rPr>
            </w:pPr>
            <w:r w:rsidRPr="00E34329">
              <w:rPr>
                <w:color w:val="000000"/>
                <w:sz w:val="22"/>
                <w:szCs w:val="22"/>
              </w:rPr>
              <w:t xml:space="preserve">              10,315.65 </w:t>
            </w:r>
          </w:p>
        </w:tc>
        <w:tc>
          <w:tcPr>
            <w:tcW w:w="1458" w:type="pct"/>
            <w:shd w:val="clear" w:color="auto" w:fill="auto"/>
            <w:vAlign w:val="center"/>
            <w:hideMark/>
          </w:tcPr>
          <w:p w:rsidR="00D5771F" w:rsidRDefault="00E34329">
            <w:pPr>
              <w:spacing w:before="0" w:line="240" w:lineRule="auto"/>
              <w:jc w:val="right"/>
              <w:rPr>
                <w:rFonts w:asciiTheme="minorHAnsi" w:hAnsiTheme="minorHAnsi" w:cs="Calibri"/>
                <w:b/>
                <w:color w:val="000000"/>
                <w:sz w:val="22"/>
                <w:szCs w:val="22"/>
              </w:rPr>
            </w:pPr>
            <w:r w:rsidRPr="00E34329">
              <w:rPr>
                <w:color w:val="000000"/>
                <w:sz w:val="22"/>
                <w:szCs w:val="22"/>
              </w:rPr>
              <w:t xml:space="preserve">              10,553.24 </w:t>
            </w:r>
          </w:p>
        </w:tc>
      </w:tr>
    </w:tbl>
    <w:p w:rsidR="00C34658" w:rsidRPr="00C60AD1" w:rsidRDefault="00C34658" w:rsidP="00C34658">
      <w:pPr>
        <w:tabs>
          <w:tab w:val="left" w:pos="864"/>
        </w:tabs>
        <w:spacing w:before="0"/>
        <w:ind w:left="720"/>
        <w:outlineLvl w:val="2"/>
        <w:rPr>
          <w:rFonts w:cs="Arial"/>
          <w:bCs/>
          <w:i/>
          <w:szCs w:val="26"/>
        </w:rPr>
      </w:pPr>
      <w:r w:rsidRPr="00C60AD1">
        <w:rPr>
          <w:rFonts w:cs="Arial"/>
          <w:b/>
          <w:bCs/>
          <w:i/>
          <w:sz w:val="22"/>
          <w:szCs w:val="26"/>
        </w:rPr>
        <w:t>Note:</w:t>
      </w:r>
      <w:r w:rsidRPr="00C60AD1">
        <w:rPr>
          <w:rFonts w:cs="Arial"/>
          <w:bCs/>
          <w:i/>
          <w:sz w:val="22"/>
          <w:szCs w:val="26"/>
        </w:rPr>
        <w:t xml:space="preserve"> Revenue at approved tariffs depicted in the table above have been considered effective for </w:t>
      </w:r>
      <w:r w:rsidR="005A0D5A">
        <w:rPr>
          <w:rFonts w:cs="Arial"/>
          <w:bCs/>
          <w:i/>
          <w:sz w:val="22"/>
          <w:szCs w:val="26"/>
        </w:rPr>
        <w:t>8</w:t>
      </w:r>
      <w:r w:rsidRPr="00C60AD1">
        <w:rPr>
          <w:rFonts w:cs="Arial"/>
          <w:bCs/>
          <w:i/>
          <w:sz w:val="22"/>
          <w:szCs w:val="26"/>
        </w:rPr>
        <w:t xml:space="preserve"> months in FY </w:t>
      </w:r>
      <w:r>
        <w:rPr>
          <w:rFonts w:cs="Arial"/>
          <w:bCs/>
          <w:i/>
          <w:sz w:val="22"/>
          <w:szCs w:val="26"/>
        </w:rPr>
        <w:t>2016-17</w:t>
      </w:r>
      <w:r w:rsidRPr="00C60AD1">
        <w:rPr>
          <w:rFonts w:cs="Arial"/>
          <w:bCs/>
          <w:i/>
          <w:sz w:val="22"/>
          <w:szCs w:val="26"/>
        </w:rPr>
        <w:t>.</w:t>
      </w:r>
    </w:p>
    <w:p w:rsidR="00C34658" w:rsidRPr="00C60AD1" w:rsidRDefault="00C34658" w:rsidP="00C34658">
      <w:pPr>
        <w:pStyle w:val="Heading4"/>
        <w:numPr>
          <w:ilvl w:val="0"/>
          <w:numId w:val="0"/>
        </w:numPr>
        <w:spacing w:before="0"/>
        <w:jc w:val="right"/>
      </w:pPr>
    </w:p>
    <w:p w:rsidR="00C34658" w:rsidRPr="00C60AD1" w:rsidRDefault="00C34658" w:rsidP="00C34658">
      <w:pPr>
        <w:pStyle w:val="Heading2"/>
        <w:numPr>
          <w:ilvl w:val="1"/>
          <w:numId w:val="16"/>
        </w:numPr>
      </w:pPr>
      <w:bookmarkStart w:id="1039" w:name="_Toc356322612"/>
      <w:bookmarkStart w:id="1040" w:name="_Toc357718679"/>
      <w:bookmarkStart w:id="1041" w:name="_Toc396573852"/>
      <w:bookmarkStart w:id="1042" w:name="_Toc419992307"/>
      <w:bookmarkStart w:id="1043" w:name="_Toc453367629"/>
      <w:bookmarkStart w:id="1044" w:name="_Toc457603966"/>
      <w:r w:rsidRPr="00C60AD1">
        <w:t>APPROVED ARR SUMMARY, REVENUE FROM TARIFFS AND RESULTANT GAP</w:t>
      </w:r>
      <w:bookmarkEnd w:id="1039"/>
      <w:bookmarkEnd w:id="1040"/>
      <w:bookmarkEnd w:id="1041"/>
      <w:bookmarkEnd w:id="1042"/>
      <w:bookmarkEnd w:id="1043"/>
      <w:bookmarkEnd w:id="1044"/>
    </w:p>
    <w:p w:rsidR="00D5771F" w:rsidRDefault="00C34658">
      <w:pPr>
        <w:pStyle w:val="Heading3"/>
        <w:tabs>
          <w:tab w:val="clear" w:pos="720"/>
        </w:tabs>
        <w:spacing w:after="240"/>
        <w:ind w:left="993" w:hanging="993"/>
      </w:pPr>
      <w:bookmarkStart w:id="1045" w:name="_Toc357349107"/>
      <w:bookmarkStart w:id="1046" w:name="_Toc357356166"/>
      <w:r w:rsidRPr="00C60AD1">
        <w:t xml:space="preserve">In the preceding Sections, the Commission has detailed the expenses submitted by the Petitioner and that approved by the Commission under various heads for FY </w:t>
      </w:r>
      <w:r>
        <w:t>2016-17</w:t>
      </w:r>
      <w:r w:rsidRPr="00C60AD1">
        <w:t xml:space="preserve">. The Commission has also approved the revenue from existing tariffs and revenue from revised tariffs. </w:t>
      </w:r>
    </w:p>
    <w:p w:rsidR="00D5771F" w:rsidRDefault="00C34658">
      <w:pPr>
        <w:pStyle w:val="Heading3"/>
        <w:tabs>
          <w:tab w:val="clear" w:pos="720"/>
        </w:tabs>
        <w:spacing w:after="240"/>
        <w:ind w:left="993" w:hanging="993"/>
      </w:pPr>
      <w:r w:rsidRPr="00C60AD1">
        <w:t xml:space="preserve">The Commission has assessed the ARR for FY </w:t>
      </w:r>
      <w:r>
        <w:t>2016-17</w:t>
      </w:r>
      <w:r w:rsidRPr="00C60AD1">
        <w:t xml:space="preserve"> on standalone basis. Based on the above, the approved ARR and the revenue from tariffs for FY </w:t>
      </w:r>
      <w:r>
        <w:t>2016-17</w:t>
      </w:r>
      <w:r w:rsidRPr="00C60AD1">
        <w:t xml:space="preserve"> are summarized in the Table below:</w:t>
      </w:r>
    </w:p>
    <w:p w:rsidR="00C34658" w:rsidRPr="00D14AAD" w:rsidRDefault="006C63AF" w:rsidP="00C34658">
      <w:pPr>
        <w:spacing w:before="0" w:line="240" w:lineRule="auto"/>
        <w:jc w:val="center"/>
        <w:rPr>
          <w:rFonts w:cstheme="minorHAnsi"/>
          <w:b/>
          <w:sz w:val="22"/>
        </w:rPr>
      </w:pPr>
      <w:bookmarkStart w:id="1047" w:name="_Toc338310722"/>
      <w:bookmarkStart w:id="1048" w:name="_Toc338419552"/>
      <w:bookmarkStart w:id="1049" w:name="_Toc357718761"/>
      <w:bookmarkStart w:id="1050" w:name="_Toc395657983"/>
      <w:bookmarkStart w:id="1051" w:name="_Toc396574035"/>
      <w:bookmarkStart w:id="1052" w:name="_Toc419992330"/>
      <w:bookmarkStart w:id="1053" w:name="_Toc453367712"/>
      <w:bookmarkStart w:id="1054" w:name="_Toc457604082"/>
      <w:bookmarkEnd w:id="1045"/>
      <w:bookmarkEnd w:id="1046"/>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5</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66</w:t>
      </w:r>
      <w:r w:rsidR="009741CA" w:rsidRPr="006C63AF">
        <w:rPr>
          <w:rFonts w:cstheme="minorHAnsi"/>
          <w:b/>
          <w:sz w:val="22"/>
        </w:rPr>
        <w:fldChar w:fldCharType="end"/>
      </w:r>
      <w:r w:rsidRPr="006C63AF">
        <w:rPr>
          <w:rFonts w:cstheme="minorHAnsi"/>
          <w:b/>
          <w:sz w:val="22"/>
        </w:rPr>
        <w:t>: ARR, REVENUE AND GAP SUMMARY FOR FY 2016-17 (Rs. Crore)</w:t>
      </w:r>
      <w:bookmarkEnd w:id="1047"/>
      <w:bookmarkEnd w:id="1048"/>
      <w:bookmarkEnd w:id="1049"/>
      <w:bookmarkEnd w:id="1050"/>
      <w:bookmarkEnd w:id="1051"/>
      <w:bookmarkEnd w:id="1052"/>
      <w:bookmarkEnd w:id="1053"/>
      <w:bookmarkEnd w:id="1054"/>
    </w:p>
    <w:tbl>
      <w:tblPr>
        <w:tblW w:w="4699" w:type="pct"/>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399"/>
        <w:gridCol w:w="1553"/>
        <w:gridCol w:w="1398"/>
      </w:tblGrid>
      <w:tr w:rsidR="00C34658" w:rsidRPr="008B2E66" w:rsidTr="008334E8">
        <w:trPr>
          <w:trHeight w:val="600"/>
          <w:tblHeader/>
        </w:trPr>
        <w:tc>
          <w:tcPr>
            <w:tcW w:w="3233" w:type="pct"/>
            <w:shd w:val="clear" w:color="000000" w:fill="DBE5F1"/>
            <w:hideMark/>
          </w:tcPr>
          <w:p w:rsidR="00603835" w:rsidRDefault="00C34658">
            <w:pPr>
              <w:spacing w:before="0" w:line="240" w:lineRule="auto"/>
              <w:jc w:val="center"/>
              <w:rPr>
                <w:rFonts w:asciiTheme="minorHAnsi" w:hAnsiTheme="minorHAnsi"/>
                <w:b/>
                <w:sz w:val="22"/>
                <w:szCs w:val="22"/>
              </w:rPr>
            </w:pPr>
            <w:r w:rsidRPr="008B2E66">
              <w:rPr>
                <w:rFonts w:asciiTheme="minorHAnsi" w:hAnsiTheme="minorHAnsi"/>
                <w:b/>
                <w:sz w:val="22"/>
                <w:szCs w:val="22"/>
              </w:rPr>
              <w:br w:type="page"/>
              <w:t>Particulars</w:t>
            </w:r>
          </w:p>
        </w:tc>
        <w:tc>
          <w:tcPr>
            <w:tcW w:w="930" w:type="pct"/>
            <w:shd w:val="clear" w:color="000000" w:fill="DBE5F1"/>
            <w:hideMark/>
          </w:tcPr>
          <w:p w:rsidR="00603835" w:rsidRDefault="00C34658">
            <w:pPr>
              <w:spacing w:before="0" w:line="240" w:lineRule="auto"/>
              <w:jc w:val="center"/>
              <w:rPr>
                <w:rFonts w:asciiTheme="minorHAnsi" w:hAnsiTheme="minorHAnsi"/>
                <w:b/>
                <w:sz w:val="22"/>
                <w:szCs w:val="22"/>
              </w:rPr>
            </w:pPr>
            <w:r w:rsidRPr="008B2E66">
              <w:rPr>
                <w:rFonts w:asciiTheme="minorHAnsi" w:hAnsiTheme="minorHAnsi"/>
                <w:b/>
                <w:sz w:val="22"/>
                <w:szCs w:val="22"/>
              </w:rPr>
              <w:t>Petition</w:t>
            </w:r>
          </w:p>
        </w:tc>
        <w:tc>
          <w:tcPr>
            <w:tcW w:w="837" w:type="pct"/>
            <w:shd w:val="clear" w:color="000000" w:fill="DBE5F1"/>
            <w:hideMark/>
          </w:tcPr>
          <w:p w:rsidR="00603835" w:rsidRDefault="00C34658">
            <w:pPr>
              <w:spacing w:before="0" w:line="240" w:lineRule="auto"/>
              <w:jc w:val="center"/>
              <w:rPr>
                <w:rFonts w:asciiTheme="minorHAnsi" w:hAnsiTheme="minorHAnsi"/>
                <w:b/>
                <w:sz w:val="22"/>
                <w:szCs w:val="22"/>
              </w:rPr>
            </w:pPr>
            <w:r w:rsidRPr="008B2E66">
              <w:rPr>
                <w:rFonts w:asciiTheme="minorHAnsi" w:hAnsiTheme="minorHAnsi"/>
                <w:b/>
                <w:sz w:val="22"/>
                <w:szCs w:val="22"/>
              </w:rPr>
              <w:t>FY 2016-17 (Approved)</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lastRenderedPageBreak/>
              <w:t>Power Purchase Expenses (including PGCIL charges)</w:t>
            </w:r>
          </w:p>
        </w:tc>
        <w:tc>
          <w:tcPr>
            <w:tcW w:w="930" w:type="pct"/>
            <w:shd w:val="clear" w:color="auto" w:fill="auto"/>
            <w:noWrap/>
            <w:hideMark/>
          </w:tcPr>
          <w:p w:rsidR="00C34658" w:rsidRPr="008B0C65" w:rsidRDefault="00C34658" w:rsidP="00D55642">
            <w:pPr>
              <w:spacing w:before="0" w:line="240" w:lineRule="auto"/>
              <w:jc w:val="right"/>
              <w:rPr>
                <w:rFonts w:asciiTheme="minorHAnsi" w:hAnsiTheme="minorHAnsi" w:cs="Calibri"/>
                <w:sz w:val="22"/>
                <w:szCs w:val="22"/>
              </w:rPr>
            </w:pPr>
            <w:r w:rsidRPr="008B0C65">
              <w:rPr>
                <w:rFonts w:asciiTheme="minorHAnsi" w:hAnsiTheme="minorHAnsi"/>
                <w:sz w:val="22"/>
                <w:szCs w:val="22"/>
              </w:rPr>
              <w:t>12</w:t>
            </w:r>
            <w:r w:rsidR="00CE3572">
              <w:rPr>
                <w:rFonts w:asciiTheme="minorHAnsi" w:hAnsiTheme="minorHAnsi"/>
                <w:sz w:val="22"/>
                <w:szCs w:val="22"/>
              </w:rPr>
              <w:t>,</w:t>
            </w:r>
            <w:r w:rsidRPr="008B0C65">
              <w:rPr>
                <w:rFonts w:asciiTheme="minorHAnsi" w:hAnsiTheme="minorHAnsi"/>
                <w:sz w:val="22"/>
                <w:szCs w:val="22"/>
              </w:rPr>
              <w:t>331.90</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Pr>
                <w:rFonts w:asciiTheme="minorHAnsi" w:hAnsiTheme="minorHAnsi"/>
                <w:color w:val="000000"/>
                <w:sz w:val="22"/>
                <w:szCs w:val="22"/>
              </w:rPr>
              <w:t>11,498.75</w:t>
            </w:r>
          </w:p>
        </w:tc>
      </w:tr>
      <w:tr w:rsidR="00C34658" w:rsidRPr="008B2E66" w:rsidTr="00D55642">
        <w:trPr>
          <w:trHeight w:val="503"/>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Apportionment of O&amp;M Expenses &amp; Interest &amp; Finance Charges of UPPCL</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sz w:val="22"/>
                <w:szCs w:val="22"/>
              </w:rPr>
            </w:pPr>
            <w:r w:rsidRPr="008B0C65">
              <w:rPr>
                <w:rFonts w:asciiTheme="minorHAnsi" w:hAnsiTheme="minorHAnsi"/>
                <w:sz w:val="22"/>
                <w:szCs w:val="22"/>
              </w:rPr>
              <w:t>40.02</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sz w:val="22"/>
                <w:szCs w:val="22"/>
              </w:rPr>
            </w:pPr>
            <w:r w:rsidRPr="008B0C65">
              <w:rPr>
                <w:rFonts w:asciiTheme="minorHAnsi" w:hAnsiTheme="minorHAnsi"/>
                <w:sz w:val="22"/>
                <w:szCs w:val="22"/>
              </w:rPr>
              <w:t>0.00</w:t>
            </w:r>
          </w:p>
        </w:tc>
      </w:tr>
      <w:tr w:rsidR="00C34658" w:rsidRPr="008B2E66" w:rsidTr="00013BE5">
        <w:trPr>
          <w:trHeight w:val="300"/>
        </w:trPr>
        <w:tc>
          <w:tcPr>
            <w:tcW w:w="3233" w:type="pct"/>
            <w:shd w:val="clear" w:color="auto" w:fill="auto"/>
            <w:hideMark/>
          </w:tcPr>
          <w:p w:rsidR="00D5771F" w:rsidRDefault="00C34658">
            <w:pPr>
              <w:spacing w:before="0" w:line="240" w:lineRule="auto"/>
              <w:jc w:val="left"/>
              <w:rPr>
                <w:rFonts w:asciiTheme="minorHAnsi" w:hAnsiTheme="minorHAnsi"/>
                <w:sz w:val="22"/>
                <w:szCs w:val="22"/>
              </w:rPr>
            </w:pPr>
            <w:r w:rsidRPr="008B2E66">
              <w:rPr>
                <w:rFonts w:asciiTheme="minorHAnsi" w:hAnsiTheme="minorHAnsi"/>
                <w:sz w:val="22"/>
                <w:szCs w:val="22"/>
              </w:rPr>
              <w:t>Transmission Charges - Intra state (including SLDC Charges)</w:t>
            </w:r>
          </w:p>
        </w:tc>
        <w:tc>
          <w:tcPr>
            <w:tcW w:w="930" w:type="pct"/>
            <w:shd w:val="clear" w:color="auto" w:fill="auto"/>
            <w:noWrap/>
            <w:vAlign w:val="center"/>
            <w:hideMark/>
          </w:tcPr>
          <w:p w:rsidR="00D5771F" w:rsidRDefault="00C34658">
            <w:pPr>
              <w:spacing w:before="0" w:line="240" w:lineRule="auto"/>
              <w:jc w:val="right"/>
              <w:rPr>
                <w:rFonts w:asciiTheme="minorHAnsi" w:hAnsiTheme="minorHAnsi" w:cs="Calibri"/>
                <w:sz w:val="22"/>
                <w:szCs w:val="22"/>
              </w:rPr>
            </w:pPr>
            <w:r w:rsidRPr="008B0C65">
              <w:rPr>
                <w:rFonts w:asciiTheme="minorHAnsi" w:hAnsiTheme="minorHAnsi"/>
                <w:sz w:val="22"/>
                <w:szCs w:val="22"/>
              </w:rPr>
              <w:t>537.62</w:t>
            </w:r>
          </w:p>
        </w:tc>
        <w:tc>
          <w:tcPr>
            <w:tcW w:w="837" w:type="pct"/>
            <w:shd w:val="clear" w:color="auto" w:fill="auto"/>
            <w:noWrap/>
            <w:vAlign w:val="center"/>
            <w:hideMark/>
          </w:tcPr>
          <w:p w:rsidR="00D5771F" w:rsidRDefault="00C34658">
            <w:pPr>
              <w:spacing w:before="0" w:line="240" w:lineRule="auto"/>
              <w:jc w:val="right"/>
              <w:rPr>
                <w:rFonts w:asciiTheme="minorHAnsi" w:hAnsiTheme="minorHAnsi" w:cs="Calibri"/>
                <w:color w:val="000000"/>
                <w:sz w:val="22"/>
                <w:szCs w:val="22"/>
              </w:rPr>
            </w:pPr>
            <w:r>
              <w:rPr>
                <w:rFonts w:asciiTheme="minorHAnsi" w:hAnsiTheme="minorHAnsi"/>
                <w:color w:val="000000"/>
                <w:sz w:val="22"/>
                <w:szCs w:val="22"/>
              </w:rPr>
              <w:t>437.78</w:t>
            </w:r>
          </w:p>
        </w:tc>
      </w:tr>
      <w:tr w:rsidR="00C34658" w:rsidRPr="008B2E66" w:rsidTr="00D55642">
        <w:trPr>
          <w:trHeight w:val="300"/>
        </w:trPr>
        <w:tc>
          <w:tcPr>
            <w:tcW w:w="3233" w:type="pct"/>
            <w:shd w:val="clear" w:color="auto" w:fill="auto"/>
            <w:vAlign w:val="center"/>
            <w:hideMark/>
          </w:tcPr>
          <w:p w:rsidR="00D5771F" w:rsidRDefault="00C34658">
            <w:pPr>
              <w:spacing w:before="0" w:line="240" w:lineRule="auto"/>
              <w:jc w:val="left"/>
              <w:rPr>
                <w:rFonts w:asciiTheme="minorHAnsi" w:hAnsiTheme="minorHAnsi"/>
                <w:b/>
                <w:sz w:val="22"/>
                <w:szCs w:val="22"/>
              </w:rPr>
            </w:pPr>
            <w:r w:rsidRPr="008B2E66">
              <w:rPr>
                <w:rFonts w:asciiTheme="minorHAnsi" w:hAnsiTheme="minorHAnsi"/>
                <w:b/>
                <w:sz w:val="22"/>
                <w:szCs w:val="22"/>
              </w:rPr>
              <w:t>Gross O&amp;M Expenses</w:t>
            </w:r>
          </w:p>
        </w:tc>
        <w:tc>
          <w:tcPr>
            <w:tcW w:w="930" w:type="pct"/>
            <w:shd w:val="clear" w:color="auto" w:fill="auto"/>
            <w:noWrap/>
            <w:vAlign w:val="center"/>
            <w:hideMark/>
          </w:tcPr>
          <w:p w:rsidR="00C34658" w:rsidRPr="009A2DE2" w:rsidRDefault="00C34658" w:rsidP="00D55642">
            <w:pPr>
              <w:spacing w:before="0" w:line="240" w:lineRule="auto"/>
              <w:jc w:val="right"/>
              <w:rPr>
                <w:rFonts w:asciiTheme="minorHAnsi" w:hAnsiTheme="minorHAnsi" w:cs="Calibri"/>
                <w:b/>
                <w:sz w:val="22"/>
                <w:szCs w:val="22"/>
              </w:rPr>
            </w:pPr>
            <w:r w:rsidRPr="00FA7B1E">
              <w:rPr>
                <w:rFonts w:asciiTheme="minorHAnsi" w:hAnsiTheme="minorHAnsi"/>
                <w:b/>
                <w:sz w:val="22"/>
                <w:szCs w:val="22"/>
              </w:rPr>
              <w:t>809.05</w:t>
            </w:r>
          </w:p>
        </w:tc>
        <w:tc>
          <w:tcPr>
            <w:tcW w:w="837" w:type="pct"/>
            <w:shd w:val="clear" w:color="auto" w:fill="auto"/>
            <w:noWrap/>
            <w:vAlign w:val="center"/>
            <w:hideMark/>
          </w:tcPr>
          <w:p w:rsidR="00C34658" w:rsidRPr="009A2DE2" w:rsidRDefault="00C34658" w:rsidP="00D55642">
            <w:pPr>
              <w:spacing w:before="0" w:line="240" w:lineRule="auto"/>
              <w:jc w:val="right"/>
              <w:rPr>
                <w:rFonts w:asciiTheme="minorHAnsi" w:hAnsiTheme="minorHAnsi" w:cs="Calibri"/>
                <w:b/>
                <w:sz w:val="22"/>
                <w:szCs w:val="22"/>
              </w:rPr>
            </w:pPr>
            <w:r w:rsidRPr="00FA7B1E">
              <w:rPr>
                <w:rFonts w:asciiTheme="minorHAnsi" w:hAnsiTheme="minorHAnsi"/>
                <w:b/>
                <w:sz w:val="22"/>
                <w:szCs w:val="22"/>
              </w:rPr>
              <w:t>718.58</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Gross Employee cost</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sz w:val="22"/>
                <w:szCs w:val="22"/>
              </w:rPr>
            </w:pPr>
            <w:r w:rsidRPr="008B0C65">
              <w:rPr>
                <w:rFonts w:asciiTheme="minorHAnsi" w:hAnsiTheme="minorHAnsi"/>
                <w:sz w:val="22"/>
                <w:szCs w:val="22"/>
              </w:rPr>
              <w:t>323.42</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4</w:t>
            </w:r>
            <w:r>
              <w:rPr>
                <w:rFonts w:asciiTheme="minorHAnsi" w:hAnsiTheme="minorHAnsi"/>
                <w:color w:val="000000"/>
                <w:sz w:val="22"/>
                <w:szCs w:val="22"/>
              </w:rPr>
              <w:t>15.15</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Gross A&amp;G expenses</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sz w:val="22"/>
                <w:szCs w:val="22"/>
              </w:rPr>
            </w:pPr>
            <w:r w:rsidRPr="008B0C65">
              <w:rPr>
                <w:rFonts w:asciiTheme="minorHAnsi" w:hAnsiTheme="minorHAnsi"/>
                <w:sz w:val="22"/>
                <w:szCs w:val="22"/>
              </w:rPr>
              <w:t>107.83</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6</w:t>
            </w:r>
            <w:r>
              <w:rPr>
                <w:rFonts w:asciiTheme="minorHAnsi" w:hAnsiTheme="minorHAnsi"/>
                <w:color w:val="000000"/>
                <w:sz w:val="22"/>
                <w:szCs w:val="22"/>
              </w:rPr>
              <w:t>4.61</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Gross R&amp;M expenses</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sz w:val="22"/>
                <w:szCs w:val="22"/>
              </w:rPr>
            </w:pPr>
            <w:r w:rsidRPr="008B0C65">
              <w:rPr>
                <w:rFonts w:asciiTheme="minorHAnsi" w:hAnsiTheme="minorHAnsi"/>
                <w:sz w:val="22"/>
                <w:szCs w:val="22"/>
              </w:rPr>
              <w:t>377.80</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23</w:t>
            </w:r>
            <w:r>
              <w:rPr>
                <w:rFonts w:asciiTheme="minorHAnsi" w:hAnsiTheme="minorHAnsi"/>
                <w:color w:val="000000"/>
                <w:sz w:val="22"/>
                <w:szCs w:val="22"/>
              </w:rPr>
              <w:t>8.83</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Gross Interest &amp; Finance charges</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sz w:val="22"/>
                <w:szCs w:val="22"/>
              </w:rPr>
            </w:pPr>
            <w:r w:rsidRPr="008B0C65">
              <w:rPr>
                <w:rFonts w:asciiTheme="minorHAnsi" w:hAnsiTheme="minorHAnsi"/>
                <w:sz w:val="22"/>
                <w:szCs w:val="22"/>
              </w:rPr>
              <w:t>690.05</w:t>
            </w:r>
          </w:p>
        </w:tc>
        <w:tc>
          <w:tcPr>
            <w:tcW w:w="837" w:type="pct"/>
            <w:shd w:val="clear" w:color="auto" w:fill="auto"/>
            <w:noWrap/>
            <w:vAlign w:val="center"/>
            <w:hideMark/>
          </w:tcPr>
          <w:p w:rsidR="00D5771F" w:rsidRDefault="00C34658">
            <w:pPr>
              <w:spacing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53</w:t>
            </w:r>
            <w:r>
              <w:rPr>
                <w:rFonts w:asciiTheme="minorHAnsi" w:hAnsiTheme="minorHAnsi"/>
                <w:color w:val="000000"/>
                <w:sz w:val="22"/>
                <w:szCs w:val="22"/>
              </w:rPr>
              <w:t>9.</w:t>
            </w:r>
            <w:r w:rsidR="00C439B2">
              <w:rPr>
                <w:rFonts w:asciiTheme="minorHAnsi" w:hAnsiTheme="minorHAnsi"/>
                <w:color w:val="000000"/>
                <w:sz w:val="22"/>
                <w:szCs w:val="22"/>
              </w:rPr>
              <w:t>22</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Depreciation</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448.32</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2</w:t>
            </w:r>
            <w:r>
              <w:rPr>
                <w:rFonts w:asciiTheme="minorHAnsi" w:hAnsiTheme="minorHAnsi"/>
                <w:color w:val="000000"/>
                <w:sz w:val="22"/>
                <w:szCs w:val="22"/>
              </w:rPr>
              <w:t>93.83</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b/>
                <w:sz w:val="22"/>
                <w:szCs w:val="22"/>
              </w:rPr>
            </w:pPr>
            <w:r w:rsidRPr="008B2E66">
              <w:rPr>
                <w:rFonts w:asciiTheme="minorHAnsi" w:hAnsiTheme="minorHAnsi"/>
                <w:b/>
                <w:sz w:val="22"/>
                <w:szCs w:val="22"/>
              </w:rPr>
              <w:t>Total Expenditure</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b/>
                <w:bCs/>
                <w:color w:val="000000"/>
                <w:sz w:val="22"/>
                <w:szCs w:val="22"/>
              </w:rPr>
            </w:pPr>
            <w:r w:rsidRPr="008B0C65">
              <w:rPr>
                <w:rFonts w:asciiTheme="minorHAnsi" w:hAnsiTheme="minorHAnsi"/>
                <w:b/>
                <w:bCs/>
                <w:color w:val="000000"/>
                <w:sz w:val="22"/>
                <w:szCs w:val="22"/>
              </w:rPr>
              <w:t>14</w:t>
            </w:r>
            <w:r>
              <w:rPr>
                <w:rFonts w:asciiTheme="minorHAnsi" w:hAnsiTheme="minorHAnsi"/>
                <w:b/>
                <w:bCs/>
                <w:color w:val="000000"/>
                <w:sz w:val="22"/>
                <w:szCs w:val="22"/>
              </w:rPr>
              <w:t>,</w:t>
            </w:r>
            <w:r w:rsidRPr="008B0C65">
              <w:rPr>
                <w:rFonts w:asciiTheme="minorHAnsi" w:hAnsiTheme="minorHAnsi"/>
                <w:b/>
                <w:bCs/>
                <w:color w:val="000000"/>
                <w:sz w:val="22"/>
                <w:szCs w:val="22"/>
              </w:rPr>
              <w:t>856.9</w:t>
            </w:r>
            <w:r w:rsidR="00CA501E">
              <w:rPr>
                <w:rFonts w:asciiTheme="minorHAnsi" w:hAnsiTheme="minorHAnsi"/>
                <w:b/>
                <w:bCs/>
                <w:color w:val="000000"/>
                <w:sz w:val="22"/>
                <w:szCs w:val="22"/>
              </w:rPr>
              <w:t>6</w:t>
            </w:r>
          </w:p>
        </w:tc>
        <w:tc>
          <w:tcPr>
            <w:tcW w:w="837" w:type="pct"/>
            <w:shd w:val="clear" w:color="auto" w:fill="auto"/>
            <w:noWrap/>
            <w:vAlign w:val="center"/>
            <w:hideMark/>
          </w:tcPr>
          <w:p w:rsidR="00D5771F" w:rsidRDefault="00C34658">
            <w:pPr>
              <w:spacing w:before="0" w:line="240" w:lineRule="auto"/>
              <w:jc w:val="right"/>
              <w:rPr>
                <w:rFonts w:asciiTheme="minorHAnsi" w:hAnsiTheme="minorHAnsi"/>
                <w:b/>
                <w:bCs/>
                <w:color w:val="000000"/>
                <w:sz w:val="22"/>
                <w:szCs w:val="22"/>
              </w:rPr>
            </w:pPr>
            <w:r w:rsidRPr="008B0C65">
              <w:rPr>
                <w:rFonts w:asciiTheme="minorHAnsi" w:hAnsiTheme="minorHAnsi"/>
                <w:b/>
                <w:bCs/>
                <w:color w:val="000000"/>
                <w:sz w:val="22"/>
                <w:szCs w:val="22"/>
              </w:rPr>
              <w:t>13</w:t>
            </w:r>
            <w:r>
              <w:rPr>
                <w:rFonts w:asciiTheme="minorHAnsi" w:hAnsiTheme="minorHAnsi"/>
                <w:b/>
                <w:bCs/>
                <w:color w:val="000000"/>
                <w:sz w:val="22"/>
                <w:szCs w:val="22"/>
              </w:rPr>
              <w:t>,488.</w:t>
            </w:r>
            <w:r w:rsidR="00C439B2">
              <w:rPr>
                <w:rFonts w:asciiTheme="minorHAnsi" w:hAnsiTheme="minorHAnsi"/>
                <w:b/>
                <w:bCs/>
                <w:color w:val="000000"/>
                <w:sz w:val="22"/>
                <w:szCs w:val="22"/>
              </w:rPr>
              <w:t>1</w:t>
            </w:r>
            <w:r w:rsidR="00BF7B34">
              <w:rPr>
                <w:rFonts w:asciiTheme="minorHAnsi" w:hAnsiTheme="minorHAnsi"/>
                <w:b/>
                <w:bCs/>
                <w:color w:val="000000"/>
                <w:sz w:val="22"/>
                <w:szCs w:val="22"/>
              </w:rPr>
              <w:t>7</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Expense capitalization</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b/>
                <w:bCs/>
                <w:color w:val="000000"/>
                <w:sz w:val="22"/>
                <w:szCs w:val="22"/>
              </w:rPr>
            </w:pPr>
            <w:r w:rsidRPr="008B0C65">
              <w:rPr>
                <w:rFonts w:asciiTheme="minorHAnsi" w:hAnsiTheme="minorHAnsi"/>
                <w:b/>
                <w:bCs/>
                <w:color w:val="000000"/>
                <w:sz w:val="22"/>
                <w:szCs w:val="22"/>
              </w:rPr>
              <w:t>177.78</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b/>
                <w:bCs/>
                <w:color w:val="000000"/>
                <w:sz w:val="22"/>
                <w:szCs w:val="22"/>
              </w:rPr>
            </w:pPr>
            <w:r w:rsidRPr="008B0C65">
              <w:rPr>
                <w:rFonts w:asciiTheme="minorHAnsi" w:hAnsiTheme="minorHAnsi"/>
                <w:b/>
                <w:bCs/>
                <w:color w:val="000000"/>
                <w:sz w:val="22"/>
                <w:szCs w:val="22"/>
              </w:rPr>
              <w:t>1</w:t>
            </w:r>
            <w:r>
              <w:rPr>
                <w:rFonts w:asciiTheme="minorHAnsi" w:hAnsiTheme="minorHAnsi" w:cs="Calibri"/>
                <w:b/>
                <w:bCs/>
                <w:color w:val="000000"/>
                <w:sz w:val="22"/>
                <w:szCs w:val="22"/>
              </w:rPr>
              <w:t>50.30</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b/>
                <w:sz w:val="22"/>
                <w:szCs w:val="22"/>
              </w:rPr>
            </w:pPr>
            <w:r w:rsidRPr="008B2E66">
              <w:rPr>
                <w:rFonts w:asciiTheme="minorHAnsi" w:hAnsiTheme="minorHAnsi"/>
                <w:b/>
                <w:sz w:val="22"/>
                <w:szCs w:val="22"/>
              </w:rPr>
              <w:t>Net Expenditure</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b/>
                <w:bCs/>
                <w:color w:val="000000"/>
                <w:sz w:val="22"/>
                <w:szCs w:val="22"/>
              </w:rPr>
            </w:pPr>
            <w:r w:rsidRPr="008B0C65">
              <w:rPr>
                <w:rFonts w:asciiTheme="minorHAnsi" w:hAnsiTheme="minorHAnsi"/>
                <w:b/>
                <w:bCs/>
                <w:color w:val="000000"/>
                <w:sz w:val="22"/>
                <w:szCs w:val="22"/>
              </w:rPr>
              <w:t>14</w:t>
            </w:r>
            <w:r>
              <w:rPr>
                <w:rFonts w:asciiTheme="minorHAnsi" w:hAnsiTheme="minorHAnsi"/>
                <w:b/>
                <w:bCs/>
                <w:color w:val="000000"/>
                <w:sz w:val="22"/>
                <w:szCs w:val="22"/>
              </w:rPr>
              <w:t>,</w:t>
            </w:r>
            <w:r w:rsidRPr="008B0C65">
              <w:rPr>
                <w:rFonts w:asciiTheme="minorHAnsi" w:hAnsiTheme="minorHAnsi"/>
                <w:b/>
                <w:bCs/>
                <w:color w:val="000000"/>
                <w:sz w:val="22"/>
                <w:szCs w:val="22"/>
              </w:rPr>
              <w:t>679.18</w:t>
            </w:r>
          </w:p>
        </w:tc>
        <w:tc>
          <w:tcPr>
            <w:tcW w:w="837" w:type="pct"/>
            <w:shd w:val="clear" w:color="auto" w:fill="auto"/>
            <w:noWrap/>
            <w:vAlign w:val="center"/>
            <w:hideMark/>
          </w:tcPr>
          <w:p w:rsidR="00D5771F" w:rsidRDefault="00C34658">
            <w:pPr>
              <w:spacing w:before="0" w:line="240" w:lineRule="auto"/>
              <w:jc w:val="right"/>
              <w:rPr>
                <w:rFonts w:asciiTheme="minorHAnsi" w:hAnsiTheme="minorHAnsi"/>
                <w:b/>
                <w:bCs/>
                <w:color w:val="000000"/>
                <w:sz w:val="22"/>
                <w:szCs w:val="22"/>
              </w:rPr>
            </w:pPr>
            <w:r>
              <w:rPr>
                <w:rFonts w:asciiTheme="minorHAnsi" w:hAnsiTheme="minorHAnsi"/>
                <w:b/>
                <w:bCs/>
                <w:color w:val="000000"/>
                <w:sz w:val="22"/>
                <w:szCs w:val="22"/>
              </w:rPr>
              <w:t>13,33</w:t>
            </w:r>
            <w:r w:rsidR="00C439B2">
              <w:rPr>
                <w:rFonts w:asciiTheme="minorHAnsi" w:hAnsiTheme="minorHAnsi"/>
                <w:b/>
                <w:bCs/>
                <w:color w:val="000000"/>
                <w:sz w:val="22"/>
                <w:szCs w:val="22"/>
              </w:rPr>
              <w:t>7.87</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b/>
                <w:sz w:val="22"/>
                <w:szCs w:val="22"/>
              </w:rPr>
            </w:pPr>
            <w:r w:rsidRPr="008B2E66">
              <w:rPr>
                <w:rFonts w:asciiTheme="minorHAnsi" w:hAnsiTheme="minorHAnsi"/>
                <w:b/>
                <w:sz w:val="22"/>
                <w:szCs w:val="22"/>
              </w:rPr>
              <w:t>Special Appropriations</w:t>
            </w:r>
          </w:p>
        </w:tc>
        <w:tc>
          <w:tcPr>
            <w:tcW w:w="930" w:type="pct"/>
            <w:shd w:val="clear" w:color="auto" w:fill="auto"/>
            <w:vAlign w:val="center"/>
            <w:hideMark/>
          </w:tcPr>
          <w:p w:rsidR="00C34658" w:rsidRPr="008B0C65" w:rsidRDefault="00C34658" w:rsidP="00D55642">
            <w:pPr>
              <w:spacing w:before="0" w:line="240" w:lineRule="auto"/>
              <w:jc w:val="right"/>
              <w:rPr>
                <w:rFonts w:asciiTheme="minorHAnsi" w:hAnsiTheme="minorHAnsi" w:cs="Calibri"/>
                <w:b/>
                <w:bCs/>
                <w:sz w:val="22"/>
                <w:szCs w:val="22"/>
              </w:rPr>
            </w:pP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Provision for Bad &amp; Doubtful debts</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70.49</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0.00</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b/>
                <w:sz w:val="22"/>
                <w:szCs w:val="22"/>
              </w:rPr>
            </w:pPr>
            <w:r w:rsidRPr="008B2E66">
              <w:rPr>
                <w:rFonts w:asciiTheme="minorHAnsi" w:hAnsiTheme="minorHAnsi"/>
                <w:b/>
                <w:sz w:val="22"/>
                <w:szCs w:val="22"/>
              </w:rPr>
              <w:t>Total net expenditure with provisions</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b/>
                <w:bCs/>
                <w:color w:val="000000"/>
                <w:sz w:val="22"/>
                <w:szCs w:val="22"/>
              </w:rPr>
            </w:pPr>
            <w:r w:rsidRPr="008B0C65">
              <w:rPr>
                <w:rFonts w:asciiTheme="minorHAnsi" w:hAnsiTheme="minorHAnsi"/>
                <w:b/>
                <w:bCs/>
                <w:color w:val="000000"/>
                <w:sz w:val="22"/>
                <w:szCs w:val="22"/>
              </w:rPr>
              <w:t>14</w:t>
            </w:r>
            <w:r>
              <w:rPr>
                <w:rFonts w:asciiTheme="minorHAnsi" w:hAnsiTheme="minorHAnsi"/>
                <w:b/>
                <w:bCs/>
                <w:color w:val="000000"/>
                <w:sz w:val="22"/>
                <w:szCs w:val="22"/>
              </w:rPr>
              <w:t>,</w:t>
            </w:r>
            <w:r w:rsidRPr="008B0C65">
              <w:rPr>
                <w:rFonts w:asciiTheme="minorHAnsi" w:hAnsiTheme="minorHAnsi"/>
                <w:b/>
                <w:bCs/>
                <w:color w:val="000000"/>
                <w:sz w:val="22"/>
                <w:szCs w:val="22"/>
              </w:rPr>
              <w:t>749.67</w:t>
            </w:r>
          </w:p>
        </w:tc>
        <w:tc>
          <w:tcPr>
            <w:tcW w:w="837" w:type="pct"/>
            <w:shd w:val="clear" w:color="auto" w:fill="auto"/>
            <w:noWrap/>
            <w:vAlign w:val="center"/>
            <w:hideMark/>
          </w:tcPr>
          <w:p w:rsidR="00D5771F" w:rsidRDefault="00C34658">
            <w:pPr>
              <w:spacing w:before="0" w:line="240" w:lineRule="auto"/>
              <w:jc w:val="right"/>
              <w:rPr>
                <w:rFonts w:asciiTheme="minorHAnsi" w:hAnsiTheme="minorHAnsi"/>
                <w:b/>
                <w:bCs/>
                <w:color w:val="000000"/>
                <w:sz w:val="22"/>
                <w:szCs w:val="22"/>
              </w:rPr>
            </w:pPr>
            <w:r>
              <w:rPr>
                <w:rFonts w:asciiTheme="minorHAnsi" w:hAnsiTheme="minorHAnsi"/>
                <w:b/>
                <w:bCs/>
                <w:color w:val="000000"/>
                <w:sz w:val="22"/>
                <w:szCs w:val="22"/>
              </w:rPr>
              <w:t>13,33</w:t>
            </w:r>
            <w:r w:rsidR="00C439B2">
              <w:rPr>
                <w:rFonts w:asciiTheme="minorHAnsi" w:hAnsiTheme="minorHAnsi"/>
                <w:b/>
                <w:bCs/>
                <w:color w:val="000000"/>
                <w:sz w:val="22"/>
                <w:szCs w:val="22"/>
              </w:rPr>
              <w:t>7.87</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Add: Return on Equity</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0.00</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0.00</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Less: Non Tariff Income</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Pr>
                <w:rFonts w:asciiTheme="minorHAnsi" w:hAnsiTheme="minorHAnsi"/>
                <w:color w:val="000000"/>
                <w:sz w:val="22"/>
                <w:szCs w:val="22"/>
              </w:rPr>
              <w:t>4</w:t>
            </w:r>
            <w:r w:rsidRPr="008B0C65">
              <w:rPr>
                <w:rFonts w:asciiTheme="minorHAnsi" w:hAnsiTheme="minorHAnsi"/>
                <w:color w:val="000000"/>
                <w:sz w:val="22"/>
                <w:szCs w:val="22"/>
              </w:rPr>
              <w:t>0.00</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Pr>
                <w:rFonts w:asciiTheme="minorHAnsi" w:hAnsiTheme="minorHAnsi"/>
                <w:color w:val="000000"/>
                <w:sz w:val="22"/>
                <w:szCs w:val="22"/>
              </w:rPr>
              <w:t>4</w:t>
            </w:r>
            <w:r w:rsidRPr="008B0C65">
              <w:rPr>
                <w:rFonts w:asciiTheme="minorHAnsi" w:hAnsiTheme="minorHAnsi"/>
                <w:color w:val="000000"/>
                <w:sz w:val="22"/>
                <w:szCs w:val="22"/>
              </w:rPr>
              <w:t>0.00</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b/>
                <w:sz w:val="22"/>
                <w:szCs w:val="22"/>
              </w:rPr>
            </w:pPr>
            <w:r w:rsidRPr="008B2E66">
              <w:rPr>
                <w:rFonts w:asciiTheme="minorHAnsi" w:hAnsiTheme="minorHAnsi"/>
                <w:b/>
                <w:sz w:val="22"/>
                <w:szCs w:val="22"/>
              </w:rPr>
              <w:t>Annual Revenue Requirement (ARR)</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b/>
                <w:bCs/>
                <w:color w:val="000000"/>
                <w:sz w:val="22"/>
                <w:szCs w:val="22"/>
              </w:rPr>
            </w:pPr>
            <w:r w:rsidRPr="008B0C65">
              <w:rPr>
                <w:rFonts w:asciiTheme="minorHAnsi" w:hAnsiTheme="minorHAnsi"/>
                <w:b/>
                <w:bCs/>
                <w:color w:val="000000"/>
                <w:sz w:val="22"/>
                <w:szCs w:val="22"/>
              </w:rPr>
              <w:t>14</w:t>
            </w:r>
            <w:r>
              <w:rPr>
                <w:rFonts w:asciiTheme="minorHAnsi" w:hAnsiTheme="minorHAnsi"/>
                <w:b/>
                <w:bCs/>
                <w:color w:val="000000"/>
                <w:sz w:val="22"/>
                <w:szCs w:val="22"/>
              </w:rPr>
              <w:t>,</w:t>
            </w:r>
            <w:r w:rsidRPr="008B0C65">
              <w:rPr>
                <w:rFonts w:asciiTheme="minorHAnsi" w:hAnsiTheme="minorHAnsi"/>
                <w:b/>
                <w:bCs/>
                <w:color w:val="000000"/>
                <w:sz w:val="22"/>
                <w:szCs w:val="22"/>
              </w:rPr>
              <w:t>709.67</w:t>
            </w:r>
          </w:p>
        </w:tc>
        <w:tc>
          <w:tcPr>
            <w:tcW w:w="837" w:type="pct"/>
            <w:shd w:val="clear" w:color="auto" w:fill="auto"/>
            <w:noWrap/>
            <w:vAlign w:val="center"/>
            <w:hideMark/>
          </w:tcPr>
          <w:p w:rsidR="00D5771F" w:rsidRDefault="00C34658">
            <w:pPr>
              <w:spacing w:before="0" w:line="240" w:lineRule="auto"/>
              <w:jc w:val="right"/>
              <w:rPr>
                <w:rFonts w:asciiTheme="minorHAnsi" w:hAnsiTheme="minorHAnsi"/>
                <w:b/>
                <w:bCs/>
                <w:color w:val="000000"/>
                <w:sz w:val="22"/>
                <w:szCs w:val="22"/>
              </w:rPr>
            </w:pPr>
            <w:r w:rsidRPr="008B0C65">
              <w:rPr>
                <w:rFonts w:asciiTheme="minorHAnsi" w:hAnsiTheme="minorHAnsi"/>
                <w:b/>
                <w:bCs/>
                <w:color w:val="000000"/>
                <w:sz w:val="22"/>
                <w:szCs w:val="22"/>
              </w:rPr>
              <w:t>13</w:t>
            </w:r>
            <w:r>
              <w:rPr>
                <w:rFonts w:asciiTheme="minorHAnsi" w:hAnsiTheme="minorHAnsi"/>
                <w:b/>
                <w:bCs/>
                <w:color w:val="000000"/>
                <w:sz w:val="22"/>
                <w:szCs w:val="22"/>
              </w:rPr>
              <w:t>,29</w:t>
            </w:r>
            <w:r w:rsidR="00C439B2">
              <w:rPr>
                <w:rFonts w:asciiTheme="minorHAnsi" w:hAnsiTheme="minorHAnsi"/>
                <w:b/>
                <w:bCs/>
                <w:color w:val="000000"/>
                <w:sz w:val="22"/>
                <w:szCs w:val="22"/>
              </w:rPr>
              <w:t>7.87</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Less: Subsidy from Govt.</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sz w:val="22"/>
                <w:szCs w:val="22"/>
              </w:rPr>
            </w:pPr>
            <w:r w:rsidRPr="008B0C65">
              <w:rPr>
                <w:rFonts w:asciiTheme="minorHAnsi" w:hAnsiTheme="minorHAnsi"/>
                <w:sz w:val="22"/>
                <w:szCs w:val="22"/>
              </w:rPr>
              <w:t>1</w:t>
            </w:r>
            <w:r w:rsidR="00CE3572">
              <w:rPr>
                <w:rFonts w:asciiTheme="minorHAnsi" w:hAnsiTheme="minorHAnsi"/>
                <w:sz w:val="22"/>
                <w:szCs w:val="22"/>
              </w:rPr>
              <w:t>,</w:t>
            </w:r>
            <w:r w:rsidRPr="008B0C65">
              <w:rPr>
                <w:rFonts w:asciiTheme="minorHAnsi" w:hAnsiTheme="minorHAnsi"/>
                <w:sz w:val="22"/>
                <w:szCs w:val="22"/>
              </w:rPr>
              <w:t>142.73</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color w:val="000000"/>
                <w:sz w:val="22"/>
                <w:szCs w:val="22"/>
              </w:rPr>
            </w:pPr>
            <w:r w:rsidRPr="008B0C65">
              <w:rPr>
                <w:rFonts w:asciiTheme="minorHAnsi" w:hAnsiTheme="minorHAnsi"/>
                <w:color w:val="000000"/>
                <w:sz w:val="22"/>
                <w:szCs w:val="22"/>
              </w:rPr>
              <w:t>1</w:t>
            </w:r>
            <w:r w:rsidR="00CE3572">
              <w:rPr>
                <w:rFonts w:asciiTheme="minorHAnsi" w:hAnsiTheme="minorHAnsi"/>
                <w:color w:val="000000"/>
                <w:sz w:val="22"/>
                <w:szCs w:val="22"/>
              </w:rPr>
              <w:t>,</w:t>
            </w:r>
            <w:r w:rsidRPr="008B0C65">
              <w:rPr>
                <w:rFonts w:asciiTheme="minorHAnsi" w:hAnsiTheme="minorHAnsi"/>
                <w:color w:val="000000"/>
                <w:sz w:val="22"/>
                <w:szCs w:val="22"/>
              </w:rPr>
              <w:t>142.73</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b/>
                <w:sz w:val="22"/>
                <w:szCs w:val="22"/>
              </w:rPr>
            </w:pPr>
            <w:r w:rsidRPr="008B2E66">
              <w:rPr>
                <w:rFonts w:asciiTheme="minorHAnsi" w:hAnsiTheme="minorHAnsi"/>
                <w:b/>
                <w:sz w:val="22"/>
                <w:szCs w:val="22"/>
              </w:rPr>
              <w:t>Annual Revenue Requirement after GoUP Subsidy (ARR)</w:t>
            </w:r>
          </w:p>
        </w:tc>
        <w:tc>
          <w:tcPr>
            <w:tcW w:w="930" w:type="pct"/>
            <w:shd w:val="clear" w:color="auto" w:fill="auto"/>
            <w:noWrap/>
            <w:vAlign w:val="center"/>
            <w:hideMark/>
          </w:tcPr>
          <w:p w:rsidR="00D5771F" w:rsidRDefault="00C34658">
            <w:pPr>
              <w:spacing w:before="0" w:line="240" w:lineRule="auto"/>
              <w:jc w:val="right"/>
              <w:rPr>
                <w:rFonts w:asciiTheme="minorHAnsi" w:hAnsiTheme="minorHAnsi" w:cs="Calibri"/>
                <w:b/>
                <w:bCs/>
                <w:color w:val="000000"/>
                <w:sz w:val="22"/>
                <w:szCs w:val="22"/>
              </w:rPr>
            </w:pPr>
            <w:r w:rsidRPr="008B0C65">
              <w:rPr>
                <w:rFonts w:asciiTheme="minorHAnsi" w:hAnsiTheme="minorHAnsi"/>
                <w:b/>
                <w:bCs/>
                <w:color w:val="000000"/>
                <w:sz w:val="22"/>
                <w:szCs w:val="22"/>
              </w:rPr>
              <w:t>13</w:t>
            </w:r>
            <w:r>
              <w:rPr>
                <w:rFonts w:asciiTheme="minorHAnsi" w:hAnsiTheme="minorHAnsi"/>
                <w:b/>
                <w:bCs/>
                <w:color w:val="000000"/>
                <w:sz w:val="22"/>
                <w:szCs w:val="22"/>
              </w:rPr>
              <w:t>,</w:t>
            </w:r>
            <w:r w:rsidRPr="008B0C65">
              <w:rPr>
                <w:rFonts w:asciiTheme="minorHAnsi" w:hAnsiTheme="minorHAnsi"/>
                <w:b/>
                <w:bCs/>
                <w:color w:val="000000"/>
                <w:sz w:val="22"/>
                <w:szCs w:val="22"/>
              </w:rPr>
              <w:t>566.9</w:t>
            </w:r>
            <w:r w:rsidR="005A0D5A">
              <w:rPr>
                <w:rFonts w:asciiTheme="minorHAnsi" w:hAnsiTheme="minorHAnsi"/>
                <w:b/>
                <w:bCs/>
                <w:color w:val="000000"/>
                <w:sz w:val="22"/>
                <w:szCs w:val="22"/>
              </w:rPr>
              <w:t>3</w:t>
            </w:r>
          </w:p>
        </w:tc>
        <w:tc>
          <w:tcPr>
            <w:tcW w:w="837" w:type="pct"/>
            <w:shd w:val="clear" w:color="auto" w:fill="auto"/>
            <w:noWrap/>
            <w:vAlign w:val="center"/>
            <w:hideMark/>
          </w:tcPr>
          <w:p w:rsidR="00D5771F" w:rsidRDefault="00C34658">
            <w:pPr>
              <w:spacing w:before="0" w:line="240" w:lineRule="auto"/>
              <w:jc w:val="right"/>
              <w:rPr>
                <w:rFonts w:asciiTheme="minorHAnsi" w:hAnsiTheme="minorHAnsi"/>
                <w:b/>
                <w:bCs/>
                <w:color w:val="000000"/>
                <w:sz w:val="22"/>
                <w:szCs w:val="22"/>
              </w:rPr>
            </w:pPr>
            <w:r w:rsidRPr="008B0C65">
              <w:rPr>
                <w:rFonts w:asciiTheme="minorHAnsi" w:hAnsiTheme="minorHAnsi"/>
                <w:b/>
                <w:bCs/>
                <w:color w:val="000000"/>
                <w:sz w:val="22"/>
                <w:szCs w:val="22"/>
              </w:rPr>
              <w:t>12</w:t>
            </w:r>
            <w:r w:rsidR="00CE3572">
              <w:rPr>
                <w:rFonts w:asciiTheme="minorHAnsi" w:hAnsiTheme="minorHAnsi"/>
                <w:b/>
                <w:bCs/>
                <w:color w:val="000000"/>
                <w:sz w:val="22"/>
                <w:szCs w:val="22"/>
              </w:rPr>
              <w:t>,</w:t>
            </w:r>
            <w:r w:rsidRPr="00852DB7">
              <w:rPr>
                <w:rFonts w:asciiTheme="minorHAnsi" w:hAnsiTheme="minorHAnsi"/>
                <w:b/>
                <w:bCs/>
                <w:color w:val="000000"/>
                <w:sz w:val="22"/>
                <w:szCs w:val="22"/>
              </w:rPr>
              <w:t>1</w:t>
            </w:r>
            <w:r>
              <w:rPr>
                <w:rFonts w:asciiTheme="minorHAnsi" w:hAnsiTheme="minorHAnsi"/>
                <w:b/>
                <w:bCs/>
                <w:color w:val="000000"/>
                <w:sz w:val="22"/>
                <w:szCs w:val="22"/>
              </w:rPr>
              <w:t>55.</w:t>
            </w:r>
            <w:r w:rsidR="00C439B2">
              <w:rPr>
                <w:rFonts w:asciiTheme="minorHAnsi" w:hAnsiTheme="minorHAnsi"/>
                <w:b/>
                <w:bCs/>
                <w:color w:val="000000"/>
                <w:sz w:val="22"/>
                <w:szCs w:val="22"/>
              </w:rPr>
              <w:t>14</w:t>
            </w:r>
          </w:p>
        </w:tc>
      </w:tr>
      <w:tr w:rsidR="00C34658" w:rsidRPr="008B2E66" w:rsidTr="00D55642">
        <w:trPr>
          <w:trHeight w:val="300"/>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Total Revenue Requirement</w:t>
            </w:r>
          </w:p>
        </w:tc>
        <w:tc>
          <w:tcPr>
            <w:tcW w:w="930" w:type="pct"/>
            <w:shd w:val="clear" w:color="auto" w:fill="auto"/>
            <w:noWrap/>
            <w:vAlign w:val="center"/>
            <w:hideMark/>
          </w:tcPr>
          <w:p w:rsidR="00C34658" w:rsidRPr="008B0C65" w:rsidRDefault="00C34658" w:rsidP="00D55642">
            <w:pPr>
              <w:spacing w:before="0" w:line="240" w:lineRule="auto"/>
              <w:jc w:val="right"/>
              <w:rPr>
                <w:rFonts w:asciiTheme="minorHAnsi" w:hAnsiTheme="minorHAnsi" w:cs="Calibri"/>
                <w:bCs/>
                <w:color w:val="000000"/>
                <w:sz w:val="22"/>
                <w:szCs w:val="22"/>
              </w:rPr>
            </w:pPr>
            <w:r w:rsidRPr="008B0C65">
              <w:rPr>
                <w:rFonts w:asciiTheme="minorHAnsi" w:hAnsiTheme="minorHAnsi"/>
                <w:b/>
                <w:bCs/>
                <w:color w:val="000000"/>
                <w:sz w:val="22"/>
                <w:szCs w:val="22"/>
              </w:rPr>
              <w:t>13</w:t>
            </w:r>
            <w:r w:rsidR="00CE3572">
              <w:rPr>
                <w:rFonts w:asciiTheme="minorHAnsi" w:hAnsiTheme="minorHAnsi"/>
                <w:b/>
                <w:bCs/>
                <w:color w:val="000000"/>
                <w:sz w:val="22"/>
                <w:szCs w:val="22"/>
              </w:rPr>
              <w:t>,</w:t>
            </w:r>
            <w:r w:rsidRPr="008B0C65">
              <w:rPr>
                <w:rFonts w:asciiTheme="minorHAnsi" w:hAnsiTheme="minorHAnsi"/>
                <w:b/>
                <w:bCs/>
                <w:color w:val="000000"/>
                <w:sz w:val="22"/>
                <w:szCs w:val="22"/>
              </w:rPr>
              <w:t>566.9</w:t>
            </w:r>
            <w:r w:rsidR="005A0D5A">
              <w:rPr>
                <w:rFonts w:asciiTheme="minorHAnsi" w:hAnsiTheme="minorHAnsi"/>
                <w:b/>
                <w:bCs/>
                <w:color w:val="000000"/>
                <w:sz w:val="22"/>
                <w:szCs w:val="22"/>
              </w:rPr>
              <w:t>3</w:t>
            </w:r>
          </w:p>
        </w:tc>
        <w:tc>
          <w:tcPr>
            <w:tcW w:w="837" w:type="pct"/>
            <w:shd w:val="clear" w:color="auto" w:fill="auto"/>
            <w:noWrap/>
            <w:vAlign w:val="center"/>
            <w:hideMark/>
          </w:tcPr>
          <w:p w:rsidR="00C34658" w:rsidRPr="008B0C65" w:rsidRDefault="00C34658" w:rsidP="00D55642">
            <w:pPr>
              <w:spacing w:before="0" w:line="240" w:lineRule="auto"/>
              <w:jc w:val="right"/>
              <w:rPr>
                <w:rFonts w:asciiTheme="minorHAnsi" w:hAnsiTheme="minorHAnsi"/>
                <w:b/>
                <w:bCs/>
                <w:color w:val="000000"/>
                <w:sz w:val="22"/>
                <w:szCs w:val="22"/>
              </w:rPr>
            </w:pPr>
            <w:r w:rsidRPr="008B0C65">
              <w:rPr>
                <w:rFonts w:asciiTheme="minorHAnsi" w:hAnsiTheme="minorHAnsi"/>
                <w:b/>
                <w:bCs/>
                <w:color w:val="000000"/>
                <w:sz w:val="22"/>
                <w:szCs w:val="22"/>
              </w:rPr>
              <w:t>12</w:t>
            </w:r>
            <w:r w:rsidR="00CE3572">
              <w:rPr>
                <w:rFonts w:asciiTheme="minorHAnsi" w:hAnsiTheme="minorHAnsi"/>
                <w:b/>
                <w:bCs/>
                <w:color w:val="000000"/>
                <w:sz w:val="22"/>
                <w:szCs w:val="22"/>
              </w:rPr>
              <w:t>,</w:t>
            </w:r>
            <w:r w:rsidRPr="00852DB7">
              <w:rPr>
                <w:rFonts w:asciiTheme="minorHAnsi" w:hAnsiTheme="minorHAnsi"/>
                <w:b/>
                <w:bCs/>
                <w:color w:val="000000"/>
                <w:sz w:val="22"/>
                <w:szCs w:val="22"/>
              </w:rPr>
              <w:t>1</w:t>
            </w:r>
            <w:r>
              <w:rPr>
                <w:rFonts w:asciiTheme="minorHAnsi" w:hAnsiTheme="minorHAnsi"/>
                <w:b/>
                <w:bCs/>
                <w:color w:val="000000"/>
                <w:sz w:val="22"/>
                <w:szCs w:val="22"/>
              </w:rPr>
              <w:t>55.</w:t>
            </w:r>
            <w:r w:rsidR="00C439B2">
              <w:rPr>
                <w:rFonts w:asciiTheme="minorHAnsi" w:hAnsiTheme="minorHAnsi"/>
                <w:b/>
                <w:bCs/>
                <w:color w:val="000000"/>
                <w:sz w:val="22"/>
                <w:szCs w:val="22"/>
              </w:rPr>
              <w:t>14</w:t>
            </w:r>
          </w:p>
        </w:tc>
      </w:tr>
      <w:tr w:rsidR="00C34658" w:rsidRPr="008B2E66" w:rsidTr="00D55642">
        <w:trPr>
          <w:trHeight w:val="332"/>
        </w:trPr>
        <w:tc>
          <w:tcPr>
            <w:tcW w:w="3233" w:type="pct"/>
            <w:shd w:val="clear" w:color="auto" w:fill="auto"/>
            <w:vAlign w:val="center"/>
            <w:hideMark/>
          </w:tcPr>
          <w:p w:rsidR="00C34658" w:rsidRDefault="00C34658" w:rsidP="00D55642">
            <w:pPr>
              <w:spacing w:before="0" w:line="240" w:lineRule="auto"/>
              <w:jc w:val="left"/>
              <w:rPr>
                <w:rFonts w:asciiTheme="minorHAnsi" w:hAnsiTheme="minorHAnsi"/>
                <w:sz w:val="22"/>
                <w:szCs w:val="22"/>
              </w:rPr>
            </w:pPr>
            <w:r w:rsidRPr="008B2E66">
              <w:rPr>
                <w:rFonts w:asciiTheme="minorHAnsi" w:hAnsiTheme="minorHAnsi"/>
                <w:sz w:val="22"/>
                <w:szCs w:val="22"/>
              </w:rPr>
              <w:t>Revenue at existing tariffs</w:t>
            </w:r>
          </w:p>
        </w:tc>
        <w:tc>
          <w:tcPr>
            <w:tcW w:w="930" w:type="pct"/>
            <w:shd w:val="clear" w:color="auto" w:fill="auto"/>
            <w:noWrap/>
            <w:vAlign w:val="center"/>
            <w:hideMark/>
          </w:tcPr>
          <w:p w:rsidR="00C34658" w:rsidRDefault="00C34658" w:rsidP="00D55642">
            <w:pPr>
              <w:spacing w:before="0" w:line="240" w:lineRule="auto"/>
              <w:jc w:val="right"/>
              <w:rPr>
                <w:rFonts w:asciiTheme="minorHAnsi" w:hAnsiTheme="minorHAnsi"/>
                <w:sz w:val="22"/>
                <w:szCs w:val="22"/>
              </w:rPr>
            </w:pPr>
            <w:r w:rsidRPr="008B0C65">
              <w:rPr>
                <w:rFonts w:asciiTheme="minorHAnsi" w:hAnsiTheme="minorHAnsi"/>
                <w:color w:val="000000"/>
                <w:sz w:val="22"/>
                <w:szCs w:val="22"/>
              </w:rPr>
              <w:t>10</w:t>
            </w:r>
            <w:r w:rsidR="00CE3572">
              <w:rPr>
                <w:rFonts w:asciiTheme="minorHAnsi" w:hAnsiTheme="minorHAnsi"/>
                <w:color w:val="000000"/>
                <w:sz w:val="22"/>
                <w:szCs w:val="22"/>
              </w:rPr>
              <w:t>,</w:t>
            </w:r>
            <w:r w:rsidRPr="008B0C65">
              <w:rPr>
                <w:rFonts w:asciiTheme="minorHAnsi" w:hAnsiTheme="minorHAnsi"/>
                <w:color w:val="000000"/>
                <w:sz w:val="22"/>
                <w:szCs w:val="22"/>
              </w:rPr>
              <w:t>456.65</w:t>
            </w:r>
          </w:p>
        </w:tc>
        <w:tc>
          <w:tcPr>
            <w:tcW w:w="837" w:type="pct"/>
            <w:shd w:val="clear" w:color="auto" w:fill="auto"/>
            <w:noWrap/>
            <w:vAlign w:val="center"/>
            <w:hideMark/>
          </w:tcPr>
          <w:p w:rsidR="00D5771F" w:rsidRDefault="00C34658">
            <w:pPr>
              <w:spacing w:before="0" w:line="240" w:lineRule="auto"/>
              <w:jc w:val="right"/>
              <w:rPr>
                <w:rFonts w:asciiTheme="minorHAnsi" w:hAnsiTheme="minorHAnsi"/>
                <w:color w:val="000000"/>
                <w:sz w:val="22"/>
                <w:szCs w:val="22"/>
              </w:rPr>
            </w:pPr>
            <w:r w:rsidRPr="00DB21D8">
              <w:rPr>
                <w:rFonts w:asciiTheme="minorHAnsi" w:hAnsiTheme="minorHAnsi"/>
                <w:color w:val="000000"/>
                <w:sz w:val="22"/>
                <w:szCs w:val="22"/>
              </w:rPr>
              <w:t>10,3</w:t>
            </w:r>
            <w:r w:rsidR="00C439B2">
              <w:rPr>
                <w:rFonts w:asciiTheme="minorHAnsi" w:hAnsiTheme="minorHAnsi"/>
                <w:color w:val="000000"/>
                <w:sz w:val="22"/>
                <w:szCs w:val="22"/>
              </w:rPr>
              <w:t>15.65</w:t>
            </w:r>
          </w:p>
        </w:tc>
      </w:tr>
      <w:tr w:rsidR="00C34658" w:rsidRPr="008B2E66" w:rsidTr="00D55642">
        <w:trPr>
          <w:trHeight w:val="300"/>
        </w:trPr>
        <w:tc>
          <w:tcPr>
            <w:tcW w:w="3233" w:type="pct"/>
            <w:shd w:val="clear" w:color="auto" w:fill="auto"/>
            <w:vAlign w:val="center"/>
            <w:hideMark/>
          </w:tcPr>
          <w:p w:rsidR="00C34658" w:rsidRPr="000F1BD8" w:rsidRDefault="001D644C" w:rsidP="00D55642">
            <w:pPr>
              <w:spacing w:before="0" w:line="240" w:lineRule="auto"/>
              <w:jc w:val="left"/>
              <w:rPr>
                <w:rFonts w:asciiTheme="minorHAnsi" w:hAnsiTheme="minorHAnsi"/>
                <w:b/>
                <w:sz w:val="22"/>
                <w:szCs w:val="22"/>
              </w:rPr>
            </w:pPr>
            <w:r w:rsidRPr="001D644C">
              <w:rPr>
                <w:rFonts w:asciiTheme="minorHAnsi" w:hAnsiTheme="minorHAnsi"/>
                <w:b/>
                <w:sz w:val="22"/>
                <w:szCs w:val="22"/>
              </w:rPr>
              <w:t>Net Gap / (Surplus) at Existing Tariff</w:t>
            </w:r>
          </w:p>
        </w:tc>
        <w:tc>
          <w:tcPr>
            <w:tcW w:w="930" w:type="pct"/>
            <w:shd w:val="clear" w:color="auto" w:fill="auto"/>
            <w:noWrap/>
            <w:vAlign w:val="center"/>
            <w:hideMark/>
          </w:tcPr>
          <w:p w:rsidR="00C34658" w:rsidRPr="000F1BD8" w:rsidRDefault="0031442C" w:rsidP="00D55642">
            <w:pPr>
              <w:spacing w:before="0" w:line="240" w:lineRule="auto"/>
              <w:jc w:val="right"/>
              <w:rPr>
                <w:rFonts w:asciiTheme="minorHAnsi" w:hAnsiTheme="minorHAnsi" w:cs="Calibri"/>
                <w:b/>
                <w:bCs/>
                <w:color w:val="000000"/>
                <w:sz w:val="22"/>
                <w:szCs w:val="22"/>
              </w:rPr>
            </w:pPr>
            <w:r w:rsidRPr="0031442C">
              <w:rPr>
                <w:rFonts w:asciiTheme="minorHAnsi" w:hAnsiTheme="minorHAnsi"/>
                <w:b/>
                <w:color w:val="000000"/>
                <w:sz w:val="22"/>
                <w:szCs w:val="22"/>
              </w:rPr>
              <w:t>3</w:t>
            </w:r>
            <w:r w:rsidR="00CE3572">
              <w:rPr>
                <w:rFonts w:asciiTheme="minorHAnsi" w:hAnsiTheme="minorHAnsi"/>
                <w:b/>
                <w:color w:val="000000"/>
                <w:sz w:val="22"/>
                <w:szCs w:val="22"/>
              </w:rPr>
              <w:t>,</w:t>
            </w:r>
            <w:r w:rsidRPr="0031442C">
              <w:rPr>
                <w:rFonts w:asciiTheme="minorHAnsi" w:hAnsiTheme="minorHAnsi"/>
                <w:b/>
                <w:color w:val="000000"/>
                <w:sz w:val="22"/>
                <w:szCs w:val="22"/>
              </w:rPr>
              <w:t>110.2</w:t>
            </w:r>
            <w:r w:rsidR="005A0D5A">
              <w:rPr>
                <w:rFonts w:asciiTheme="minorHAnsi" w:hAnsiTheme="minorHAnsi"/>
                <w:b/>
                <w:color w:val="000000"/>
                <w:sz w:val="22"/>
                <w:szCs w:val="22"/>
              </w:rPr>
              <w:t>8</w:t>
            </w:r>
          </w:p>
        </w:tc>
        <w:tc>
          <w:tcPr>
            <w:tcW w:w="837" w:type="pct"/>
            <w:shd w:val="clear" w:color="auto" w:fill="auto"/>
            <w:noWrap/>
            <w:vAlign w:val="center"/>
            <w:hideMark/>
          </w:tcPr>
          <w:p w:rsidR="00D5771F" w:rsidRDefault="0031442C">
            <w:pPr>
              <w:spacing w:before="0" w:line="240" w:lineRule="auto"/>
              <w:jc w:val="right"/>
              <w:rPr>
                <w:rFonts w:asciiTheme="minorHAnsi" w:hAnsiTheme="minorHAnsi"/>
                <w:b/>
                <w:color w:val="000000"/>
                <w:sz w:val="22"/>
                <w:szCs w:val="22"/>
              </w:rPr>
            </w:pPr>
            <w:r w:rsidRPr="0031442C">
              <w:rPr>
                <w:rFonts w:asciiTheme="minorHAnsi" w:hAnsiTheme="minorHAnsi"/>
                <w:b/>
                <w:color w:val="000000"/>
                <w:sz w:val="22"/>
                <w:szCs w:val="22"/>
              </w:rPr>
              <w:t>1,8</w:t>
            </w:r>
            <w:r w:rsidR="00C439B2">
              <w:rPr>
                <w:rFonts w:asciiTheme="minorHAnsi" w:hAnsiTheme="minorHAnsi"/>
                <w:b/>
                <w:color w:val="000000"/>
                <w:sz w:val="22"/>
                <w:szCs w:val="22"/>
              </w:rPr>
              <w:t>39.49</w:t>
            </w:r>
          </w:p>
        </w:tc>
      </w:tr>
    </w:tbl>
    <w:p w:rsidR="00C34658" w:rsidRPr="00C60AD1" w:rsidRDefault="00C34658" w:rsidP="00C34658">
      <w:pPr>
        <w:pStyle w:val="Heading3"/>
        <w:numPr>
          <w:ilvl w:val="0"/>
          <w:numId w:val="0"/>
        </w:numPr>
        <w:tabs>
          <w:tab w:val="clear" w:pos="720"/>
        </w:tabs>
        <w:spacing w:before="0"/>
        <w:ind w:left="993"/>
      </w:pPr>
    </w:p>
    <w:p w:rsidR="00D5771F" w:rsidRDefault="00C34658">
      <w:pPr>
        <w:pStyle w:val="Heading3"/>
        <w:tabs>
          <w:tab w:val="clear" w:pos="720"/>
        </w:tabs>
        <w:spacing w:before="0" w:after="240"/>
        <w:ind w:left="993" w:hanging="993"/>
      </w:pPr>
      <w:r w:rsidRPr="00C60AD1">
        <w:t>Treatment of the above approved revenue gap / (surplus) has been discussed subsequently in this Order.</w:t>
      </w:r>
    </w:p>
    <w:p w:rsidR="00D5771F" w:rsidRDefault="00C34658">
      <w:pPr>
        <w:pStyle w:val="Heading2"/>
        <w:ind w:left="990" w:hanging="990"/>
      </w:pPr>
      <w:r w:rsidRPr="00C60AD1">
        <w:br w:type="page"/>
      </w:r>
      <w:bookmarkStart w:id="1055" w:name="_Toc399320605"/>
      <w:bookmarkStart w:id="1056" w:name="_Toc399623764"/>
      <w:bookmarkStart w:id="1057" w:name="_Toc453367640"/>
    </w:p>
    <w:p w:rsidR="00D5771F" w:rsidRDefault="009B19CF">
      <w:pPr>
        <w:pStyle w:val="Heading1"/>
        <w:rPr>
          <w:rFonts w:asciiTheme="minorHAnsi" w:hAnsiTheme="minorHAnsi" w:cstheme="minorHAnsi"/>
        </w:rPr>
      </w:pPr>
      <w:bookmarkStart w:id="1058" w:name="_Toc422307093"/>
      <w:bookmarkStart w:id="1059" w:name="_Toc455311773"/>
      <w:bookmarkStart w:id="1060" w:name="_Toc457603967"/>
      <w:r w:rsidRPr="00CB5126">
        <w:rPr>
          <w:rFonts w:asciiTheme="minorHAnsi" w:hAnsiTheme="minorHAnsi" w:cstheme="minorHAnsi"/>
        </w:rPr>
        <w:lastRenderedPageBreak/>
        <w:t>OPEN ACCESS CHARGES</w:t>
      </w:r>
      <w:bookmarkEnd w:id="1058"/>
      <w:bookmarkEnd w:id="1059"/>
      <w:bookmarkEnd w:id="1060"/>
    </w:p>
    <w:p w:rsidR="009B19CF" w:rsidRPr="00CB5126" w:rsidRDefault="009B19CF" w:rsidP="009B19CF">
      <w:pPr>
        <w:pStyle w:val="Heading2"/>
        <w:numPr>
          <w:ilvl w:val="1"/>
          <w:numId w:val="30"/>
        </w:numPr>
        <w:tabs>
          <w:tab w:val="num" w:pos="360"/>
        </w:tabs>
        <w:spacing w:after="120"/>
        <w:rPr>
          <w:rFonts w:cs="Calibri"/>
        </w:rPr>
      </w:pPr>
      <w:bookmarkStart w:id="1061" w:name="_Toc397332165"/>
      <w:bookmarkStart w:id="1062" w:name="_Toc399320593"/>
      <w:bookmarkStart w:id="1063" w:name="_Toc399623752"/>
      <w:bookmarkStart w:id="1064" w:name="_Toc422161702"/>
      <w:bookmarkStart w:id="1065" w:name="_Toc422134663"/>
      <w:bookmarkStart w:id="1066" w:name="_Toc422307094"/>
      <w:bookmarkStart w:id="1067" w:name="_Toc455311774"/>
      <w:bookmarkStart w:id="1068" w:name="_Toc457603968"/>
      <w:r w:rsidRPr="00CB5126">
        <w:rPr>
          <w:rFonts w:cs="Calibri"/>
        </w:rPr>
        <w:t>BACKGROUND:</w:t>
      </w:r>
      <w:bookmarkEnd w:id="1061"/>
      <w:bookmarkEnd w:id="1062"/>
      <w:bookmarkEnd w:id="1063"/>
      <w:bookmarkEnd w:id="1064"/>
      <w:bookmarkEnd w:id="1065"/>
      <w:bookmarkEnd w:id="1066"/>
      <w:bookmarkEnd w:id="1067"/>
      <w:bookmarkEnd w:id="1068"/>
    </w:p>
    <w:p w:rsidR="009B19CF" w:rsidRPr="00CB5126" w:rsidRDefault="009B19CF" w:rsidP="009B19CF">
      <w:pPr>
        <w:pStyle w:val="Heading2"/>
        <w:numPr>
          <w:ilvl w:val="0"/>
          <w:numId w:val="0"/>
        </w:numPr>
        <w:tabs>
          <w:tab w:val="num" w:pos="360"/>
        </w:tabs>
        <w:spacing w:after="120"/>
        <w:ind w:left="780"/>
        <w:rPr>
          <w:rFonts w:cs="Calibri"/>
        </w:rPr>
      </w:pPr>
    </w:p>
    <w:p w:rsidR="00D5771F" w:rsidRDefault="009B19CF">
      <w:pPr>
        <w:pStyle w:val="Heading3"/>
        <w:tabs>
          <w:tab w:val="clear" w:pos="720"/>
        </w:tabs>
        <w:spacing w:after="240"/>
        <w:ind w:left="993" w:hanging="993"/>
        <w:rPr>
          <w:rFonts w:asciiTheme="minorHAnsi" w:hAnsiTheme="minorHAnsi"/>
          <w:bCs w:val="0"/>
          <w:szCs w:val="24"/>
        </w:rPr>
      </w:pPr>
      <w:r w:rsidRPr="00CB5126">
        <w:t>The Commission</w:t>
      </w:r>
      <w:r w:rsidRPr="007F4126">
        <w:rPr>
          <w:rFonts w:asciiTheme="minorHAnsi" w:hAnsiTheme="minorHAnsi"/>
          <w:szCs w:val="24"/>
        </w:rPr>
        <w:t>has issued Uttar Pradesh Electricity Regulatory Commission (Terms and Conditions for Open Access) Regulations, 2004 (in short ‘UPERC Open Access Regulations’) vide notification no. UPERC/Secy./Regulations/05-249 dated 7</w:t>
      </w:r>
      <w:r w:rsidRPr="007F4126">
        <w:rPr>
          <w:rFonts w:asciiTheme="minorHAnsi" w:hAnsiTheme="minorHAnsi"/>
          <w:szCs w:val="24"/>
          <w:vertAlign w:val="superscript"/>
        </w:rPr>
        <w:t>th</w:t>
      </w:r>
      <w:r w:rsidRPr="007F4126">
        <w:rPr>
          <w:rFonts w:asciiTheme="minorHAnsi" w:hAnsiTheme="minorHAnsi"/>
          <w:szCs w:val="24"/>
        </w:rPr>
        <w:t xml:space="preserve"> June, 2005 to operationalize long term and short term open access in the State. The Regulations also provides that effective from 1</w:t>
      </w:r>
      <w:r w:rsidRPr="007F4126">
        <w:rPr>
          <w:rFonts w:asciiTheme="minorHAnsi" w:hAnsiTheme="minorHAnsi"/>
          <w:szCs w:val="24"/>
          <w:vertAlign w:val="superscript"/>
        </w:rPr>
        <w:t>st</w:t>
      </w:r>
      <w:r w:rsidRPr="007F4126">
        <w:rPr>
          <w:rFonts w:asciiTheme="minorHAnsi" w:hAnsiTheme="minorHAnsi"/>
          <w:szCs w:val="24"/>
        </w:rPr>
        <w:t xml:space="preserve"> April, 2008 any consumer with demand of above 1 MW can avail open access of transmission and distribution systems.</w:t>
      </w:r>
    </w:p>
    <w:p w:rsidR="00D5771F" w:rsidRDefault="009B19CF">
      <w:pPr>
        <w:pStyle w:val="Heading3"/>
        <w:tabs>
          <w:tab w:val="clear" w:pos="720"/>
        </w:tabs>
        <w:spacing w:after="240"/>
        <w:ind w:left="993" w:hanging="993"/>
      </w:pPr>
      <w:r w:rsidRPr="007F4126">
        <w:t>Subsequently, the Commission has also made / finalized the necessary regulatory framework as below:</w:t>
      </w:r>
    </w:p>
    <w:p w:rsidR="009B19CF" w:rsidRPr="004469B2" w:rsidRDefault="009B19CF" w:rsidP="009B19CF">
      <w:pPr>
        <w:numPr>
          <w:ilvl w:val="1"/>
          <w:numId w:val="25"/>
        </w:numPr>
        <w:spacing w:before="0" w:after="120"/>
      </w:pPr>
      <w:r w:rsidRPr="007F4126">
        <w:t>UPERC (Terms and Conditions for Open Access) (First Amendment) Regulations, 2009 that includes among others detailed procedure(s) for Long-Term Open Access and Short-Term Open Access for use of distribution system, with or without transmission system;</w:t>
      </w:r>
    </w:p>
    <w:p w:rsidR="009B19CF" w:rsidRPr="004469B2" w:rsidRDefault="009B19CF" w:rsidP="009B19CF">
      <w:pPr>
        <w:numPr>
          <w:ilvl w:val="1"/>
          <w:numId w:val="25"/>
        </w:numPr>
        <w:spacing w:before="0" w:after="120"/>
      </w:pPr>
      <w:r w:rsidRPr="007F4126">
        <w:t xml:space="preserve">Model Bulk Power Wheeling Agreement (BPWA) for availing wheeling services of Distribution Licensee(s); </w:t>
      </w:r>
    </w:p>
    <w:p w:rsidR="009B19CF" w:rsidRPr="004469B2" w:rsidRDefault="009B19CF" w:rsidP="009B19CF">
      <w:pPr>
        <w:numPr>
          <w:ilvl w:val="1"/>
          <w:numId w:val="25"/>
        </w:numPr>
        <w:spacing w:before="0" w:after="120"/>
      </w:pPr>
      <w:r w:rsidRPr="007F4126">
        <w:t>Procedures for Scheduling, Dispatch, Energy Accounting, UI Accounting and Settlement System of electricity transmitted through the State grid for the electricity drawn by Distribution Licensee(s) from outside and / or within the State.</w:t>
      </w:r>
    </w:p>
    <w:p w:rsidR="00D5771F" w:rsidRDefault="009B19CF">
      <w:pPr>
        <w:pStyle w:val="Heading3"/>
        <w:tabs>
          <w:tab w:val="clear" w:pos="720"/>
        </w:tabs>
        <w:spacing w:after="240"/>
        <w:ind w:left="993" w:hanging="993"/>
        <w:rPr>
          <w:bCs w:val="0"/>
        </w:rPr>
      </w:pPr>
      <w:r w:rsidRPr="007F4126">
        <w:t>Further, the Commission has also advised the SLDC to develop procedure for energy accounting of electricity drawn from the grid by an open access consumer who is connected with the distribution system or electricity injected into the grid by a generating station embedded in the distribution system.</w:t>
      </w:r>
    </w:p>
    <w:p w:rsidR="00D5771F" w:rsidRDefault="009B19CF">
      <w:pPr>
        <w:pStyle w:val="Heading3"/>
        <w:tabs>
          <w:tab w:val="clear" w:pos="720"/>
        </w:tabs>
        <w:spacing w:after="240"/>
        <w:ind w:left="993" w:hanging="993"/>
        <w:rPr>
          <w:bCs w:val="0"/>
        </w:rPr>
      </w:pPr>
      <w:r w:rsidRPr="007F4126">
        <w:t xml:space="preserve">In absence of procedures and guidelines from State Transmission Utility (in short ‘STU’) and State Load </w:t>
      </w:r>
      <w:r>
        <w:t>Dispatch</w:t>
      </w:r>
      <w:r w:rsidRPr="007F4126">
        <w:t xml:space="preserve"> Centre (in short ‘SLDC’), the Commission, on its own motion, has made detailed procedures for long term and short term open access which covers all aspects, which the Regulations direct by way of an amendment. The “Uttar Pradesh Electricity Regulatory Commission (Terms and Conditions for Open Access) (First Amendment) Regulations, 2009 dated 18.6.09”, came into force from the date it is notified in the Gazette.</w:t>
      </w:r>
    </w:p>
    <w:p w:rsidR="00D5771F" w:rsidRDefault="009B19CF">
      <w:pPr>
        <w:pStyle w:val="Heading3"/>
        <w:tabs>
          <w:tab w:val="clear" w:pos="720"/>
        </w:tabs>
        <w:spacing w:after="240"/>
        <w:ind w:left="993" w:hanging="993"/>
      </w:pPr>
      <w:r w:rsidRPr="007F4126">
        <w:lastRenderedPageBreak/>
        <w:t xml:space="preserve">The said amendment, which includes procedures for Long-Term Open Access and Short-Term Open Access mainly, focuses on: </w:t>
      </w:r>
    </w:p>
    <w:p w:rsidR="009B19CF" w:rsidRPr="004469B2" w:rsidRDefault="009B19CF" w:rsidP="009B19CF">
      <w:pPr>
        <w:numPr>
          <w:ilvl w:val="0"/>
          <w:numId w:val="26"/>
        </w:numPr>
        <w:spacing w:before="0" w:after="120"/>
      </w:pPr>
      <w:r w:rsidRPr="007F4126">
        <w:t xml:space="preserve">Operationalisation of long-term and short-term use of intra-State transmission and distribution system by generating companies including captive plants /renewable energy plants, distribution / trading Licensees and open access customers with sustained development of transmission and distribution systems in ‘proper and coordinated’ manner for conveyance of electricity. </w:t>
      </w:r>
    </w:p>
    <w:p w:rsidR="009B19CF" w:rsidRPr="004469B2" w:rsidRDefault="009B19CF" w:rsidP="009B19CF">
      <w:pPr>
        <w:numPr>
          <w:ilvl w:val="0"/>
          <w:numId w:val="26"/>
        </w:numPr>
        <w:spacing w:before="0" w:after="120"/>
      </w:pPr>
      <w:r w:rsidRPr="007F4126">
        <w:t xml:space="preserve">Operationalisation of time-block wise accounting of the quantity of electricity transmitted through State grid and stating the responsibilities of STU for weekly metering and of SLDC for scheduling, dispatch and energy accounting including UI accounting. </w:t>
      </w:r>
    </w:p>
    <w:p w:rsidR="009B19CF" w:rsidRPr="004469B2" w:rsidRDefault="009B19CF" w:rsidP="009B19CF">
      <w:pPr>
        <w:numPr>
          <w:ilvl w:val="0"/>
          <w:numId w:val="26"/>
        </w:numPr>
        <w:spacing w:before="0" w:after="120"/>
      </w:pPr>
      <w:r w:rsidRPr="007F4126">
        <w:t xml:space="preserve">Requirement of Bulk Power Transmission Agreement for use of transmission network and Bulk Power Wheeling Agreement for use of distribution network for long-term open access transactions. </w:t>
      </w:r>
    </w:p>
    <w:p w:rsidR="00D5771F" w:rsidRDefault="009B19CF">
      <w:pPr>
        <w:pStyle w:val="Heading3"/>
        <w:tabs>
          <w:tab w:val="clear" w:pos="720"/>
        </w:tabs>
        <w:spacing w:after="240"/>
        <w:ind w:left="993" w:hanging="993"/>
      </w:pPr>
      <w:r w:rsidRPr="007F4126">
        <w:t xml:space="preserve">The Electricity Act, 2003 has defined the Open Access as non discriminatory provisions for use of transmission lines or distribution system or associated facilities. </w:t>
      </w:r>
      <w:r w:rsidR="00E34329" w:rsidRPr="00E34329">
        <w:t>Having regards to operation constraints and other relevant factors, the Commission directs that the Open Access shall be allowed by the Distribution Licensees as per the provisions outlined by the Commission in its Regulations and amendments from time to time.</w:t>
      </w:r>
    </w:p>
    <w:p w:rsidR="00D5771F" w:rsidRDefault="009B19CF">
      <w:pPr>
        <w:pStyle w:val="Heading3"/>
        <w:tabs>
          <w:tab w:val="clear" w:pos="720"/>
        </w:tabs>
        <w:spacing w:after="240"/>
        <w:ind w:left="993" w:hanging="993"/>
      </w:pPr>
      <w:r w:rsidRPr="007F4126">
        <w:t xml:space="preserve">The Commission has finalized the model Bulk Power Transmission Agreement (BPTA) and Supplementary BPTA for availing transmission services of UPPTCL. </w:t>
      </w:r>
    </w:p>
    <w:p w:rsidR="00D5771F" w:rsidRDefault="009B19CF">
      <w:pPr>
        <w:pStyle w:val="Heading3"/>
        <w:tabs>
          <w:tab w:val="clear" w:pos="720"/>
        </w:tabs>
        <w:spacing w:after="240"/>
        <w:ind w:left="993" w:hanging="993"/>
      </w:pPr>
      <w:r w:rsidRPr="007F4126">
        <w:t>The Commission has also finalized model Bulk Power Wheeling Agreement (BPWA) which is to be signed between a Distribution Licensee and long term customer to agree therein, inter alia, to make payment of wheeling charge, surcharge and additional surcharge, if any, for use of the distribution system.</w:t>
      </w:r>
    </w:p>
    <w:p w:rsidR="00D5771F" w:rsidRDefault="009B19CF">
      <w:pPr>
        <w:pStyle w:val="Heading3"/>
        <w:tabs>
          <w:tab w:val="clear" w:pos="720"/>
        </w:tabs>
        <w:spacing w:after="240"/>
        <w:ind w:left="993" w:hanging="993"/>
      </w:pPr>
      <w:r>
        <w:t xml:space="preserve">Further, the Commission in its Order dated November 3, 2015in the matter of review Petition filed by M/s Rimjhim Ispat Limited had held that  provisions made in the Tariff  Orders  for  FY  2014-15  &amp; FY  2015-16  regarding  open  access  cross  subsidy surcharge has failed in operationalization of open access in the State despite power prices  being  low  in the power  exchanges. So, to promote open access in the State, the Commission directed that provisions </w:t>
      </w:r>
      <w:r>
        <w:lastRenderedPageBreak/>
        <w:t>regarding open access surchargemade in the Tariff Orders for FY 2014-15 and FY 2015-16 be kept in abeyanceand also directed that all open  access  consumers  may  be  levied  the  cross  subsidy  surcharge  as  per  rates approved  in  the  Tariff  Order  for  FY  2013-14.In the said Order the Commission decided to revisit the issue of Cross Subsidy Surcharge in its next Tariff Order i.e. FY 2016-17. The relevant extract of the same has been reproduced below:</w:t>
      </w:r>
    </w:p>
    <w:p w:rsidR="009B19CF" w:rsidRDefault="009B19CF" w:rsidP="009B19CF">
      <w:pPr>
        <w:spacing w:after="120"/>
        <w:ind w:left="1440"/>
        <w:outlineLvl w:val="2"/>
        <w:rPr>
          <w:rFonts w:cs="Arial"/>
          <w:bCs/>
          <w:i/>
          <w:szCs w:val="26"/>
        </w:rPr>
      </w:pPr>
      <w:r w:rsidRPr="004469B2">
        <w:rPr>
          <w:rFonts w:cs="Arial"/>
          <w:bCs/>
          <w:i/>
          <w:szCs w:val="26"/>
        </w:rPr>
        <w:t xml:space="preserve">“The Commission in its Tariff Order dated October 1, 2014, has rightly computed the cross  subsidy  surcharge  as  per  the  relevant  provisions  of  the  Distribution  Tariff Regulations,  2006.However  the </w:t>
      </w:r>
      <w:r>
        <w:rPr>
          <w:rFonts w:cs="Arial"/>
          <w:bCs/>
          <w:i/>
          <w:szCs w:val="26"/>
        </w:rPr>
        <w:t xml:space="preserve"> Commission  realises  that  provisions  made  in  the Tariff  Orders  for  FY  2014-15  &amp;FY  2015-16  regarding  open  access  cross  subsidy surcharge has failed in operationalization of open access in the State despite power prices  being  low  in the power  exchanges.  </w:t>
      </w:r>
      <w:r w:rsidRPr="007F4126">
        <w:rPr>
          <w:rFonts w:cs="Arial"/>
          <w:b/>
          <w:bCs/>
          <w:i/>
          <w:szCs w:val="26"/>
        </w:rPr>
        <w:t>Therefore to promote  open  access  in  the State,  the  Commission  directed  that  provisions  regarding  open  access  surcharge made  in the  Tariff  Orders  for  FY 2014-15  &amp;  FY  2015-16 be  kept  in  abeyance</w:t>
      </w:r>
      <w:r>
        <w:rPr>
          <w:rFonts w:cs="Arial"/>
          <w:bCs/>
          <w:i/>
          <w:szCs w:val="26"/>
        </w:rPr>
        <w:t xml:space="preserve">  and  all open  access  consumers  may  be  levied  the  cross  subsidy  surcharge  as  per  rates approved  in  the  Tariff  Orders  for  FY  2013-14  only.  The  Commission  would  be revisiting the issue of cross subsidy surcharge etc. in its next Tariff Order with a view to  promote  open  access  as  mandated  by  the  Electricity  Act,  2003.  Further  the Commission  directs  UPPCL  to  file  a  detailed  report  within  a  month  on  the  various aspects of open access and reasons why it is not being operationalized. Also UPPCL / SLDC are directed to submit within 15 days, the details of all open access consumers in the State along with the quantum of power wheeled through open access, charges levied etc. for FY 2012-13, FY 2013-14 &amp; FY 2014-15.” [Emphasis Supplied]</w:t>
      </w:r>
    </w:p>
    <w:p w:rsidR="009B19CF" w:rsidRDefault="009B19CF" w:rsidP="009B19CF">
      <w:pPr>
        <w:spacing w:after="120"/>
        <w:ind w:left="1440"/>
        <w:outlineLvl w:val="2"/>
        <w:rPr>
          <w:rFonts w:cs="Arial"/>
          <w:bCs/>
        </w:rPr>
      </w:pPr>
    </w:p>
    <w:p w:rsidR="00D5771F" w:rsidRDefault="009B19CF">
      <w:pPr>
        <w:pStyle w:val="Heading3"/>
        <w:tabs>
          <w:tab w:val="clear" w:pos="720"/>
        </w:tabs>
        <w:spacing w:after="240"/>
        <w:ind w:left="993" w:hanging="993"/>
      </w:pPr>
      <w:r w:rsidRPr="00D92B03">
        <w:t xml:space="preserve">M/s RimjhimIspat Limited </w:t>
      </w:r>
      <w:r>
        <w:t>again filed a review Petition on the Commission’s review Order dated November 3, 2015.During the proceeding in this matter, UPPCL in its letter dated February 26, 2016 submitted that sanction of Inter-Intra state open access has limitation on account of TTC / ATC (Total Transmission Capacity / Available Transmission Capacity)</w:t>
      </w:r>
      <w:r w:rsidRPr="004469B2">
        <w:t xml:space="preserve"> and UPPCL has been allowing all Intra-state open access transact</w:t>
      </w:r>
      <w:r>
        <w:t xml:space="preserve">ions whereas Inter-state open access are not being considered due to limitation in transmission capacity at </w:t>
      </w:r>
      <w:r>
        <w:lastRenderedPageBreak/>
        <w:t>CTU- STU (C-T) periphery. The relevant extract of the same has been reproduced below:</w:t>
      </w:r>
    </w:p>
    <w:p w:rsidR="009B19CF" w:rsidRDefault="009B19CF" w:rsidP="009B19CF">
      <w:pPr>
        <w:spacing w:after="120"/>
        <w:ind w:left="1440"/>
        <w:outlineLvl w:val="2"/>
        <w:rPr>
          <w:rFonts w:cs="Arial"/>
          <w:bCs/>
          <w:i/>
        </w:rPr>
      </w:pPr>
      <w:r>
        <w:rPr>
          <w:rFonts w:cs="Arial"/>
          <w:bCs/>
          <w:i/>
        </w:rPr>
        <w:t>“UPPTCL  has  allowed  all  Intra-  State  Short  Term  Open  Access  and  there  is  no limitation  on  account  of  sanction  from  UPSLDC.  However,  in  case  of  Inter- State STOAs  on  account  of  the  limitation  of  TTC  /  ATC  such  applications  are  not  being considered due  to  limitations in transmission  capability  at  CTU-STU  (C-T)  periphery. The  existing  capacity  is  fully  booked  on  account  of  long  term  commitments  of UPPTCL in accordance with their share in central sector energy projects and MTOAs, if  any  sanctioned.  Only  to  the  extent  of  non-utilization  of  allowed  capacity  for various reasons in real time on daily basis SDLC is given concurrence for Inter- Intra State  STOAs.  Currently,  on  an  average  100  numbers  per  month  STOAs  are sanctioned,  all  of  them  pertaining  to  UPPCL  and  NPCL  &amp;  have  top  most  priority  in allocation  of  surplus  capacity  over  other  consumers  being  a  distribution  licensee  of U.P. State.”</w:t>
      </w:r>
    </w:p>
    <w:p w:rsidR="00D5771F" w:rsidRDefault="009B19CF">
      <w:pPr>
        <w:pStyle w:val="Heading3"/>
        <w:tabs>
          <w:tab w:val="clear" w:pos="720"/>
        </w:tabs>
        <w:spacing w:after="240"/>
        <w:ind w:left="993" w:hanging="993"/>
      </w:pPr>
      <w:r>
        <w:t>The Commission has considered the submissions of UPPTCL and other stakeholders during various proceedings including public hearings. During the public hearing while addressing issues under Inter State transmission constraints UPPTCL submitted that it is going to increase its transmission capacity shortly to address this problem. In view of the above submissions the Commission has decided to withdraw its Order of abeyance as mentioned in its Order dated November 3, 2015 and has also determined the Open Access Charges for FY 2016-17 subsequently in this Order.</w:t>
      </w:r>
    </w:p>
    <w:p w:rsidR="006C63AF" w:rsidRDefault="006C63AF" w:rsidP="006C63AF">
      <w:pPr>
        <w:pStyle w:val="Heading3"/>
        <w:numPr>
          <w:ilvl w:val="0"/>
          <w:numId w:val="0"/>
        </w:numPr>
        <w:tabs>
          <w:tab w:val="clear" w:pos="720"/>
        </w:tabs>
        <w:spacing w:before="0"/>
        <w:ind w:left="993"/>
      </w:pPr>
    </w:p>
    <w:p w:rsidR="006C63AF" w:rsidRDefault="009B19CF" w:rsidP="006C63AF">
      <w:pPr>
        <w:pStyle w:val="Heading2"/>
        <w:numPr>
          <w:ilvl w:val="1"/>
          <w:numId w:val="30"/>
        </w:numPr>
        <w:tabs>
          <w:tab w:val="num" w:pos="360"/>
        </w:tabs>
        <w:spacing w:before="0" w:after="120"/>
        <w:rPr>
          <w:rFonts w:cs="Calibri"/>
        </w:rPr>
      </w:pPr>
      <w:bookmarkStart w:id="1069" w:name="_Toc457055625"/>
      <w:bookmarkStart w:id="1070" w:name="_Toc397332167"/>
      <w:bookmarkStart w:id="1071" w:name="_Toc399320595"/>
      <w:bookmarkStart w:id="1072" w:name="_Toc399623754"/>
      <w:bookmarkStart w:id="1073" w:name="_Toc422310080"/>
      <w:bookmarkStart w:id="1074" w:name="_Toc455311775"/>
      <w:bookmarkStart w:id="1075" w:name="_Toc457603969"/>
      <w:bookmarkEnd w:id="1069"/>
      <w:r w:rsidRPr="007F4126">
        <w:rPr>
          <w:rFonts w:cs="Calibri"/>
        </w:rPr>
        <w:t>OPEN ACCESS CHARGES</w:t>
      </w:r>
      <w:bookmarkEnd w:id="1070"/>
      <w:bookmarkEnd w:id="1071"/>
      <w:bookmarkEnd w:id="1072"/>
      <w:bookmarkEnd w:id="1073"/>
      <w:bookmarkEnd w:id="1074"/>
      <w:bookmarkEnd w:id="1075"/>
    </w:p>
    <w:p w:rsidR="00D5771F" w:rsidRDefault="009B19CF">
      <w:pPr>
        <w:pStyle w:val="Heading3"/>
        <w:tabs>
          <w:tab w:val="clear" w:pos="720"/>
        </w:tabs>
        <w:spacing w:after="240"/>
        <w:ind w:left="993" w:hanging="993"/>
      </w:pPr>
      <w:r>
        <w:t>The Commission in the Tariff Order for UPPTCL has determined the Transmission Charges payable by Open Access users for use of UPPTCL transmission network for transmission of electricity. Similarly, the Commission in this Order has also determined the wheeling charges payable by the Open Access users for utilising the distribution network of the Distribution Licensees for wheeling of electricity.</w:t>
      </w:r>
    </w:p>
    <w:p w:rsidR="006C63AF" w:rsidRDefault="006C63AF" w:rsidP="006C63AF">
      <w:pPr>
        <w:pStyle w:val="Heading3"/>
        <w:numPr>
          <w:ilvl w:val="0"/>
          <w:numId w:val="0"/>
        </w:numPr>
        <w:tabs>
          <w:tab w:val="clear" w:pos="720"/>
        </w:tabs>
        <w:spacing w:before="0"/>
        <w:ind w:left="993"/>
      </w:pPr>
    </w:p>
    <w:p w:rsidR="006C63AF" w:rsidRDefault="009B19CF" w:rsidP="006C63AF">
      <w:pPr>
        <w:pStyle w:val="Heading2"/>
        <w:numPr>
          <w:ilvl w:val="1"/>
          <w:numId w:val="30"/>
        </w:numPr>
        <w:tabs>
          <w:tab w:val="num" w:pos="360"/>
        </w:tabs>
        <w:spacing w:before="0" w:after="120"/>
        <w:rPr>
          <w:rFonts w:cs="Calibri"/>
        </w:rPr>
      </w:pPr>
      <w:bookmarkStart w:id="1076" w:name="_Toc397332168"/>
      <w:bookmarkStart w:id="1077" w:name="_Toc399320596"/>
      <w:bookmarkStart w:id="1078" w:name="_Toc399623755"/>
      <w:bookmarkStart w:id="1079" w:name="_Toc422310081"/>
      <w:bookmarkStart w:id="1080" w:name="_Toc455311776"/>
      <w:bookmarkStart w:id="1081" w:name="_Toc457603970"/>
      <w:r w:rsidRPr="007F4126">
        <w:rPr>
          <w:rFonts w:cs="Calibri"/>
        </w:rPr>
        <w:t>WHEELING CHARGES</w:t>
      </w:r>
      <w:bookmarkEnd w:id="1076"/>
      <w:bookmarkEnd w:id="1077"/>
      <w:bookmarkEnd w:id="1078"/>
      <w:bookmarkEnd w:id="1079"/>
      <w:bookmarkEnd w:id="1080"/>
      <w:bookmarkEnd w:id="1081"/>
    </w:p>
    <w:p w:rsidR="00D5771F" w:rsidRDefault="009B19CF">
      <w:pPr>
        <w:pStyle w:val="Heading3"/>
        <w:tabs>
          <w:tab w:val="clear" w:pos="720"/>
        </w:tabs>
        <w:spacing w:after="240"/>
        <w:ind w:left="993" w:hanging="993"/>
      </w:pPr>
      <w:r>
        <w:lastRenderedPageBreak/>
        <w:t>Clauses 2.1 (2) and (3) of the Distribution Tariff Regulations, 2006 specify that the ARR / Tariff filing by the Distribution Licensee shall separately indicate Aggregate Revenue Requirement (ARR) for Wheeling function and Retail Supply function embedded in the distribution function and that till such time complete segregation of accounts between Wheeling and Retail Supply function takes place, ARR proposals for Wheeling and Retail Supply function shall be submitted on the basis of an allocation statement to be prepared by the Distribution Licensee based on their best judgment.</w:t>
      </w:r>
    </w:p>
    <w:p w:rsidR="00D5771F" w:rsidRDefault="009B19CF">
      <w:pPr>
        <w:pStyle w:val="Heading3"/>
        <w:tabs>
          <w:tab w:val="clear" w:pos="720"/>
        </w:tabs>
        <w:spacing w:after="240"/>
        <w:ind w:left="993" w:hanging="993"/>
      </w:pPr>
      <w:r>
        <w:t>The Licensee, in its Petition, has followed the allocation in accordance with the approach followed by the Commission in the previous Order. As there is no basis submitted by the Licensee in its filing, the Commission finds merit in considering the allocation into Retail Supply and Wheeling Function as per the methodology adopted in the previous Tariff Order. The allocation of ARR for DVVNL, MVVNL, PVVNL and PuVVNL into wheeling function and retail function as approved by the Commission for FY 2016-17 is as shown in the Table below:</w:t>
      </w:r>
    </w:p>
    <w:p w:rsidR="009B19CF" w:rsidRPr="00D14AAD" w:rsidRDefault="006C63AF" w:rsidP="009B19CF">
      <w:pPr>
        <w:ind w:left="720"/>
        <w:jc w:val="center"/>
        <w:rPr>
          <w:b/>
          <w:sz w:val="22"/>
        </w:rPr>
      </w:pPr>
      <w:bookmarkStart w:id="1082" w:name="_Toc399324266"/>
      <w:bookmarkStart w:id="1083" w:name="_Toc399624137"/>
      <w:bookmarkStart w:id="1084" w:name="_Toc422309971"/>
      <w:bookmarkStart w:id="1085" w:name="_Toc457604083"/>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6</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1</w:t>
      </w:r>
      <w:r w:rsidR="009741CA" w:rsidRPr="006C63AF">
        <w:rPr>
          <w:rFonts w:cstheme="minorHAnsi"/>
          <w:b/>
          <w:sz w:val="22"/>
        </w:rPr>
        <w:fldChar w:fldCharType="end"/>
      </w:r>
      <w:r w:rsidRPr="006C63AF">
        <w:rPr>
          <w:rFonts w:cstheme="minorHAnsi"/>
          <w:b/>
          <w:sz w:val="22"/>
        </w:rPr>
        <w:t>: W</w:t>
      </w:r>
      <w:r w:rsidRPr="006C63AF">
        <w:rPr>
          <w:b/>
          <w:sz w:val="22"/>
        </w:rPr>
        <w:t>HEELING &amp; RETAIL SUPPLY ARR FOR FY 2016-17 (Rs. Crore)</w:t>
      </w:r>
      <w:bookmarkEnd w:id="1082"/>
      <w:bookmarkEnd w:id="1083"/>
      <w:bookmarkEnd w:id="1084"/>
      <w:bookmarkEnd w:id="1085"/>
    </w:p>
    <w:tbl>
      <w:tblPr>
        <w:tblW w:w="10082" w:type="dxa"/>
        <w:jc w:val="center"/>
        <w:tblInd w:w="103" w:type="dxa"/>
        <w:tblLayout w:type="fixed"/>
        <w:tblLook w:val="04A0"/>
      </w:tblPr>
      <w:tblGrid>
        <w:gridCol w:w="4377"/>
        <w:gridCol w:w="1093"/>
        <w:gridCol w:w="864"/>
        <w:gridCol w:w="1165"/>
        <w:gridCol w:w="1412"/>
        <w:gridCol w:w="1171"/>
      </w:tblGrid>
      <w:tr w:rsidR="009B19CF" w:rsidRPr="00093FE1" w:rsidTr="008334E8">
        <w:trPr>
          <w:trHeight w:val="225"/>
          <w:tblHeader/>
          <w:jc w:val="center"/>
        </w:trPr>
        <w:tc>
          <w:tcPr>
            <w:tcW w:w="4377" w:type="dxa"/>
            <w:vMerge w:val="restart"/>
            <w:tcBorders>
              <w:top w:val="dotted" w:sz="4" w:space="0" w:color="auto"/>
              <w:left w:val="dotted" w:sz="4" w:space="0" w:color="auto"/>
              <w:bottom w:val="dotted" w:sz="4" w:space="0" w:color="auto"/>
              <w:right w:val="dotted" w:sz="4" w:space="0" w:color="auto"/>
            </w:tcBorders>
            <w:shd w:val="clear" w:color="000000" w:fill="DBE5F1"/>
            <w:hideMark/>
          </w:tcPr>
          <w:p w:rsidR="00337C98" w:rsidRDefault="00E34329" w:rsidP="00337C98">
            <w:pPr>
              <w:spacing w:before="0" w:line="240" w:lineRule="auto"/>
              <w:jc w:val="center"/>
              <w:rPr>
                <w:rFonts w:asciiTheme="minorHAnsi" w:eastAsia="Calibri" w:hAnsiTheme="minorHAnsi" w:cstheme="minorHAnsi"/>
                <w:b/>
                <w:sz w:val="22"/>
                <w:szCs w:val="22"/>
              </w:rPr>
            </w:pPr>
            <w:r w:rsidRPr="00E34329">
              <w:rPr>
                <w:rFonts w:asciiTheme="minorHAnsi" w:eastAsia="Calibri" w:hAnsiTheme="minorHAnsi" w:cstheme="minorHAnsi"/>
                <w:b/>
                <w:sz w:val="22"/>
                <w:szCs w:val="22"/>
              </w:rPr>
              <w:t>Particulars</w:t>
            </w:r>
          </w:p>
        </w:tc>
        <w:tc>
          <w:tcPr>
            <w:tcW w:w="1957" w:type="dxa"/>
            <w:gridSpan w:val="2"/>
            <w:tcBorders>
              <w:top w:val="dotted" w:sz="4" w:space="0" w:color="auto"/>
              <w:left w:val="nil"/>
              <w:bottom w:val="dotted" w:sz="4" w:space="0" w:color="auto"/>
              <w:right w:val="dotted" w:sz="4" w:space="0" w:color="auto"/>
            </w:tcBorders>
            <w:shd w:val="clear" w:color="000000" w:fill="DBE5F1"/>
            <w:noWrap/>
            <w:hideMark/>
          </w:tcPr>
          <w:p w:rsidR="00603835" w:rsidRDefault="00E34329">
            <w:pPr>
              <w:spacing w:before="0" w:line="240" w:lineRule="auto"/>
              <w:jc w:val="center"/>
              <w:rPr>
                <w:rFonts w:asciiTheme="minorHAnsi" w:eastAsia="Calibri" w:hAnsiTheme="minorHAnsi" w:cstheme="minorHAnsi"/>
                <w:b/>
                <w:sz w:val="22"/>
                <w:szCs w:val="22"/>
              </w:rPr>
            </w:pPr>
            <w:r w:rsidRPr="00E34329">
              <w:rPr>
                <w:rFonts w:asciiTheme="minorHAnsi" w:eastAsia="Calibri" w:hAnsiTheme="minorHAnsi" w:cstheme="minorHAnsi"/>
                <w:b/>
                <w:sz w:val="22"/>
                <w:szCs w:val="22"/>
              </w:rPr>
              <w:t>Allocation %</w:t>
            </w:r>
          </w:p>
        </w:tc>
        <w:tc>
          <w:tcPr>
            <w:tcW w:w="3748" w:type="dxa"/>
            <w:gridSpan w:val="3"/>
            <w:tcBorders>
              <w:top w:val="dotted" w:sz="4" w:space="0" w:color="auto"/>
              <w:left w:val="nil"/>
              <w:bottom w:val="dotted" w:sz="4" w:space="0" w:color="auto"/>
              <w:right w:val="dotted" w:sz="4" w:space="0" w:color="auto"/>
            </w:tcBorders>
            <w:shd w:val="clear" w:color="000000" w:fill="DBE5F1"/>
            <w:noWrap/>
            <w:hideMark/>
          </w:tcPr>
          <w:p w:rsidR="00603835" w:rsidRDefault="00E34329">
            <w:pPr>
              <w:spacing w:before="0" w:line="240" w:lineRule="auto"/>
              <w:jc w:val="center"/>
              <w:rPr>
                <w:rFonts w:asciiTheme="minorHAnsi" w:eastAsia="Calibri" w:hAnsiTheme="minorHAnsi" w:cstheme="minorHAnsi"/>
                <w:b/>
                <w:sz w:val="22"/>
                <w:szCs w:val="22"/>
              </w:rPr>
            </w:pPr>
            <w:r w:rsidRPr="00E34329">
              <w:rPr>
                <w:rFonts w:asciiTheme="minorHAnsi" w:eastAsia="Calibri" w:hAnsiTheme="minorHAnsi" w:cstheme="minorHAnsi"/>
                <w:b/>
                <w:sz w:val="22"/>
                <w:szCs w:val="22"/>
              </w:rPr>
              <w:t>Allocation FY 2016-17</w:t>
            </w:r>
          </w:p>
        </w:tc>
      </w:tr>
      <w:tr w:rsidR="009B19CF" w:rsidRPr="00093FE1" w:rsidTr="008334E8">
        <w:trPr>
          <w:trHeight w:val="225"/>
          <w:tblHeader/>
          <w:jc w:val="center"/>
        </w:trPr>
        <w:tc>
          <w:tcPr>
            <w:tcW w:w="4377" w:type="dxa"/>
            <w:vMerge/>
            <w:tcBorders>
              <w:top w:val="dotted" w:sz="4" w:space="0" w:color="auto"/>
              <w:left w:val="dotted" w:sz="4" w:space="0" w:color="auto"/>
              <w:bottom w:val="dotted" w:sz="4" w:space="0" w:color="auto"/>
              <w:right w:val="dotted" w:sz="4" w:space="0" w:color="auto"/>
            </w:tcBorders>
            <w:hideMark/>
          </w:tcPr>
          <w:p w:rsidR="00337C98" w:rsidRDefault="00337C98" w:rsidP="00337C98">
            <w:pPr>
              <w:spacing w:before="0" w:line="240" w:lineRule="auto"/>
              <w:jc w:val="center"/>
              <w:rPr>
                <w:rFonts w:asciiTheme="minorHAnsi" w:eastAsia="Calibri" w:hAnsiTheme="minorHAnsi" w:cstheme="minorHAnsi"/>
                <w:b/>
                <w:bCs/>
                <w:caps/>
                <w:kern w:val="32"/>
                <w:sz w:val="22"/>
                <w:szCs w:val="22"/>
              </w:rPr>
            </w:pPr>
          </w:p>
        </w:tc>
        <w:tc>
          <w:tcPr>
            <w:tcW w:w="1093" w:type="dxa"/>
            <w:tcBorders>
              <w:top w:val="nil"/>
              <w:left w:val="nil"/>
              <w:bottom w:val="dotted" w:sz="4" w:space="0" w:color="auto"/>
              <w:right w:val="dotted" w:sz="4" w:space="0" w:color="auto"/>
            </w:tcBorders>
            <w:shd w:val="clear" w:color="000000" w:fill="DBE5F1"/>
            <w:noWrap/>
            <w:hideMark/>
          </w:tcPr>
          <w:p w:rsidR="00603835" w:rsidRDefault="00E34329">
            <w:pPr>
              <w:spacing w:before="0" w:line="240" w:lineRule="auto"/>
              <w:jc w:val="center"/>
              <w:rPr>
                <w:rFonts w:asciiTheme="minorHAnsi" w:eastAsia="Calibri" w:hAnsiTheme="minorHAnsi" w:cstheme="minorHAnsi"/>
                <w:b/>
                <w:sz w:val="22"/>
                <w:szCs w:val="22"/>
              </w:rPr>
            </w:pPr>
            <w:r w:rsidRPr="00E34329">
              <w:rPr>
                <w:rFonts w:asciiTheme="minorHAnsi" w:eastAsia="Calibri" w:hAnsiTheme="minorHAnsi" w:cstheme="minorHAnsi"/>
                <w:b/>
                <w:sz w:val="22"/>
                <w:szCs w:val="22"/>
              </w:rPr>
              <w:t>Wheeling</w:t>
            </w:r>
          </w:p>
        </w:tc>
        <w:tc>
          <w:tcPr>
            <w:tcW w:w="864" w:type="dxa"/>
            <w:tcBorders>
              <w:top w:val="nil"/>
              <w:left w:val="nil"/>
              <w:bottom w:val="dotted" w:sz="4" w:space="0" w:color="auto"/>
              <w:right w:val="dotted" w:sz="4" w:space="0" w:color="auto"/>
            </w:tcBorders>
            <w:shd w:val="clear" w:color="000000" w:fill="DBE5F1"/>
            <w:noWrap/>
            <w:hideMark/>
          </w:tcPr>
          <w:p w:rsidR="00603835" w:rsidRDefault="00E34329">
            <w:pPr>
              <w:spacing w:before="0" w:line="240" w:lineRule="auto"/>
              <w:jc w:val="center"/>
              <w:rPr>
                <w:rFonts w:asciiTheme="minorHAnsi" w:eastAsia="Calibri" w:hAnsiTheme="minorHAnsi" w:cstheme="minorHAnsi"/>
                <w:b/>
                <w:sz w:val="22"/>
                <w:szCs w:val="22"/>
              </w:rPr>
            </w:pPr>
            <w:r w:rsidRPr="00E34329">
              <w:rPr>
                <w:rFonts w:asciiTheme="minorHAnsi" w:eastAsia="Calibri" w:hAnsiTheme="minorHAnsi" w:cstheme="minorHAnsi"/>
                <w:b/>
                <w:sz w:val="22"/>
                <w:szCs w:val="22"/>
              </w:rPr>
              <w:t>Supply</w:t>
            </w:r>
          </w:p>
        </w:tc>
        <w:tc>
          <w:tcPr>
            <w:tcW w:w="1165" w:type="dxa"/>
            <w:tcBorders>
              <w:top w:val="nil"/>
              <w:left w:val="nil"/>
              <w:bottom w:val="dotted" w:sz="4" w:space="0" w:color="auto"/>
              <w:right w:val="dotted" w:sz="4" w:space="0" w:color="auto"/>
            </w:tcBorders>
            <w:shd w:val="clear" w:color="000000" w:fill="DBE5F1"/>
            <w:noWrap/>
            <w:hideMark/>
          </w:tcPr>
          <w:p w:rsidR="00603835" w:rsidRDefault="00E34329">
            <w:pPr>
              <w:spacing w:before="0" w:line="240" w:lineRule="auto"/>
              <w:jc w:val="center"/>
              <w:rPr>
                <w:rFonts w:asciiTheme="minorHAnsi" w:eastAsia="Calibri" w:hAnsiTheme="minorHAnsi" w:cstheme="minorHAnsi"/>
                <w:b/>
                <w:sz w:val="22"/>
                <w:szCs w:val="22"/>
              </w:rPr>
            </w:pPr>
            <w:r w:rsidRPr="00E34329">
              <w:rPr>
                <w:rFonts w:asciiTheme="minorHAnsi" w:eastAsia="Calibri" w:hAnsiTheme="minorHAnsi" w:cstheme="minorHAnsi"/>
                <w:b/>
                <w:sz w:val="22"/>
                <w:szCs w:val="22"/>
              </w:rPr>
              <w:t>Wheeling</w:t>
            </w:r>
          </w:p>
        </w:tc>
        <w:tc>
          <w:tcPr>
            <w:tcW w:w="1412" w:type="dxa"/>
            <w:tcBorders>
              <w:top w:val="nil"/>
              <w:left w:val="nil"/>
              <w:bottom w:val="dotted" w:sz="4" w:space="0" w:color="auto"/>
              <w:right w:val="dotted" w:sz="4" w:space="0" w:color="auto"/>
            </w:tcBorders>
            <w:shd w:val="clear" w:color="000000" w:fill="DBE5F1"/>
            <w:noWrap/>
            <w:hideMark/>
          </w:tcPr>
          <w:p w:rsidR="00603835" w:rsidRDefault="00E34329">
            <w:pPr>
              <w:spacing w:before="0" w:line="240" w:lineRule="auto"/>
              <w:jc w:val="center"/>
              <w:rPr>
                <w:rFonts w:asciiTheme="minorHAnsi" w:eastAsia="Calibri" w:hAnsiTheme="minorHAnsi" w:cstheme="minorHAnsi"/>
                <w:b/>
                <w:sz w:val="22"/>
                <w:szCs w:val="22"/>
              </w:rPr>
            </w:pPr>
            <w:r w:rsidRPr="00E34329">
              <w:rPr>
                <w:rFonts w:asciiTheme="minorHAnsi" w:eastAsia="Calibri" w:hAnsiTheme="minorHAnsi" w:cstheme="minorHAnsi"/>
                <w:b/>
                <w:sz w:val="22"/>
                <w:szCs w:val="22"/>
              </w:rPr>
              <w:t>Supply</w:t>
            </w:r>
          </w:p>
        </w:tc>
        <w:tc>
          <w:tcPr>
            <w:tcW w:w="1171" w:type="dxa"/>
            <w:tcBorders>
              <w:top w:val="nil"/>
              <w:left w:val="nil"/>
              <w:bottom w:val="dotted" w:sz="4" w:space="0" w:color="auto"/>
              <w:right w:val="dotted" w:sz="4" w:space="0" w:color="auto"/>
            </w:tcBorders>
            <w:shd w:val="clear" w:color="000000" w:fill="DBE5F1"/>
            <w:noWrap/>
            <w:hideMark/>
          </w:tcPr>
          <w:p w:rsidR="00603835" w:rsidRDefault="00E34329">
            <w:pPr>
              <w:spacing w:before="0" w:line="240" w:lineRule="auto"/>
              <w:jc w:val="center"/>
              <w:rPr>
                <w:rFonts w:asciiTheme="minorHAnsi" w:eastAsia="Calibri" w:hAnsiTheme="minorHAnsi" w:cstheme="minorHAnsi"/>
                <w:b/>
                <w:sz w:val="22"/>
                <w:szCs w:val="22"/>
              </w:rPr>
            </w:pPr>
            <w:r w:rsidRPr="00E34329">
              <w:rPr>
                <w:rFonts w:asciiTheme="minorHAnsi" w:eastAsia="Calibri" w:hAnsiTheme="minorHAnsi" w:cstheme="minorHAnsi"/>
                <w:b/>
                <w:sz w:val="22"/>
                <w:szCs w:val="22"/>
              </w:rPr>
              <w:t>Total</w:t>
            </w:r>
          </w:p>
        </w:tc>
      </w:tr>
      <w:tr w:rsidR="009B19CF" w:rsidRPr="00093FE1" w:rsidTr="00D920F1">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D5771F" w:rsidRDefault="00E34329">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Power Purchase Expenses (incl PGCIL charges)</w:t>
            </w:r>
          </w:p>
        </w:tc>
        <w:tc>
          <w:tcPr>
            <w:tcW w:w="1093" w:type="dxa"/>
            <w:tcBorders>
              <w:top w:val="nil"/>
              <w:left w:val="nil"/>
              <w:bottom w:val="dotted" w:sz="4" w:space="0" w:color="auto"/>
              <w:right w:val="dotted" w:sz="4" w:space="0" w:color="auto"/>
            </w:tcBorders>
            <w:shd w:val="clear" w:color="auto" w:fill="auto"/>
            <w:noWrap/>
            <w:hideMark/>
          </w:tcPr>
          <w:p w:rsidR="00D5771F" w:rsidRDefault="009B19CF">
            <w:pPr>
              <w:spacing w:before="0" w:line="240" w:lineRule="auto"/>
              <w:jc w:val="right"/>
              <w:rPr>
                <w:rFonts w:asciiTheme="minorHAnsi" w:eastAsia="Calibri" w:hAnsiTheme="minorHAnsi" w:cstheme="minorHAnsi"/>
                <w:i/>
                <w:sz w:val="22"/>
                <w:szCs w:val="22"/>
              </w:rPr>
            </w:pPr>
            <w:r>
              <w:rPr>
                <w:color w:val="000000"/>
                <w:sz w:val="20"/>
                <w:szCs w:val="20"/>
              </w:rPr>
              <w:t>0%</w:t>
            </w:r>
          </w:p>
        </w:tc>
        <w:tc>
          <w:tcPr>
            <w:tcW w:w="864" w:type="dxa"/>
            <w:tcBorders>
              <w:top w:val="nil"/>
              <w:left w:val="nil"/>
              <w:bottom w:val="dotted" w:sz="4" w:space="0" w:color="auto"/>
              <w:right w:val="dotted" w:sz="4" w:space="0" w:color="auto"/>
            </w:tcBorders>
            <w:shd w:val="clear" w:color="auto" w:fill="auto"/>
            <w:noWrap/>
            <w:hideMark/>
          </w:tcPr>
          <w:p w:rsidR="00D5771F" w:rsidRDefault="009B19CF">
            <w:pPr>
              <w:spacing w:before="0" w:line="240" w:lineRule="auto"/>
              <w:jc w:val="right"/>
              <w:rPr>
                <w:rFonts w:asciiTheme="minorHAnsi" w:eastAsia="Calibri" w:hAnsiTheme="minorHAnsi" w:cstheme="minorHAnsi"/>
                <w:i/>
                <w:sz w:val="22"/>
                <w:szCs w:val="22"/>
              </w:rPr>
            </w:pPr>
            <w:r>
              <w:rPr>
                <w:color w:val="000000"/>
                <w:sz w:val="20"/>
                <w:szCs w:val="20"/>
              </w:rPr>
              <w:t>100%</w:t>
            </w:r>
          </w:p>
        </w:tc>
        <w:tc>
          <w:tcPr>
            <w:tcW w:w="1165"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   </w:t>
            </w:r>
          </w:p>
        </w:tc>
        <w:tc>
          <w:tcPr>
            <w:tcW w:w="1412"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     49,690.41 </w:t>
            </w:r>
          </w:p>
        </w:tc>
        <w:tc>
          <w:tcPr>
            <w:tcW w:w="1171"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49,690.41</w:t>
            </w:r>
          </w:p>
        </w:tc>
      </w:tr>
      <w:tr w:rsidR="009B19CF" w:rsidRPr="00093FE1" w:rsidTr="00D920F1">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D5771F" w:rsidRDefault="00E34329">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Apportionment of O&amp;M Expenses &amp; Interest &amp; Finance Charges of UPPCL</w:t>
            </w:r>
          </w:p>
        </w:tc>
        <w:tc>
          <w:tcPr>
            <w:tcW w:w="1093" w:type="dxa"/>
            <w:tcBorders>
              <w:top w:val="nil"/>
              <w:left w:val="nil"/>
              <w:bottom w:val="dotted" w:sz="4" w:space="0" w:color="auto"/>
              <w:right w:val="dotted" w:sz="4" w:space="0" w:color="auto"/>
            </w:tcBorders>
            <w:shd w:val="clear" w:color="auto" w:fill="auto"/>
            <w:noWrap/>
            <w:hideMark/>
          </w:tcPr>
          <w:p w:rsidR="00D5771F" w:rsidRDefault="009B19CF">
            <w:pPr>
              <w:spacing w:before="0" w:line="240" w:lineRule="auto"/>
              <w:jc w:val="right"/>
              <w:rPr>
                <w:rFonts w:asciiTheme="minorHAnsi" w:eastAsia="Calibri" w:hAnsiTheme="minorHAnsi" w:cstheme="minorHAnsi"/>
                <w:i/>
                <w:sz w:val="22"/>
                <w:szCs w:val="22"/>
              </w:rPr>
            </w:pPr>
            <w:r>
              <w:rPr>
                <w:color w:val="000000"/>
                <w:sz w:val="20"/>
                <w:szCs w:val="20"/>
              </w:rPr>
              <w:t>0%</w:t>
            </w:r>
          </w:p>
        </w:tc>
        <w:tc>
          <w:tcPr>
            <w:tcW w:w="864" w:type="dxa"/>
            <w:tcBorders>
              <w:top w:val="nil"/>
              <w:left w:val="nil"/>
              <w:bottom w:val="dotted" w:sz="4" w:space="0" w:color="auto"/>
              <w:right w:val="dotted" w:sz="4" w:space="0" w:color="auto"/>
            </w:tcBorders>
            <w:shd w:val="clear" w:color="auto" w:fill="auto"/>
            <w:noWrap/>
            <w:hideMark/>
          </w:tcPr>
          <w:p w:rsidR="00D5771F" w:rsidRDefault="009B19CF">
            <w:pPr>
              <w:spacing w:before="0" w:line="240" w:lineRule="auto"/>
              <w:jc w:val="right"/>
              <w:rPr>
                <w:rFonts w:asciiTheme="minorHAnsi" w:eastAsia="Calibri" w:hAnsiTheme="minorHAnsi" w:cstheme="minorHAnsi"/>
                <w:i/>
                <w:sz w:val="22"/>
                <w:szCs w:val="22"/>
              </w:rPr>
            </w:pPr>
            <w:r>
              <w:rPr>
                <w:color w:val="000000"/>
                <w:sz w:val="20"/>
                <w:szCs w:val="20"/>
              </w:rPr>
              <w:t>100%</w:t>
            </w:r>
          </w:p>
        </w:tc>
        <w:tc>
          <w:tcPr>
            <w:tcW w:w="1165"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   </w:t>
            </w:r>
          </w:p>
        </w:tc>
        <w:tc>
          <w:tcPr>
            <w:tcW w:w="1412"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                    -   </w:t>
            </w:r>
          </w:p>
        </w:tc>
        <w:tc>
          <w:tcPr>
            <w:tcW w:w="1171"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0.00</w:t>
            </w:r>
          </w:p>
        </w:tc>
      </w:tr>
      <w:tr w:rsidR="009B19CF" w:rsidRPr="00093FE1" w:rsidTr="00D920F1">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D5771F" w:rsidRDefault="00E34329">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Transmission Charges - Intra state (incl SLDC Charges)</w:t>
            </w:r>
          </w:p>
        </w:tc>
        <w:tc>
          <w:tcPr>
            <w:tcW w:w="1093" w:type="dxa"/>
            <w:tcBorders>
              <w:top w:val="nil"/>
              <w:left w:val="nil"/>
              <w:bottom w:val="dotted" w:sz="4" w:space="0" w:color="auto"/>
              <w:right w:val="dotted" w:sz="4" w:space="0" w:color="auto"/>
            </w:tcBorders>
            <w:shd w:val="clear" w:color="auto" w:fill="auto"/>
            <w:noWrap/>
            <w:hideMark/>
          </w:tcPr>
          <w:p w:rsidR="00D5771F" w:rsidRDefault="009B19CF">
            <w:pPr>
              <w:spacing w:before="0" w:line="240" w:lineRule="auto"/>
              <w:jc w:val="right"/>
              <w:rPr>
                <w:rFonts w:asciiTheme="minorHAnsi" w:eastAsia="Calibri" w:hAnsiTheme="minorHAnsi" w:cstheme="minorHAnsi"/>
                <w:i/>
                <w:sz w:val="22"/>
                <w:szCs w:val="22"/>
              </w:rPr>
            </w:pPr>
            <w:r>
              <w:rPr>
                <w:color w:val="000000"/>
                <w:sz w:val="20"/>
                <w:szCs w:val="20"/>
              </w:rPr>
              <w:t>0%</w:t>
            </w:r>
          </w:p>
        </w:tc>
        <w:tc>
          <w:tcPr>
            <w:tcW w:w="864" w:type="dxa"/>
            <w:tcBorders>
              <w:top w:val="nil"/>
              <w:left w:val="nil"/>
              <w:bottom w:val="dotted" w:sz="4" w:space="0" w:color="auto"/>
              <w:right w:val="dotted" w:sz="4" w:space="0" w:color="auto"/>
            </w:tcBorders>
            <w:shd w:val="clear" w:color="auto" w:fill="auto"/>
            <w:noWrap/>
            <w:hideMark/>
          </w:tcPr>
          <w:p w:rsidR="00D5771F" w:rsidRDefault="009B19CF">
            <w:pPr>
              <w:spacing w:before="0" w:line="240" w:lineRule="auto"/>
              <w:jc w:val="right"/>
              <w:rPr>
                <w:rFonts w:asciiTheme="minorHAnsi" w:eastAsia="Calibri" w:hAnsiTheme="minorHAnsi" w:cstheme="minorHAnsi"/>
                <w:i/>
                <w:sz w:val="22"/>
                <w:szCs w:val="22"/>
              </w:rPr>
            </w:pPr>
            <w:r>
              <w:rPr>
                <w:color w:val="000000"/>
                <w:sz w:val="20"/>
                <w:szCs w:val="20"/>
              </w:rPr>
              <w:t>100%</w:t>
            </w:r>
          </w:p>
        </w:tc>
        <w:tc>
          <w:tcPr>
            <w:tcW w:w="1165"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   </w:t>
            </w:r>
          </w:p>
        </w:tc>
        <w:tc>
          <w:tcPr>
            <w:tcW w:w="1412"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 xml:space="preserve">       1,890.28 </w:t>
            </w:r>
          </w:p>
        </w:tc>
        <w:tc>
          <w:tcPr>
            <w:tcW w:w="1171" w:type="dxa"/>
            <w:tcBorders>
              <w:top w:val="nil"/>
              <w:left w:val="nil"/>
              <w:bottom w:val="dotted" w:sz="4" w:space="0" w:color="auto"/>
              <w:right w:val="dotted" w:sz="4" w:space="0" w:color="auto"/>
            </w:tcBorders>
            <w:shd w:val="clear" w:color="auto" w:fill="auto"/>
            <w:noWrap/>
            <w:hideMark/>
          </w:tcPr>
          <w:p w:rsidR="00D5771F" w:rsidRDefault="00E34329">
            <w:pPr>
              <w:spacing w:before="0" w:line="240" w:lineRule="auto"/>
              <w:jc w:val="right"/>
              <w:rPr>
                <w:rFonts w:asciiTheme="minorHAnsi" w:hAnsiTheme="minorHAnsi"/>
                <w:color w:val="000000"/>
                <w:sz w:val="22"/>
                <w:szCs w:val="22"/>
              </w:rPr>
            </w:pPr>
            <w:r w:rsidRPr="00E34329">
              <w:rPr>
                <w:rFonts w:asciiTheme="minorHAnsi" w:hAnsiTheme="minorHAnsi"/>
                <w:color w:val="000000"/>
                <w:sz w:val="22"/>
                <w:szCs w:val="22"/>
              </w:rPr>
              <w:t>1,890.28</w:t>
            </w:r>
          </w:p>
        </w:tc>
      </w:tr>
      <w:tr w:rsidR="009B19CF" w:rsidRPr="00093FE1" w:rsidTr="00D920F1">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D5771F" w:rsidRDefault="00E34329">
            <w:pPr>
              <w:spacing w:before="0" w:line="240" w:lineRule="auto"/>
              <w:rPr>
                <w:rFonts w:asciiTheme="minorHAnsi" w:eastAsia="Calibri" w:hAnsiTheme="minorHAnsi" w:cstheme="minorHAnsi"/>
                <w:b/>
                <w:sz w:val="22"/>
                <w:szCs w:val="22"/>
              </w:rPr>
            </w:pPr>
            <w:r w:rsidRPr="00E34329">
              <w:rPr>
                <w:rFonts w:asciiTheme="minorHAnsi" w:eastAsia="Calibri" w:hAnsiTheme="minorHAnsi" w:cstheme="minorHAnsi"/>
                <w:b/>
                <w:sz w:val="22"/>
                <w:szCs w:val="22"/>
              </w:rPr>
              <w:t>Gross O&amp;M Expenses</w:t>
            </w:r>
          </w:p>
        </w:tc>
        <w:tc>
          <w:tcPr>
            <w:tcW w:w="1093"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eastAsia="Calibri" w:hAnsiTheme="minorHAnsi" w:cstheme="minorHAnsi"/>
                <w:b/>
                <w:sz w:val="22"/>
                <w:szCs w:val="22"/>
                <w:lang w:val="en-US"/>
              </w:rPr>
            </w:pPr>
          </w:p>
        </w:tc>
        <w:tc>
          <w:tcPr>
            <w:tcW w:w="864"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eastAsia="Calibri" w:hAnsiTheme="minorHAnsi" w:cstheme="minorHAnsi"/>
                <w:b/>
                <w:sz w:val="22"/>
                <w:szCs w:val="22"/>
                <w:lang w:val="en-US"/>
              </w:rPr>
            </w:pPr>
          </w:p>
        </w:tc>
        <w:tc>
          <w:tcPr>
            <w:tcW w:w="1165" w:type="dxa"/>
            <w:tcBorders>
              <w:top w:val="nil"/>
              <w:left w:val="nil"/>
              <w:bottom w:val="dotted" w:sz="4" w:space="0" w:color="auto"/>
              <w:right w:val="dotted" w:sz="4" w:space="0" w:color="auto"/>
            </w:tcBorders>
            <w:shd w:val="clear" w:color="auto" w:fill="auto"/>
            <w:noWrap/>
            <w:vAlign w:val="center"/>
            <w:hideMark/>
          </w:tcPr>
          <w:p w:rsidR="00D5771F" w:rsidRDefault="00E34329">
            <w:pPr>
              <w:spacing w:before="0" w:line="240" w:lineRule="auto"/>
              <w:jc w:val="right"/>
              <w:rPr>
                <w:rFonts w:asciiTheme="minorHAnsi" w:hAnsiTheme="minorHAnsi" w:cs="Calibri"/>
                <w:b/>
                <w:bCs/>
                <w:color w:val="000000"/>
                <w:sz w:val="22"/>
                <w:szCs w:val="22"/>
              </w:rPr>
            </w:pPr>
            <w:r w:rsidRPr="00E34329">
              <w:rPr>
                <w:rFonts w:asciiTheme="minorHAnsi" w:hAnsiTheme="minorHAnsi"/>
                <w:b/>
                <w:color w:val="000000"/>
                <w:sz w:val="22"/>
                <w:szCs w:val="22"/>
              </w:rPr>
              <w:t>2,2</w:t>
            </w:r>
            <w:r w:rsidR="00576854">
              <w:rPr>
                <w:rFonts w:asciiTheme="minorHAnsi" w:hAnsiTheme="minorHAnsi"/>
                <w:b/>
                <w:color w:val="000000"/>
                <w:sz w:val="22"/>
                <w:szCs w:val="22"/>
              </w:rPr>
              <w:t>62.92</w:t>
            </w:r>
            <w:r w:rsidRPr="00E34329">
              <w:rPr>
                <w:rFonts w:asciiTheme="minorHAnsi" w:hAnsiTheme="minorHAnsi"/>
                <w:b/>
                <w:color w:val="000000"/>
                <w:sz w:val="22"/>
                <w:szCs w:val="22"/>
              </w:rPr>
              <w:t xml:space="preserve"> </w:t>
            </w:r>
          </w:p>
        </w:tc>
        <w:tc>
          <w:tcPr>
            <w:tcW w:w="1412" w:type="dxa"/>
            <w:tcBorders>
              <w:top w:val="nil"/>
              <w:left w:val="nil"/>
              <w:bottom w:val="dotted" w:sz="4" w:space="0" w:color="auto"/>
              <w:right w:val="dotted" w:sz="4" w:space="0" w:color="auto"/>
            </w:tcBorders>
            <w:shd w:val="clear" w:color="auto" w:fill="auto"/>
            <w:noWrap/>
            <w:vAlign w:val="center"/>
            <w:hideMark/>
          </w:tcPr>
          <w:p w:rsidR="00D5771F" w:rsidRDefault="00576854">
            <w:pPr>
              <w:spacing w:before="0" w:line="240" w:lineRule="auto"/>
              <w:jc w:val="right"/>
              <w:rPr>
                <w:rFonts w:asciiTheme="minorHAnsi" w:hAnsiTheme="minorHAnsi" w:cs="Calibri"/>
                <w:b/>
                <w:bCs/>
                <w:color w:val="000000"/>
                <w:sz w:val="22"/>
                <w:szCs w:val="22"/>
              </w:rPr>
            </w:pPr>
            <w:r>
              <w:rPr>
                <w:rFonts w:asciiTheme="minorHAnsi" w:hAnsiTheme="minorHAnsi"/>
                <w:b/>
                <w:color w:val="000000"/>
                <w:sz w:val="22"/>
                <w:szCs w:val="22"/>
              </w:rPr>
              <w:t>1,133.45</w:t>
            </w:r>
          </w:p>
        </w:tc>
        <w:tc>
          <w:tcPr>
            <w:tcW w:w="1171" w:type="dxa"/>
            <w:tcBorders>
              <w:top w:val="nil"/>
              <w:left w:val="nil"/>
              <w:bottom w:val="dotted" w:sz="4" w:space="0" w:color="auto"/>
              <w:right w:val="dotted" w:sz="4" w:space="0" w:color="auto"/>
            </w:tcBorders>
            <w:shd w:val="clear" w:color="auto" w:fill="auto"/>
            <w:noWrap/>
            <w:vAlign w:val="center"/>
            <w:hideMark/>
          </w:tcPr>
          <w:p w:rsidR="00155677" w:rsidRDefault="00576854">
            <w:pPr>
              <w:spacing w:before="0" w:line="240" w:lineRule="auto"/>
              <w:jc w:val="right"/>
              <w:rPr>
                <w:rFonts w:asciiTheme="minorHAnsi" w:hAnsiTheme="minorHAnsi" w:cs="Calibri"/>
                <w:b/>
                <w:bCs/>
                <w:color w:val="000000"/>
                <w:sz w:val="22"/>
                <w:szCs w:val="22"/>
              </w:rPr>
            </w:pPr>
            <w:r>
              <w:rPr>
                <w:rFonts w:asciiTheme="minorHAnsi" w:hAnsiTheme="minorHAnsi"/>
                <w:b/>
                <w:color w:val="000000"/>
                <w:sz w:val="22"/>
                <w:szCs w:val="22"/>
              </w:rPr>
              <w:t>3,396.37</w:t>
            </w:r>
            <w:r w:rsidR="00E34329" w:rsidRPr="00E34329">
              <w:rPr>
                <w:rFonts w:asciiTheme="minorHAnsi" w:hAnsiTheme="minorHAnsi"/>
                <w:b/>
                <w:color w:val="000000"/>
                <w:sz w:val="22"/>
                <w:szCs w:val="22"/>
              </w:rPr>
              <w:t xml:space="preserve"> </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Gross Employee cost</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i/>
                <w:iCs/>
                <w:sz w:val="22"/>
                <w:szCs w:val="22"/>
              </w:rPr>
            </w:pPr>
            <w:r>
              <w:rPr>
                <w:rFonts w:asciiTheme="minorHAnsi" w:hAnsiTheme="minorHAnsi"/>
                <w:color w:val="000000"/>
                <w:sz w:val="22"/>
                <w:szCs w:val="22"/>
              </w:rPr>
              <w:t>60%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40%</w:t>
            </w: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1,200.85 </w:t>
            </w:r>
          </w:p>
        </w:tc>
        <w:tc>
          <w:tcPr>
            <w:tcW w:w="1412"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800.56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2,001.41</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Gross A&amp;G expenses</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i/>
                <w:iCs/>
                <w:sz w:val="22"/>
                <w:szCs w:val="22"/>
              </w:rPr>
            </w:pPr>
            <w:r>
              <w:rPr>
                <w:rFonts w:asciiTheme="minorHAnsi" w:hAnsiTheme="minorHAnsi"/>
                <w:color w:val="000000"/>
                <w:sz w:val="22"/>
                <w:szCs w:val="22"/>
              </w:rPr>
              <w:t>40%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60%</w:t>
            </w:r>
          </w:p>
        </w:tc>
        <w:tc>
          <w:tcPr>
            <w:tcW w:w="1165"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154.71 </w:t>
            </w:r>
          </w:p>
        </w:tc>
        <w:tc>
          <w:tcPr>
            <w:tcW w:w="1412"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232.07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386.78</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Gross R&amp;M expenses</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i/>
                <w:iCs/>
                <w:sz w:val="22"/>
                <w:szCs w:val="22"/>
              </w:rPr>
            </w:pPr>
            <w:r>
              <w:rPr>
                <w:rFonts w:asciiTheme="minorHAnsi" w:hAnsiTheme="minorHAnsi"/>
                <w:color w:val="000000"/>
                <w:sz w:val="22"/>
                <w:szCs w:val="22"/>
              </w:rPr>
              <w:t>90%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10%</w:t>
            </w:r>
          </w:p>
        </w:tc>
        <w:tc>
          <w:tcPr>
            <w:tcW w:w="1165"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907.36 </w:t>
            </w:r>
          </w:p>
        </w:tc>
        <w:tc>
          <w:tcPr>
            <w:tcW w:w="1412"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100.82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1,008.18</w:t>
            </w:r>
          </w:p>
        </w:tc>
      </w:tr>
      <w:tr w:rsidR="00576854" w:rsidRPr="00093FE1" w:rsidTr="00576854">
        <w:trPr>
          <w:trHeight w:val="77"/>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Gross Interest &amp; Finance charges</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i/>
                <w:iCs/>
                <w:sz w:val="22"/>
                <w:szCs w:val="22"/>
              </w:rPr>
            </w:pPr>
            <w:r>
              <w:rPr>
                <w:rFonts w:asciiTheme="minorHAnsi" w:hAnsiTheme="minorHAnsi"/>
                <w:color w:val="000000"/>
                <w:sz w:val="22"/>
                <w:szCs w:val="22"/>
              </w:rPr>
              <w:t>90%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10%</w:t>
            </w:r>
          </w:p>
        </w:tc>
        <w:tc>
          <w:tcPr>
            <w:tcW w:w="1165" w:type="dxa"/>
            <w:tcBorders>
              <w:top w:val="nil"/>
              <w:left w:val="nil"/>
              <w:bottom w:val="dotted" w:sz="4" w:space="0" w:color="auto"/>
              <w:right w:val="dotted" w:sz="4" w:space="0" w:color="auto"/>
            </w:tcBorders>
            <w:shd w:val="clear" w:color="auto" w:fill="auto"/>
            <w:noWrap/>
            <w:vAlign w:val="bottom"/>
            <w:hideMark/>
          </w:tcPr>
          <w:p w:rsidR="00155677" w:rsidRDefault="00576854">
            <w:pPr>
              <w:spacing w:before="0" w:line="240" w:lineRule="auto"/>
              <w:jc w:val="right"/>
              <w:rPr>
                <w:color w:val="000000"/>
                <w:sz w:val="20"/>
                <w:szCs w:val="20"/>
              </w:rPr>
            </w:pPr>
            <w:r>
              <w:rPr>
                <w:color w:val="000000"/>
                <w:sz w:val="20"/>
                <w:szCs w:val="20"/>
              </w:rPr>
              <w:t>2,370.40</w:t>
            </w:r>
          </w:p>
        </w:tc>
        <w:tc>
          <w:tcPr>
            <w:tcW w:w="1412" w:type="dxa"/>
            <w:tcBorders>
              <w:top w:val="nil"/>
              <w:left w:val="nil"/>
              <w:bottom w:val="dotted" w:sz="4" w:space="0" w:color="auto"/>
              <w:right w:val="dotted" w:sz="4" w:space="0" w:color="auto"/>
            </w:tcBorders>
            <w:shd w:val="clear" w:color="auto" w:fill="auto"/>
            <w:noWrap/>
            <w:vAlign w:val="bottom"/>
            <w:hideMark/>
          </w:tcPr>
          <w:p w:rsidR="00155677" w:rsidRDefault="00576854">
            <w:pPr>
              <w:spacing w:before="0" w:line="240" w:lineRule="auto"/>
              <w:jc w:val="right"/>
              <w:rPr>
                <w:color w:val="000000"/>
                <w:sz w:val="20"/>
                <w:szCs w:val="20"/>
              </w:rPr>
            </w:pPr>
            <w:r>
              <w:rPr>
                <w:color w:val="000000"/>
                <w:sz w:val="20"/>
                <w:szCs w:val="20"/>
              </w:rPr>
              <w:t xml:space="preserve"> 263.38 </w:t>
            </w:r>
          </w:p>
        </w:tc>
        <w:tc>
          <w:tcPr>
            <w:tcW w:w="1171" w:type="dxa"/>
            <w:tcBorders>
              <w:top w:val="nil"/>
              <w:left w:val="nil"/>
              <w:bottom w:val="dotted" w:sz="4" w:space="0" w:color="auto"/>
              <w:right w:val="dotted" w:sz="4" w:space="0" w:color="auto"/>
            </w:tcBorders>
            <w:shd w:val="clear" w:color="auto" w:fill="auto"/>
            <w:noWrap/>
            <w:vAlign w:val="bottom"/>
            <w:hideMark/>
          </w:tcPr>
          <w:p w:rsidR="00155677" w:rsidRDefault="00576854">
            <w:pPr>
              <w:spacing w:before="0" w:line="240" w:lineRule="auto"/>
              <w:jc w:val="right"/>
              <w:rPr>
                <w:color w:val="000000"/>
                <w:sz w:val="20"/>
                <w:szCs w:val="20"/>
              </w:rPr>
            </w:pPr>
            <w:r>
              <w:rPr>
                <w:color w:val="000000"/>
                <w:sz w:val="20"/>
                <w:szCs w:val="20"/>
              </w:rPr>
              <w:t>2,633.78</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Depreciation</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i/>
                <w:iCs/>
                <w:sz w:val="22"/>
                <w:szCs w:val="22"/>
              </w:rPr>
            </w:pPr>
            <w:r>
              <w:rPr>
                <w:rFonts w:asciiTheme="minorHAnsi" w:hAnsiTheme="minorHAnsi"/>
                <w:color w:val="000000"/>
                <w:sz w:val="22"/>
                <w:szCs w:val="22"/>
              </w:rPr>
              <w:t>90%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10%</w:t>
            </w: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1,149.11 </w:t>
            </w:r>
          </w:p>
        </w:tc>
        <w:tc>
          <w:tcPr>
            <w:tcW w:w="1412"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127.68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1,276.79</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b/>
                <w:sz w:val="22"/>
                <w:szCs w:val="22"/>
              </w:rPr>
            </w:pPr>
            <w:r w:rsidRPr="00E34329">
              <w:rPr>
                <w:rFonts w:asciiTheme="minorHAnsi" w:eastAsia="Calibri" w:hAnsiTheme="minorHAnsi" w:cstheme="minorHAnsi"/>
                <w:b/>
                <w:sz w:val="22"/>
                <w:szCs w:val="22"/>
              </w:rPr>
              <w:t>Total Expenditure</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rsidP="00D920F1">
            <w:pPr>
              <w:spacing w:before="0" w:line="240" w:lineRule="auto"/>
              <w:jc w:val="right"/>
              <w:rPr>
                <w:rFonts w:asciiTheme="minorHAnsi" w:eastAsia="Calibri" w:hAnsiTheme="minorHAnsi" w:cstheme="minorHAnsi"/>
                <w:b/>
                <w:sz w:val="22"/>
                <w:szCs w:val="22"/>
                <w:lang w:val="en-US"/>
              </w:rPr>
            </w:pP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rsidP="00D920F1">
            <w:pPr>
              <w:spacing w:before="0" w:line="240" w:lineRule="auto"/>
              <w:jc w:val="right"/>
              <w:rPr>
                <w:rFonts w:asciiTheme="minorHAnsi" w:eastAsia="Calibri" w:hAnsiTheme="minorHAnsi" w:cstheme="minorHAnsi"/>
                <w:b/>
                <w:sz w:val="22"/>
                <w:szCs w:val="22"/>
                <w:lang w:val="en-US"/>
              </w:rPr>
            </w:pP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5,782.43 </w:t>
            </w:r>
          </w:p>
        </w:tc>
        <w:tc>
          <w:tcPr>
            <w:tcW w:w="1412"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53,105.19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58,887.63 </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b/>
                <w:sz w:val="22"/>
                <w:szCs w:val="22"/>
              </w:rPr>
            </w:pPr>
            <w:r w:rsidRPr="00E34329">
              <w:rPr>
                <w:rFonts w:asciiTheme="minorHAnsi" w:eastAsia="Calibri" w:hAnsiTheme="minorHAnsi" w:cstheme="minorHAnsi"/>
                <w:b/>
                <w:sz w:val="22"/>
                <w:szCs w:val="22"/>
              </w:rPr>
              <w:t>Expense capitalization</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rsidP="00D920F1">
            <w:pPr>
              <w:spacing w:before="0" w:line="240" w:lineRule="auto"/>
              <w:jc w:val="right"/>
              <w:rPr>
                <w:rFonts w:asciiTheme="minorHAnsi" w:eastAsia="Calibri" w:hAnsiTheme="minorHAnsi" w:cstheme="minorHAnsi"/>
                <w:b/>
                <w:sz w:val="22"/>
                <w:szCs w:val="22"/>
                <w:lang w:val="en-US"/>
              </w:rPr>
            </w:pP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rsidP="00D920F1">
            <w:pPr>
              <w:spacing w:before="0" w:line="240" w:lineRule="auto"/>
              <w:jc w:val="right"/>
              <w:rPr>
                <w:rFonts w:asciiTheme="minorHAnsi" w:eastAsia="Calibri" w:hAnsiTheme="minorHAnsi" w:cstheme="minorHAnsi"/>
                <w:b/>
                <w:sz w:val="22"/>
                <w:szCs w:val="22"/>
                <w:lang w:val="en-US"/>
              </w:rPr>
            </w:pP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557.07 </w:t>
            </w:r>
          </w:p>
        </w:tc>
        <w:tc>
          <w:tcPr>
            <w:tcW w:w="1412"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194.20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751.27 </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Employee cost capitalized</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i/>
                <w:iCs/>
                <w:sz w:val="22"/>
                <w:szCs w:val="22"/>
              </w:rPr>
            </w:pPr>
            <w:r>
              <w:rPr>
                <w:rFonts w:asciiTheme="minorHAnsi" w:hAnsiTheme="minorHAnsi"/>
                <w:color w:val="000000"/>
                <w:sz w:val="22"/>
                <w:szCs w:val="22"/>
              </w:rPr>
              <w:t>60%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40%</w:t>
            </w:r>
          </w:p>
        </w:tc>
        <w:tc>
          <w:tcPr>
            <w:tcW w:w="1165" w:type="dxa"/>
            <w:tcBorders>
              <w:top w:val="nil"/>
              <w:left w:val="nil"/>
              <w:bottom w:val="dotted" w:sz="4" w:space="0" w:color="auto"/>
              <w:right w:val="dotted" w:sz="4" w:space="0" w:color="auto"/>
            </w:tcBorders>
            <w:shd w:val="clear" w:color="auto" w:fill="auto"/>
            <w:noWrap/>
            <w:vAlign w:val="center"/>
            <w:hideMark/>
          </w:tcPr>
          <w:p w:rsidR="00155677" w:rsidRDefault="00576854">
            <w:pPr>
              <w:spacing w:before="0" w:line="240" w:lineRule="auto"/>
              <w:rPr>
                <w:rFonts w:asciiTheme="minorHAnsi" w:hAnsiTheme="minorHAnsi" w:cs="Calibri"/>
                <w:color w:val="000000"/>
                <w:sz w:val="22"/>
                <w:szCs w:val="22"/>
              </w:rPr>
            </w:pPr>
            <w:r>
              <w:rPr>
                <w:color w:val="000000"/>
                <w:sz w:val="20"/>
                <w:szCs w:val="20"/>
              </w:rPr>
              <w:t xml:space="preserve">        180.13 </w:t>
            </w:r>
          </w:p>
        </w:tc>
        <w:tc>
          <w:tcPr>
            <w:tcW w:w="1412"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120.08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300.21</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Interest capitalized</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i/>
                <w:iCs/>
                <w:sz w:val="22"/>
                <w:szCs w:val="22"/>
              </w:rPr>
            </w:pPr>
            <w:r>
              <w:rPr>
                <w:rFonts w:asciiTheme="minorHAnsi" w:hAnsiTheme="minorHAnsi"/>
                <w:color w:val="000000"/>
                <w:sz w:val="22"/>
                <w:szCs w:val="22"/>
              </w:rPr>
              <w:t>90%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10%</w:t>
            </w: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353.74 </w:t>
            </w:r>
          </w:p>
        </w:tc>
        <w:tc>
          <w:tcPr>
            <w:tcW w:w="1412"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39.30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393.04</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A&amp;G expenses capitalized</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i/>
                <w:iCs/>
                <w:sz w:val="22"/>
                <w:szCs w:val="22"/>
              </w:rPr>
            </w:pPr>
            <w:r>
              <w:rPr>
                <w:rFonts w:asciiTheme="minorHAnsi" w:hAnsiTheme="minorHAnsi"/>
                <w:color w:val="000000"/>
                <w:sz w:val="22"/>
                <w:szCs w:val="22"/>
              </w:rPr>
              <w:t>40%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60%</w:t>
            </w: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23.21 </w:t>
            </w:r>
          </w:p>
        </w:tc>
        <w:tc>
          <w:tcPr>
            <w:tcW w:w="1412"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34.81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58.02</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b/>
                <w:sz w:val="22"/>
                <w:szCs w:val="22"/>
              </w:rPr>
            </w:pPr>
            <w:r w:rsidRPr="00E34329">
              <w:rPr>
                <w:rFonts w:asciiTheme="minorHAnsi" w:eastAsia="Calibri" w:hAnsiTheme="minorHAnsi" w:cstheme="minorHAnsi"/>
                <w:b/>
                <w:sz w:val="22"/>
                <w:szCs w:val="22"/>
              </w:rPr>
              <w:t>Net Expenditure</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rsidP="00D920F1">
            <w:pPr>
              <w:spacing w:before="0" w:line="240" w:lineRule="auto"/>
              <w:jc w:val="right"/>
              <w:rPr>
                <w:rFonts w:asciiTheme="minorHAnsi" w:eastAsia="Calibri" w:hAnsiTheme="minorHAnsi" w:cstheme="minorHAnsi"/>
                <w:b/>
                <w:sz w:val="22"/>
                <w:szCs w:val="22"/>
                <w:lang w:val="en-US"/>
              </w:rPr>
            </w:pP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rsidP="00D920F1">
            <w:pPr>
              <w:spacing w:before="0" w:line="240" w:lineRule="auto"/>
              <w:jc w:val="right"/>
              <w:rPr>
                <w:rFonts w:asciiTheme="minorHAnsi" w:eastAsia="Calibri" w:hAnsiTheme="minorHAnsi" w:cstheme="minorHAnsi"/>
                <w:b/>
                <w:sz w:val="22"/>
                <w:szCs w:val="22"/>
                <w:lang w:val="en-US"/>
              </w:rPr>
            </w:pP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5,225.36 </w:t>
            </w:r>
          </w:p>
        </w:tc>
        <w:tc>
          <w:tcPr>
            <w:tcW w:w="1412"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52,910.99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58,136.36</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Provision for Bad &amp; Doubtful debts</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100%</w:t>
            </w: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   </w:t>
            </w:r>
          </w:p>
        </w:tc>
        <w:tc>
          <w:tcPr>
            <w:tcW w:w="1412"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0.00</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Provision for Contingency Reserve</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100%</w:t>
            </w: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   </w:t>
            </w:r>
          </w:p>
        </w:tc>
        <w:tc>
          <w:tcPr>
            <w:tcW w:w="1412"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0.00</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b/>
                <w:sz w:val="22"/>
                <w:szCs w:val="22"/>
              </w:rPr>
            </w:pPr>
            <w:r w:rsidRPr="00E34329">
              <w:rPr>
                <w:rFonts w:asciiTheme="minorHAnsi" w:eastAsia="Calibri" w:hAnsiTheme="minorHAnsi" w:cstheme="minorHAnsi"/>
                <w:b/>
                <w:sz w:val="22"/>
                <w:szCs w:val="22"/>
              </w:rPr>
              <w:t>Total net expenditure with provisions</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rsidP="00D920F1">
            <w:pPr>
              <w:spacing w:before="0" w:line="240" w:lineRule="auto"/>
              <w:jc w:val="right"/>
              <w:rPr>
                <w:rFonts w:asciiTheme="minorHAnsi" w:eastAsia="Calibri" w:hAnsiTheme="minorHAnsi" w:cstheme="minorHAnsi"/>
                <w:b/>
                <w:sz w:val="22"/>
                <w:szCs w:val="22"/>
                <w:lang w:val="en-US"/>
              </w:rPr>
            </w:pP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rsidP="00D920F1">
            <w:pPr>
              <w:spacing w:before="0" w:line="240" w:lineRule="auto"/>
              <w:jc w:val="right"/>
              <w:rPr>
                <w:rFonts w:asciiTheme="minorHAnsi" w:eastAsia="Calibri" w:hAnsiTheme="minorHAnsi" w:cstheme="minorHAnsi"/>
                <w:b/>
                <w:sz w:val="22"/>
                <w:szCs w:val="22"/>
                <w:lang w:val="en-US"/>
              </w:rPr>
            </w:pP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5,225.36 </w:t>
            </w:r>
          </w:p>
        </w:tc>
        <w:tc>
          <w:tcPr>
            <w:tcW w:w="1412"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52,910.99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58,136.36</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Add: Return on Equity</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90%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10%</w:t>
            </w: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   </w:t>
            </w:r>
          </w:p>
        </w:tc>
        <w:tc>
          <w:tcPr>
            <w:tcW w:w="1412"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0.00</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sz w:val="22"/>
                <w:szCs w:val="22"/>
              </w:rPr>
            </w:pPr>
            <w:r w:rsidRPr="00E34329">
              <w:rPr>
                <w:rFonts w:asciiTheme="minorHAnsi" w:eastAsia="Calibri" w:hAnsiTheme="minorHAnsi" w:cstheme="minorHAnsi"/>
                <w:sz w:val="22"/>
                <w:szCs w:val="22"/>
              </w:rPr>
              <w:t>Less: Non Tariff Income</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0%</w:t>
            </w: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eastAsia="Calibri" w:hAnsiTheme="minorHAnsi" w:cstheme="minorHAnsi"/>
                <w:sz w:val="22"/>
                <w:szCs w:val="22"/>
              </w:rPr>
            </w:pPr>
            <w:r>
              <w:rPr>
                <w:rFonts w:asciiTheme="minorHAnsi" w:hAnsiTheme="minorHAnsi"/>
                <w:color w:val="000000"/>
                <w:sz w:val="22"/>
                <w:szCs w:val="22"/>
              </w:rPr>
              <w:t>100%</w:t>
            </w: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   </w:t>
            </w:r>
          </w:p>
        </w:tc>
        <w:tc>
          <w:tcPr>
            <w:tcW w:w="1412"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 xml:space="preserve">          112.99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color w:val="000000"/>
                <w:sz w:val="22"/>
                <w:szCs w:val="22"/>
              </w:rPr>
            </w:pPr>
            <w:r>
              <w:rPr>
                <w:color w:val="000000"/>
                <w:sz w:val="20"/>
                <w:szCs w:val="20"/>
              </w:rPr>
              <w:t>112.99</w:t>
            </w:r>
          </w:p>
        </w:tc>
      </w:tr>
      <w:tr w:rsidR="00576854" w:rsidRPr="00093FE1" w:rsidTr="00C00360">
        <w:trPr>
          <w:trHeight w:val="225"/>
          <w:jc w:val="center"/>
        </w:trPr>
        <w:tc>
          <w:tcPr>
            <w:tcW w:w="4377" w:type="dxa"/>
            <w:tcBorders>
              <w:top w:val="nil"/>
              <w:left w:val="dotted" w:sz="4" w:space="0" w:color="auto"/>
              <w:bottom w:val="dotted" w:sz="4" w:space="0" w:color="auto"/>
              <w:right w:val="dotted" w:sz="4" w:space="0" w:color="auto"/>
            </w:tcBorders>
            <w:shd w:val="clear" w:color="auto" w:fill="auto"/>
            <w:noWrap/>
            <w:vAlign w:val="center"/>
            <w:hideMark/>
          </w:tcPr>
          <w:p w:rsidR="00576854" w:rsidRDefault="00576854">
            <w:pPr>
              <w:spacing w:before="0" w:line="240" w:lineRule="auto"/>
              <w:rPr>
                <w:rFonts w:asciiTheme="minorHAnsi" w:eastAsia="Calibri" w:hAnsiTheme="minorHAnsi" w:cstheme="minorHAnsi"/>
                <w:b/>
                <w:sz w:val="22"/>
                <w:szCs w:val="22"/>
              </w:rPr>
            </w:pPr>
            <w:r w:rsidRPr="00E34329">
              <w:rPr>
                <w:rFonts w:asciiTheme="minorHAnsi" w:eastAsia="Calibri" w:hAnsiTheme="minorHAnsi" w:cstheme="minorHAnsi"/>
                <w:b/>
                <w:sz w:val="22"/>
                <w:szCs w:val="22"/>
              </w:rPr>
              <w:lastRenderedPageBreak/>
              <w:t>Annual Revenue Requirement (ARR)</w:t>
            </w:r>
          </w:p>
        </w:tc>
        <w:tc>
          <w:tcPr>
            <w:tcW w:w="1093" w:type="dxa"/>
            <w:tcBorders>
              <w:top w:val="nil"/>
              <w:left w:val="nil"/>
              <w:bottom w:val="dotted" w:sz="4" w:space="0" w:color="auto"/>
              <w:right w:val="dotted" w:sz="4" w:space="0" w:color="auto"/>
            </w:tcBorders>
            <w:shd w:val="clear" w:color="auto" w:fill="auto"/>
            <w:noWrap/>
            <w:vAlign w:val="center"/>
            <w:hideMark/>
          </w:tcPr>
          <w:p w:rsidR="00576854" w:rsidRDefault="00576854" w:rsidP="00D920F1">
            <w:pPr>
              <w:spacing w:before="0" w:line="240" w:lineRule="auto"/>
              <w:jc w:val="right"/>
              <w:rPr>
                <w:rFonts w:asciiTheme="minorHAnsi" w:eastAsia="Calibri" w:hAnsiTheme="minorHAnsi" w:cstheme="minorHAnsi"/>
                <w:b/>
                <w:sz w:val="22"/>
                <w:szCs w:val="22"/>
                <w:lang w:val="en-US"/>
              </w:rPr>
            </w:pPr>
          </w:p>
        </w:tc>
        <w:tc>
          <w:tcPr>
            <w:tcW w:w="864" w:type="dxa"/>
            <w:tcBorders>
              <w:top w:val="nil"/>
              <w:left w:val="nil"/>
              <w:bottom w:val="dotted" w:sz="4" w:space="0" w:color="auto"/>
              <w:right w:val="dotted" w:sz="4" w:space="0" w:color="auto"/>
            </w:tcBorders>
            <w:shd w:val="clear" w:color="auto" w:fill="auto"/>
            <w:noWrap/>
            <w:vAlign w:val="center"/>
            <w:hideMark/>
          </w:tcPr>
          <w:p w:rsidR="00576854" w:rsidRDefault="00576854" w:rsidP="00D920F1">
            <w:pPr>
              <w:spacing w:before="0" w:line="240" w:lineRule="auto"/>
              <w:jc w:val="right"/>
              <w:rPr>
                <w:rFonts w:asciiTheme="minorHAnsi" w:eastAsia="Calibri" w:hAnsiTheme="minorHAnsi" w:cstheme="minorHAnsi"/>
                <w:b/>
                <w:sz w:val="22"/>
                <w:szCs w:val="22"/>
                <w:lang w:val="en-US"/>
              </w:rPr>
            </w:pPr>
          </w:p>
        </w:tc>
        <w:tc>
          <w:tcPr>
            <w:tcW w:w="1165" w:type="dxa"/>
            <w:tcBorders>
              <w:top w:val="nil"/>
              <w:left w:val="nil"/>
              <w:bottom w:val="dotted" w:sz="4" w:space="0" w:color="auto"/>
              <w:right w:val="dotted" w:sz="4" w:space="0" w:color="auto"/>
            </w:tcBorders>
            <w:shd w:val="clear" w:color="auto" w:fill="auto"/>
            <w:noWrap/>
            <w:vAlign w:val="center"/>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5,225.36 </w:t>
            </w:r>
          </w:p>
        </w:tc>
        <w:tc>
          <w:tcPr>
            <w:tcW w:w="1412"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 xml:space="preserve">     52,798.00 </w:t>
            </w:r>
          </w:p>
        </w:tc>
        <w:tc>
          <w:tcPr>
            <w:tcW w:w="1171" w:type="dxa"/>
            <w:tcBorders>
              <w:top w:val="nil"/>
              <w:left w:val="nil"/>
              <w:bottom w:val="dotted" w:sz="4" w:space="0" w:color="auto"/>
              <w:right w:val="dotted" w:sz="4" w:space="0" w:color="auto"/>
            </w:tcBorders>
            <w:shd w:val="clear" w:color="auto" w:fill="auto"/>
            <w:noWrap/>
            <w:vAlign w:val="bottom"/>
            <w:hideMark/>
          </w:tcPr>
          <w:p w:rsidR="00576854" w:rsidRDefault="00576854">
            <w:pPr>
              <w:spacing w:before="0" w:line="240" w:lineRule="auto"/>
              <w:jc w:val="right"/>
              <w:rPr>
                <w:rFonts w:asciiTheme="minorHAnsi" w:hAnsiTheme="minorHAnsi" w:cs="Calibri"/>
                <w:b/>
                <w:bCs/>
                <w:color w:val="000000"/>
                <w:sz w:val="22"/>
                <w:szCs w:val="22"/>
              </w:rPr>
            </w:pPr>
            <w:r>
              <w:rPr>
                <w:b/>
                <w:bCs/>
                <w:color w:val="000000"/>
                <w:sz w:val="20"/>
                <w:szCs w:val="20"/>
              </w:rPr>
              <w:t>58,023.36</w:t>
            </w:r>
          </w:p>
        </w:tc>
      </w:tr>
    </w:tbl>
    <w:p w:rsidR="00D5771F" w:rsidRDefault="00D5771F">
      <w:pPr>
        <w:tabs>
          <w:tab w:val="left" w:pos="4204"/>
        </w:tabs>
        <w:spacing w:before="0"/>
        <w:ind w:left="993"/>
        <w:outlineLvl w:val="2"/>
        <w:rPr>
          <w:rFonts w:cs="Arial"/>
          <w:bCs/>
          <w:szCs w:val="26"/>
        </w:rPr>
      </w:pPr>
    </w:p>
    <w:p w:rsidR="00D5771F" w:rsidRDefault="009B19CF">
      <w:pPr>
        <w:pStyle w:val="Heading3"/>
        <w:tabs>
          <w:tab w:val="clear" w:pos="720"/>
        </w:tabs>
        <w:spacing w:after="240"/>
        <w:ind w:left="993" w:hanging="993"/>
      </w:pPr>
      <w:r>
        <w:t>Based on the above, the wheeling charges for FY 2016-17 are as shown in the Table below:</w:t>
      </w:r>
    </w:p>
    <w:p w:rsidR="009B19CF" w:rsidRPr="00D14AAD" w:rsidRDefault="006C63AF" w:rsidP="009B19CF">
      <w:pPr>
        <w:spacing w:after="120" w:line="240" w:lineRule="auto"/>
        <w:jc w:val="center"/>
        <w:rPr>
          <w:rFonts w:cs="Calibri"/>
          <w:b/>
          <w:sz w:val="22"/>
        </w:rPr>
      </w:pPr>
      <w:bookmarkStart w:id="1086" w:name="_Toc397332362"/>
      <w:bookmarkStart w:id="1087" w:name="_Toc399324267"/>
      <w:bookmarkStart w:id="1088" w:name="_Toc399624138"/>
      <w:bookmarkStart w:id="1089" w:name="_Toc422309972"/>
      <w:bookmarkStart w:id="1090" w:name="_Toc457604084"/>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6</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2</w:t>
      </w:r>
      <w:r w:rsidR="009741CA" w:rsidRPr="006C63AF">
        <w:rPr>
          <w:rFonts w:cstheme="minorHAnsi"/>
          <w:b/>
          <w:sz w:val="22"/>
        </w:rPr>
        <w:fldChar w:fldCharType="end"/>
      </w:r>
      <w:r w:rsidRPr="006C63AF">
        <w:rPr>
          <w:rFonts w:cstheme="minorHAnsi"/>
          <w:b/>
          <w:sz w:val="22"/>
        </w:rPr>
        <w:t>: W</w:t>
      </w:r>
      <w:r w:rsidRPr="006C63AF">
        <w:rPr>
          <w:rFonts w:cs="Calibri"/>
          <w:b/>
          <w:sz w:val="22"/>
        </w:rPr>
        <w:t>HEELING CHARGES FOR FY 2016-17</w:t>
      </w:r>
      <w:bookmarkEnd w:id="1086"/>
      <w:bookmarkEnd w:id="1087"/>
      <w:bookmarkEnd w:id="1088"/>
      <w:bookmarkEnd w:id="1089"/>
      <w:bookmarkEnd w:id="1090"/>
    </w:p>
    <w:tbl>
      <w:tblPr>
        <w:tblW w:w="8951" w:type="dxa"/>
        <w:jc w:val="center"/>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006"/>
        <w:gridCol w:w="4432"/>
        <w:gridCol w:w="1613"/>
        <w:gridCol w:w="1900"/>
      </w:tblGrid>
      <w:tr w:rsidR="009B19CF" w:rsidRPr="00093FE1" w:rsidTr="005828E5">
        <w:trPr>
          <w:trHeight w:val="510"/>
          <w:tblHeader/>
          <w:jc w:val="center"/>
        </w:trPr>
        <w:tc>
          <w:tcPr>
            <w:tcW w:w="1006" w:type="dxa"/>
            <w:shd w:val="clear" w:color="000000" w:fill="DCE6F1"/>
            <w:hideMark/>
          </w:tcPr>
          <w:p w:rsidR="00603835" w:rsidRDefault="00E34329">
            <w:pPr>
              <w:spacing w:before="0" w:line="240" w:lineRule="auto"/>
              <w:jc w:val="center"/>
              <w:rPr>
                <w:b/>
                <w:sz w:val="22"/>
                <w:szCs w:val="22"/>
              </w:rPr>
            </w:pPr>
            <w:r w:rsidRPr="00E34329">
              <w:rPr>
                <w:b/>
                <w:sz w:val="22"/>
                <w:szCs w:val="22"/>
              </w:rPr>
              <w:t>S. No</w:t>
            </w:r>
          </w:p>
        </w:tc>
        <w:tc>
          <w:tcPr>
            <w:tcW w:w="4432" w:type="dxa"/>
            <w:shd w:val="clear" w:color="000000" w:fill="DCE6F1"/>
            <w:hideMark/>
          </w:tcPr>
          <w:p w:rsidR="00603835" w:rsidRDefault="00E34329">
            <w:pPr>
              <w:spacing w:before="0" w:line="240" w:lineRule="auto"/>
              <w:jc w:val="center"/>
              <w:rPr>
                <w:b/>
                <w:sz w:val="22"/>
                <w:szCs w:val="22"/>
              </w:rPr>
            </w:pPr>
            <w:r w:rsidRPr="00E34329">
              <w:rPr>
                <w:b/>
                <w:sz w:val="22"/>
                <w:szCs w:val="22"/>
              </w:rPr>
              <w:t>Particulars</w:t>
            </w:r>
          </w:p>
        </w:tc>
        <w:tc>
          <w:tcPr>
            <w:tcW w:w="1613" w:type="dxa"/>
            <w:shd w:val="clear" w:color="000000" w:fill="DCE6F1"/>
            <w:hideMark/>
          </w:tcPr>
          <w:p w:rsidR="00603835" w:rsidRDefault="00E34329">
            <w:pPr>
              <w:spacing w:before="0" w:line="240" w:lineRule="auto"/>
              <w:jc w:val="center"/>
              <w:rPr>
                <w:b/>
                <w:sz w:val="22"/>
                <w:szCs w:val="22"/>
              </w:rPr>
            </w:pPr>
            <w:r w:rsidRPr="00E34329">
              <w:rPr>
                <w:b/>
                <w:sz w:val="22"/>
                <w:szCs w:val="22"/>
              </w:rPr>
              <w:t>Units</w:t>
            </w:r>
          </w:p>
        </w:tc>
        <w:tc>
          <w:tcPr>
            <w:tcW w:w="1900" w:type="dxa"/>
            <w:shd w:val="clear" w:color="000000" w:fill="DCE6F1"/>
            <w:hideMark/>
          </w:tcPr>
          <w:p w:rsidR="00603835" w:rsidRDefault="00E34329">
            <w:pPr>
              <w:spacing w:before="0" w:line="240" w:lineRule="auto"/>
              <w:jc w:val="center"/>
              <w:rPr>
                <w:b/>
                <w:sz w:val="22"/>
                <w:szCs w:val="22"/>
              </w:rPr>
            </w:pPr>
            <w:r w:rsidRPr="00E34329">
              <w:rPr>
                <w:b/>
                <w:sz w:val="22"/>
                <w:szCs w:val="22"/>
              </w:rPr>
              <w:t>Approved</w:t>
            </w:r>
          </w:p>
          <w:p w:rsidR="00603835" w:rsidRDefault="00E34329">
            <w:pPr>
              <w:spacing w:before="0" w:line="240" w:lineRule="auto"/>
              <w:jc w:val="center"/>
              <w:rPr>
                <w:b/>
                <w:sz w:val="22"/>
                <w:szCs w:val="22"/>
              </w:rPr>
            </w:pPr>
            <w:r w:rsidRPr="00E34329">
              <w:rPr>
                <w:b/>
                <w:sz w:val="22"/>
                <w:szCs w:val="22"/>
              </w:rPr>
              <w:t>FY 2016-17</w:t>
            </w:r>
          </w:p>
        </w:tc>
      </w:tr>
      <w:tr w:rsidR="00C00360" w:rsidRPr="00093FE1" w:rsidTr="00D920F1">
        <w:trPr>
          <w:trHeight w:val="300"/>
          <w:jc w:val="center"/>
        </w:trPr>
        <w:tc>
          <w:tcPr>
            <w:tcW w:w="1006" w:type="dxa"/>
            <w:shd w:val="clear" w:color="auto" w:fill="auto"/>
            <w:noWrap/>
            <w:vAlign w:val="center"/>
            <w:hideMark/>
          </w:tcPr>
          <w:p w:rsidR="00C00360" w:rsidRDefault="00C00360">
            <w:pPr>
              <w:spacing w:before="0" w:line="240" w:lineRule="auto"/>
              <w:jc w:val="center"/>
              <w:rPr>
                <w:sz w:val="22"/>
                <w:szCs w:val="22"/>
              </w:rPr>
            </w:pPr>
            <w:r w:rsidRPr="00E34329">
              <w:rPr>
                <w:sz w:val="22"/>
                <w:szCs w:val="22"/>
              </w:rPr>
              <w:t>1</w:t>
            </w:r>
          </w:p>
        </w:tc>
        <w:tc>
          <w:tcPr>
            <w:tcW w:w="4432" w:type="dxa"/>
            <w:shd w:val="clear" w:color="auto" w:fill="auto"/>
            <w:vAlign w:val="center"/>
            <w:hideMark/>
          </w:tcPr>
          <w:p w:rsidR="00C00360" w:rsidRDefault="00C00360">
            <w:pPr>
              <w:spacing w:before="0" w:line="240" w:lineRule="auto"/>
              <w:rPr>
                <w:sz w:val="22"/>
                <w:szCs w:val="22"/>
              </w:rPr>
            </w:pPr>
            <w:r w:rsidRPr="00E34329">
              <w:rPr>
                <w:sz w:val="22"/>
                <w:szCs w:val="22"/>
              </w:rPr>
              <w:t>Wheeling ARR</w:t>
            </w:r>
          </w:p>
        </w:tc>
        <w:tc>
          <w:tcPr>
            <w:tcW w:w="1613" w:type="dxa"/>
            <w:shd w:val="clear" w:color="auto" w:fill="auto"/>
            <w:vAlign w:val="center"/>
            <w:hideMark/>
          </w:tcPr>
          <w:p w:rsidR="00C00360" w:rsidRDefault="00C00360">
            <w:pPr>
              <w:spacing w:before="0" w:line="240" w:lineRule="auto"/>
              <w:jc w:val="center"/>
              <w:rPr>
                <w:sz w:val="22"/>
                <w:szCs w:val="22"/>
              </w:rPr>
            </w:pPr>
            <w:r w:rsidRPr="00E34329">
              <w:rPr>
                <w:sz w:val="22"/>
                <w:szCs w:val="22"/>
              </w:rPr>
              <w:t>Rs. Crore</w:t>
            </w:r>
          </w:p>
        </w:tc>
        <w:tc>
          <w:tcPr>
            <w:tcW w:w="1900" w:type="dxa"/>
            <w:shd w:val="clear" w:color="auto" w:fill="auto"/>
            <w:noWrap/>
            <w:vAlign w:val="center"/>
            <w:hideMark/>
          </w:tcPr>
          <w:p w:rsidR="00C00360" w:rsidRDefault="00C00360">
            <w:pPr>
              <w:spacing w:before="0" w:line="240" w:lineRule="auto"/>
              <w:jc w:val="right"/>
              <w:rPr>
                <w:rFonts w:cs="Calibri"/>
                <w:color w:val="000000"/>
                <w:sz w:val="22"/>
                <w:szCs w:val="22"/>
              </w:rPr>
            </w:pPr>
            <w:r>
              <w:rPr>
                <w:color w:val="000000"/>
                <w:sz w:val="20"/>
                <w:szCs w:val="20"/>
              </w:rPr>
              <w:t>5,225.36</w:t>
            </w:r>
          </w:p>
        </w:tc>
      </w:tr>
      <w:tr w:rsidR="00C00360" w:rsidRPr="00093FE1" w:rsidTr="00D920F1">
        <w:trPr>
          <w:trHeight w:val="300"/>
          <w:jc w:val="center"/>
        </w:trPr>
        <w:tc>
          <w:tcPr>
            <w:tcW w:w="1006" w:type="dxa"/>
            <w:shd w:val="clear" w:color="auto" w:fill="auto"/>
            <w:noWrap/>
            <w:vAlign w:val="center"/>
            <w:hideMark/>
          </w:tcPr>
          <w:p w:rsidR="00C00360" w:rsidRDefault="00C00360">
            <w:pPr>
              <w:spacing w:before="0" w:line="240" w:lineRule="auto"/>
              <w:jc w:val="center"/>
              <w:rPr>
                <w:sz w:val="22"/>
                <w:szCs w:val="22"/>
              </w:rPr>
            </w:pPr>
            <w:r w:rsidRPr="00E34329">
              <w:rPr>
                <w:sz w:val="22"/>
                <w:szCs w:val="22"/>
              </w:rPr>
              <w:t>2</w:t>
            </w:r>
          </w:p>
        </w:tc>
        <w:tc>
          <w:tcPr>
            <w:tcW w:w="4432" w:type="dxa"/>
            <w:shd w:val="clear" w:color="auto" w:fill="auto"/>
            <w:vAlign w:val="center"/>
            <w:hideMark/>
          </w:tcPr>
          <w:p w:rsidR="00C00360" w:rsidRDefault="00C00360">
            <w:pPr>
              <w:spacing w:before="0" w:line="240" w:lineRule="auto"/>
              <w:rPr>
                <w:sz w:val="22"/>
                <w:szCs w:val="22"/>
              </w:rPr>
            </w:pPr>
            <w:r w:rsidRPr="00E34329">
              <w:rPr>
                <w:sz w:val="22"/>
                <w:szCs w:val="22"/>
              </w:rPr>
              <w:t>Retail sales (PVVNL, DVVNL, MVVNL, PuVVNL)</w:t>
            </w:r>
          </w:p>
        </w:tc>
        <w:tc>
          <w:tcPr>
            <w:tcW w:w="1613" w:type="dxa"/>
            <w:shd w:val="clear" w:color="auto" w:fill="auto"/>
            <w:vAlign w:val="center"/>
            <w:hideMark/>
          </w:tcPr>
          <w:p w:rsidR="00C00360" w:rsidRDefault="00C00360">
            <w:pPr>
              <w:spacing w:before="0" w:line="240" w:lineRule="auto"/>
              <w:jc w:val="center"/>
              <w:rPr>
                <w:sz w:val="22"/>
                <w:szCs w:val="22"/>
              </w:rPr>
            </w:pPr>
            <w:r w:rsidRPr="00E34329">
              <w:rPr>
                <w:sz w:val="22"/>
                <w:szCs w:val="22"/>
              </w:rPr>
              <w:t>MU</w:t>
            </w:r>
          </w:p>
        </w:tc>
        <w:tc>
          <w:tcPr>
            <w:tcW w:w="1900" w:type="dxa"/>
            <w:shd w:val="clear" w:color="auto" w:fill="auto"/>
            <w:noWrap/>
            <w:vAlign w:val="center"/>
            <w:hideMark/>
          </w:tcPr>
          <w:p w:rsidR="00C00360" w:rsidRDefault="00C00360">
            <w:pPr>
              <w:spacing w:before="0" w:line="240" w:lineRule="auto"/>
              <w:jc w:val="right"/>
              <w:rPr>
                <w:rFonts w:cs="Calibri"/>
                <w:color w:val="000000"/>
                <w:sz w:val="22"/>
                <w:szCs w:val="22"/>
              </w:rPr>
            </w:pPr>
            <w:r>
              <w:rPr>
                <w:color w:val="000000"/>
                <w:sz w:val="20"/>
                <w:szCs w:val="20"/>
              </w:rPr>
              <w:t>91,321</w:t>
            </w:r>
          </w:p>
        </w:tc>
      </w:tr>
      <w:tr w:rsidR="00C00360" w:rsidRPr="00093FE1" w:rsidTr="00D920F1">
        <w:trPr>
          <w:trHeight w:val="300"/>
          <w:jc w:val="center"/>
        </w:trPr>
        <w:tc>
          <w:tcPr>
            <w:tcW w:w="1006" w:type="dxa"/>
            <w:shd w:val="clear" w:color="auto" w:fill="auto"/>
            <w:noWrap/>
            <w:vAlign w:val="center"/>
            <w:hideMark/>
          </w:tcPr>
          <w:p w:rsidR="00C00360" w:rsidRDefault="00C00360">
            <w:pPr>
              <w:spacing w:before="0" w:line="240" w:lineRule="auto"/>
              <w:jc w:val="center"/>
              <w:rPr>
                <w:sz w:val="22"/>
                <w:szCs w:val="22"/>
              </w:rPr>
            </w:pPr>
            <w:r w:rsidRPr="00E34329">
              <w:rPr>
                <w:sz w:val="22"/>
                <w:szCs w:val="22"/>
              </w:rPr>
              <w:t>3</w:t>
            </w:r>
          </w:p>
        </w:tc>
        <w:tc>
          <w:tcPr>
            <w:tcW w:w="4432" w:type="dxa"/>
            <w:shd w:val="clear" w:color="auto" w:fill="auto"/>
            <w:vAlign w:val="center"/>
            <w:hideMark/>
          </w:tcPr>
          <w:p w:rsidR="00C00360" w:rsidRDefault="00C00360">
            <w:pPr>
              <w:spacing w:before="0" w:line="240" w:lineRule="auto"/>
              <w:rPr>
                <w:sz w:val="22"/>
                <w:szCs w:val="22"/>
              </w:rPr>
            </w:pPr>
            <w:r w:rsidRPr="00E34329">
              <w:rPr>
                <w:sz w:val="22"/>
                <w:szCs w:val="22"/>
              </w:rPr>
              <w:t>Average Wheeling charge</w:t>
            </w:r>
          </w:p>
        </w:tc>
        <w:tc>
          <w:tcPr>
            <w:tcW w:w="1613" w:type="dxa"/>
            <w:shd w:val="clear" w:color="auto" w:fill="auto"/>
            <w:vAlign w:val="center"/>
            <w:hideMark/>
          </w:tcPr>
          <w:p w:rsidR="00C00360" w:rsidRDefault="00C00360">
            <w:pPr>
              <w:spacing w:before="0" w:line="240" w:lineRule="auto"/>
              <w:jc w:val="center"/>
              <w:rPr>
                <w:sz w:val="22"/>
                <w:szCs w:val="22"/>
              </w:rPr>
            </w:pPr>
            <w:r w:rsidRPr="00E34329">
              <w:rPr>
                <w:sz w:val="22"/>
                <w:szCs w:val="22"/>
              </w:rPr>
              <w:t>Rs./kWh</w:t>
            </w:r>
          </w:p>
        </w:tc>
        <w:tc>
          <w:tcPr>
            <w:tcW w:w="1900" w:type="dxa"/>
            <w:shd w:val="clear" w:color="auto" w:fill="auto"/>
            <w:noWrap/>
            <w:vAlign w:val="center"/>
            <w:hideMark/>
          </w:tcPr>
          <w:p w:rsidR="00C00360" w:rsidRDefault="00C00360">
            <w:pPr>
              <w:spacing w:before="0" w:line="240" w:lineRule="auto"/>
              <w:jc w:val="right"/>
              <w:rPr>
                <w:rFonts w:cs="Calibri"/>
                <w:color w:val="000000"/>
                <w:sz w:val="22"/>
                <w:szCs w:val="22"/>
              </w:rPr>
            </w:pPr>
            <w:r>
              <w:rPr>
                <w:color w:val="000000"/>
                <w:sz w:val="20"/>
                <w:szCs w:val="20"/>
              </w:rPr>
              <w:t>0.572</w:t>
            </w:r>
          </w:p>
        </w:tc>
      </w:tr>
    </w:tbl>
    <w:p w:rsidR="00D5771F" w:rsidRDefault="00D5771F">
      <w:pPr>
        <w:spacing w:before="0"/>
        <w:ind w:left="993"/>
        <w:outlineLvl w:val="2"/>
        <w:rPr>
          <w:rFonts w:cs="Arial"/>
          <w:bCs/>
          <w:szCs w:val="26"/>
        </w:rPr>
      </w:pPr>
    </w:p>
    <w:p w:rsidR="00D5771F" w:rsidRDefault="009B19CF">
      <w:pPr>
        <w:pStyle w:val="Heading3"/>
        <w:tabs>
          <w:tab w:val="clear" w:pos="720"/>
        </w:tabs>
        <w:spacing w:after="240"/>
        <w:ind w:left="993" w:hanging="993"/>
      </w:pPr>
      <w:r>
        <w:t>The Commission, in order to encourage Open Access transactions in the State, has further tried to segregate the wheeling charges payable by consumers seeking Open Access based on the voltage levels at which they are connected to the distribution network. However, in absence of voltage level wise break-up of expenses and asset details, the Commission has considered an interim allocation of costs at various voltage levels and approved the following wheeling charges payable by Open Access customers based on the voltage level at which they are connected with the distribution network.</w:t>
      </w:r>
    </w:p>
    <w:p w:rsidR="00D5771F" w:rsidRDefault="009B19CF">
      <w:pPr>
        <w:pStyle w:val="Heading3"/>
        <w:tabs>
          <w:tab w:val="clear" w:pos="720"/>
        </w:tabs>
        <w:spacing w:after="240"/>
        <w:ind w:left="993" w:hanging="993"/>
      </w:pPr>
      <w:r>
        <w:t>The charges have been worked out on the assumption that the wheeling expenses at 11 kV voltage level shall be 80% of the average wheeling charges determined for the Wheeling function of all Distribution Licensees and that for wheeling at voltages above 11 kV shall be 50% of the average wheeling charges. Further, as specified in the Tariff Order of UPPTCL for FY 2016-17, the</w:t>
      </w:r>
      <w:r w:rsidRPr="004469B2">
        <w:t xml:space="preserve"> Commissio</w:t>
      </w:r>
      <w:r>
        <w:t>n has considered the transmission open access charges for short term open access at the same level as approved for Long term open access. In view of the same the Commission has approved the short term distribution wheeling charges same as long term wheeling charges.</w:t>
      </w:r>
    </w:p>
    <w:p w:rsidR="009B19CF" w:rsidRPr="00D14AAD" w:rsidRDefault="006C63AF" w:rsidP="009B19CF">
      <w:pPr>
        <w:spacing w:after="120" w:line="240" w:lineRule="auto"/>
        <w:jc w:val="center"/>
        <w:rPr>
          <w:rFonts w:cs="Calibri"/>
          <w:b/>
          <w:sz w:val="22"/>
        </w:rPr>
      </w:pPr>
      <w:bookmarkStart w:id="1091" w:name="_Toc399624139"/>
      <w:bookmarkStart w:id="1092" w:name="_Toc422309973"/>
      <w:bookmarkStart w:id="1093" w:name="_Toc457604085"/>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6</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3</w:t>
      </w:r>
      <w:r w:rsidR="009741CA" w:rsidRPr="006C63AF">
        <w:rPr>
          <w:rFonts w:cstheme="minorHAnsi"/>
          <w:b/>
          <w:sz w:val="22"/>
        </w:rPr>
        <w:fldChar w:fldCharType="end"/>
      </w:r>
      <w:r w:rsidRPr="006C63AF">
        <w:rPr>
          <w:rFonts w:cstheme="minorHAnsi"/>
          <w:b/>
          <w:sz w:val="22"/>
        </w:rPr>
        <w:t>: A</w:t>
      </w:r>
      <w:r w:rsidRPr="006C63AF">
        <w:rPr>
          <w:rFonts w:cs="Calibri"/>
          <w:b/>
          <w:sz w:val="22"/>
        </w:rPr>
        <w:t>PPROVED VOLTAGE-WISE WHEELING CHARGES FOR FY 2016-17</w:t>
      </w:r>
      <w:bookmarkEnd w:id="1091"/>
      <w:bookmarkEnd w:id="1092"/>
      <w:bookmarkEnd w:id="1093"/>
    </w:p>
    <w:tbl>
      <w:tblPr>
        <w:tblW w:w="8403" w:type="dxa"/>
        <w:jc w:val="center"/>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47"/>
        <w:gridCol w:w="4846"/>
        <w:gridCol w:w="1344"/>
        <w:gridCol w:w="1366"/>
      </w:tblGrid>
      <w:tr w:rsidR="009B19CF" w:rsidRPr="00093FE1" w:rsidTr="005828E5">
        <w:trPr>
          <w:trHeight w:val="504"/>
          <w:tblHeader/>
          <w:jc w:val="center"/>
        </w:trPr>
        <w:tc>
          <w:tcPr>
            <w:tcW w:w="847" w:type="dxa"/>
            <w:shd w:val="clear" w:color="000000" w:fill="DCE6F1"/>
            <w:noWrap/>
            <w:hideMark/>
          </w:tcPr>
          <w:p w:rsidR="00603835" w:rsidRDefault="00E34329">
            <w:pPr>
              <w:spacing w:before="0" w:line="240" w:lineRule="auto"/>
              <w:jc w:val="center"/>
              <w:rPr>
                <w:rFonts w:cs="Arial"/>
                <w:b/>
                <w:bCs/>
                <w:color w:val="000000"/>
                <w:kern w:val="32"/>
                <w:sz w:val="22"/>
                <w:szCs w:val="22"/>
              </w:rPr>
            </w:pPr>
            <w:r w:rsidRPr="00E34329">
              <w:rPr>
                <w:b/>
                <w:bCs/>
                <w:color w:val="000000"/>
                <w:sz w:val="22"/>
                <w:szCs w:val="22"/>
              </w:rPr>
              <w:t>S. No.</w:t>
            </w:r>
          </w:p>
        </w:tc>
        <w:tc>
          <w:tcPr>
            <w:tcW w:w="4846" w:type="dxa"/>
            <w:shd w:val="clear" w:color="000000" w:fill="DCE6F1"/>
            <w:noWrap/>
            <w:hideMark/>
          </w:tcPr>
          <w:p w:rsidR="00603835" w:rsidRDefault="00E34329">
            <w:pPr>
              <w:spacing w:before="0" w:line="240" w:lineRule="auto"/>
              <w:jc w:val="center"/>
              <w:rPr>
                <w:rFonts w:cs="Arial"/>
                <w:b/>
                <w:bCs/>
                <w:color w:val="000000"/>
                <w:kern w:val="32"/>
                <w:sz w:val="22"/>
                <w:szCs w:val="22"/>
              </w:rPr>
            </w:pPr>
            <w:r w:rsidRPr="00E34329">
              <w:rPr>
                <w:b/>
                <w:bCs/>
                <w:color w:val="000000"/>
                <w:sz w:val="22"/>
                <w:szCs w:val="22"/>
              </w:rPr>
              <w:t>Particulars</w:t>
            </w:r>
          </w:p>
        </w:tc>
        <w:tc>
          <w:tcPr>
            <w:tcW w:w="1344" w:type="dxa"/>
            <w:shd w:val="clear" w:color="000000" w:fill="DCE6F1"/>
            <w:hideMark/>
          </w:tcPr>
          <w:p w:rsidR="00603835" w:rsidRDefault="00E34329">
            <w:pPr>
              <w:spacing w:before="0" w:line="240" w:lineRule="auto"/>
              <w:jc w:val="center"/>
              <w:rPr>
                <w:rFonts w:cs="Arial"/>
                <w:b/>
                <w:bCs/>
                <w:color w:val="000000"/>
                <w:kern w:val="32"/>
                <w:sz w:val="22"/>
                <w:szCs w:val="22"/>
              </w:rPr>
            </w:pPr>
            <w:r w:rsidRPr="00E34329">
              <w:rPr>
                <w:b/>
                <w:bCs/>
                <w:color w:val="000000"/>
                <w:sz w:val="22"/>
                <w:szCs w:val="22"/>
              </w:rPr>
              <w:t>Units</w:t>
            </w:r>
          </w:p>
        </w:tc>
        <w:tc>
          <w:tcPr>
            <w:tcW w:w="1366" w:type="dxa"/>
            <w:shd w:val="clear" w:color="000000" w:fill="DCE6F1"/>
            <w:hideMark/>
          </w:tcPr>
          <w:p w:rsidR="00603835" w:rsidRDefault="00E34329">
            <w:pPr>
              <w:spacing w:before="0" w:line="240" w:lineRule="auto"/>
              <w:jc w:val="center"/>
              <w:rPr>
                <w:rFonts w:cs="Arial"/>
                <w:b/>
                <w:bCs/>
                <w:color w:val="000000"/>
                <w:kern w:val="32"/>
                <w:sz w:val="22"/>
                <w:szCs w:val="22"/>
              </w:rPr>
            </w:pPr>
            <w:r w:rsidRPr="00E34329">
              <w:rPr>
                <w:b/>
                <w:bCs/>
                <w:color w:val="000000"/>
                <w:sz w:val="22"/>
                <w:szCs w:val="22"/>
              </w:rPr>
              <w:t>Approved FY 2016-17</w:t>
            </w:r>
          </w:p>
        </w:tc>
      </w:tr>
      <w:tr w:rsidR="009B19CF" w:rsidRPr="00093FE1" w:rsidTr="00D920F1">
        <w:trPr>
          <w:trHeight w:val="296"/>
          <w:jc w:val="center"/>
        </w:trPr>
        <w:tc>
          <w:tcPr>
            <w:tcW w:w="847" w:type="dxa"/>
            <w:shd w:val="clear" w:color="auto" w:fill="auto"/>
            <w:noWrap/>
            <w:vAlign w:val="center"/>
            <w:hideMark/>
          </w:tcPr>
          <w:p w:rsidR="00D5771F" w:rsidRDefault="00E34329">
            <w:pPr>
              <w:spacing w:before="0" w:line="240" w:lineRule="auto"/>
              <w:jc w:val="center"/>
              <w:rPr>
                <w:rFonts w:cs="Arial"/>
                <w:b/>
                <w:bCs/>
                <w:color w:val="333399"/>
                <w:kern w:val="32"/>
                <w:sz w:val="22"/>
                <w:szCs w:val="22"/>
              </w:rPr>
            </w:pPr>
            <w:r w:rsidRPr="00E34329">
              <w:rPr>
                <w:sz w:val="22"/>
                <w:szCs w:val="22"/>
              </w:rPr>
              <w:t>1</w:t>
            </w:r>
          </w:p>
        </w:tc>
        <w:tc>
          <w:tcPr>
            <w:tcW w:w="4846" w:type="dxa"/>
            <w:shd w:val="clear" w:color="auto" w:fill="auto"/>
            <w:vAlign w:val="center"/>
            <w:hideMark/>
          </w:tcPr>
          <w:p w:rsidR="00D5771F" w:rsidRDefault="00E34329">
            <w:pPr>
              <w:spacing w:before="0" w:line="240" w:lineRule="auto"/>
              <w:rPr>
                <w:rFonts w:cs="Arial"/>
                <w:b/>
                <w:bCs/>
                <w:color w:val="333399"/>
                <w:kern w:val="32"/>
                <w:sz w:val="22"/>
                <w:szCs w:val="22"/>
              </w:rPr>
            </w:pPr>
            <w:r w:rsidRPr="00E34329">
              <w:rPr>
                <w:sz w:val="22"/>
                <w:szCs w:val="22"/>
              </w:rPr>
              <w:t>Connected at 11 kV</w:t>
            </w:r>
          </w:p>
        </w:tc>
        <w:tc>
          <w:tcPr>
            <w:tcW w:w="1344" w:type="dxa"/>
            <w:shd w:val="clear" w:color="auto" w:fill="auto"/>
            <w:vAlign w:val="center"/>
            <w:hideMark/>
          </w:tcPr>
          <w:p w:rsidR="00D5771F" w:rsidRDefault="00D5771F">
            <w:pPr>
              <w:spacing w:before="0" w:line="240" w:lineRule="auto"/>
              <w:jc w:val="center"/>
              <w:rPr>
                <w:sz w:val="22"/>
                <w:szCs w:val="22"/>
              </w:rPr>
            </w:pPr>
          </w:p>
        </w:tc>
        <w:tc>
          <w:tcPr>
            <w:tcW w:w="1366" w:type="dxa"/>
            <w:shd w:val="clear" w:color="auto" w:fill="auto"/>
            <w:noWrap/>
            <w:vAlign w:val="center"/>
            <w:hideMark/>
          </w:tcPr>
          <w:p w:rsidR="00D5771F" w:rsidRDefault="00D5771F">
            <w:pPr>
              <w:spacing w:before="0" w:line="240" w:lineRule="auto"/>
              <w:jc w:val="center"/>
              <w:rPr>
                <w:color w:val="000000"/>
                <w:sz w:val="22"/>
                <w:szCs w:val="22"/>
              </w:rPr>
            </w:pPr>
          </w:p>
        </w:tc>
      </w:tr>
      <w:tr w:rsidR="009B19CF" w:rsidRPr="00093FE1" w:rsidTr="00D920F1">
        <w:trPr>
          <w:trHeight w:val="296"/>
          <w:jc w:val="center"/>
        </w:trPr>
        <w:tc>
          <w:tcPr>
            <w:tcW w:w="847" w:type="dxa"/>
            <w:shd w:val="clear" w:color="auto" w:fill="auto"/>
            <w:noWrap/>
            <w:vAlign w:val="center"/>
            <w:hideMark/>
          </w:tcPr>
          <w:p w:rsidR="00D5771F" w:rsidRDefault="00E34329">
            <w:pPr>
              <w:spacing w:before="0" w:line="240" w:lineRule="auto"/>
              <w:jc w:val="center"/>
              <w:rPr>
                <w:sz w:val="22"/>
                <w:szCs w:val="22"/>
              </w:rPr>
            </w:pPr>
            <w:r w:rsidRPr="00E34329">
              <w:rPr>
                <w:sz w:val="22"/>
                <w:szCs w:val="22"/>
              </w:rPr>
              <w:t>I</w:t>
            </w:r>
          </w:p>
        </w:tc>
        <w:tc>
          <w:tcPr>
            <w:tcW w:w="4846" w:type="dxa"/>
            <w:shd w:val="clear" w:color="auto" w:fill="auto"/>
            <w:vAlign w:val="center"/>
            <w:hideMark/>
          </w:tcPr>
          <w:p w:rsidR="00D5771F" w:rsidRDefault="00E34329">
            <w:pPr>
              <w:spacing w:before="0" w:line="240" w:lineRule="auto"/>
              <w:rPr>
                <w:sz w:val="22"/>
                <w:szCs w:val="22"/>
              </w:rPr>
            </w:pPr>
            <w:r w:rsidRPr="00E34329">
              <w:rPr>
                <w:sz w:val="22"/>
                <w:szCs w:val="22"/>
              </w:rPr>
              <w:t>Long Term (@ 80% of Average Wheeling Charge)</w:t>
            </w:r>
          </w:p>
        </w:tc>
        <w:tc>
          <w:tcPr>
            <w:tcW w:w="1344" w:type="dxa"/>
            <w:shd w:val="clear" w:color="auto" w:fill="auto"/>
            <w:vAlign w:val="center"/>
            <w:hideMark/>
          </w:tcPr>
          <w:p w:rsidR="00D5771F" w:rsidRDefault="00E34329">
            <w:pPr>
              <w:spacing w:before="0" w:line="240" w:lineRule="auto"/>
              <w:jc w:val="center"/>
              <w:rPr>
                <w:sz w:val="22"/>
                <w:szCs w:val="22"/>
              </w:rPr>
            </w:pPr>
            <w:r w:rsidRPr="00E34329">
              <w:rPr>
                <w:sz w:val="22"/>
                <w:szCs w:val="22"/>
              </w:rPr>
              <w:t>Rs./kWh</w:t>
            </w:r>
          </w:p>
        </w:tc>
        <w:tc>
          <w:tcPr>
            <w:tcW w:w="1366" w:type="dxa"/>
            <w:shd w:val="clear" w:color="auto" w:fill="auto"/>
            <w:noWrap/>
            <w:vAlign w:val="center"/>
            <w:hideMark/>
          </w:tcPr>
          <w:p w:rsidR="00D5771F" w:rsidRDefault="009B19CF">
            <w:pPr>
              <w:spacing w:before="0" w:line="240" w:lineRule="auto"/>
              <w:jc w:val="right"/>
              <w:rPr>
                <w:rFonts w:cs="Calibri"/>
                <w:color w:val="000000"/>
                <w:sz w:val="22"/>
                <w:szCs w:val="22"/>
              </w:rPr>
            </w:pPr>
            <w:r>
              <w:rPr>
                <w:rFonts w:asciiTheme="minorHAnsi" w:hAnsiTheme="minorHAnsi"/>
                <w:color w:val="000000"/>
                <w:sz w:val="22"/>
                <w:szCs w:val="22"/>
              </w:rPr>
              <w:t>0.45</w:t>
            </w:r>
            <w:r w:rsidR="00C00360">
              <w:rPr>
                <w:rFonts w:asciiTheme="minorHAnsi" w:hAnsiTheme="minorHAnsi"/>
                <w:color w:val="000000"/>
                <w:sz w:val="22"/>
                <w:szCs w:val="22"/>
              </w:rPr>
              <w:t>8</w:t>
            </w:r>
          </w:p>
        </w:tc>
      </w:tr>
      <w:tr w:rsidR="009B19CF" w:rsidRPr="00093FE1" w:rsidTr="00D920F1">
        <w:trPr>
          <w:trHeight w:val="296"/>
          <w:jc w:val="center"/>
        </w:trPr>
        <w:tc>
          <w:tcPr>
            <w:tcW w:w="847" w:type="dxa"/>
            <w:shd w:val="clear" w:color="auto" w:fill="auto"/>
            <w:noWrap/>
            <w:vAlign w:val="center"/>
            <w:hideMark/>
          </w:tcPr>
          <w:p w:rsidR="00D5771F" w:rsidRDefault="00E34329">
            <w:pPr>
              <w:spacing w:before="0" w:line="240" w:lineRule="auto"/>
              <w:jc w:val="center"/>
              <w:rPr>
                <w:sz w:val="22"/>
                <w:szCs w:val="22"/>
              </w:rPr>
            </w:pPr>
            <w:r w:rsidRPr="00E34329">
              <w:rPr>
                <w:sz w:val="22"/>
                <w:szCs w:val="22"/>
              </w:rPr>
              <w:t>II</w:t>
            </w:r>
          </w:p>
        </w:tc>
        <w:tc>
          <w:tcPr>
            <w:tcW w:w="4846" w:type="dxa"/>
            <w:shd w:val="clear" w:color="auto" w:fill="auto"/>
            <w:vAlign w:val="center"/>
            <w:hideMark/>
          </w:tcPr>
          <w:p w:rsidR="00D5771F" w:rsidRDefault="00E34329">
            <w:pPr>
              <w:spacing w:before="0" w:line="240" w:lineRule="auto"/>
              <w:rPr>
                <w:sz w:val="22"/>
                <w:szCs w:val="22"/>
              </w:rPr>
            </w:pPr>
            <w:r w:rsidRPr="00E34329">
              <w:rPr>
                <w:sz w:val="22"/>
                <w:szCs w:val="22"/>
              </w:rPr>
              <w:t>Short Term (@ 80% of Average Wheeling Charge)</w:t>
            </w:r>
          </w:p>
        </w:tc>
        <w:tc>
          <w:tcPr>
            <w:tcW w:w="1344" w:type="dxa"/>
            <w:shd w:val="clear" w:color="auto" w:fill="auto"/>
            <w:vAlign w:val="center"/>
            <w:hideMark/>
          </w:tcPr>
          <w:p w:rsidR="00D5771F" w:rsidRDefault="00E34329">
            <w:pPr>
              <w:spacing w:before="0" w:line="240" w:lineRule="auto"/>
              <w:jc w:val="center"/>
              <w:rPr>
                <w:sz w:val="22"/>
                <w:szCs w:val="22"/>
              </w:rPr>
            </w:pPr>
            <w:r w:rsidRPr="00E34329">
              <w:rPr>
                <w:sz w:val="22"/>
                <w:szCs w:val="22"/>
              </w:rPr>
              <w:t>Rs./kWh</w:t>
            </w:r>
          </w:p>
        </w:tc>
        <w:tc>
          <w:tcPr>
            <w:tcW w:w="1366" w:type="dxa"/>
            <w:shd w:val="clear" w:color="auto" w:fill="auto"/>
            <w:noWrap/>
            <w:vAlign w:val="center"/>
            <w:hideMark/>
          </w:tcPr>
          <w:p w:rsidR="00D5771F" w:rsidRDefault="009B19CF">
            <w:pPr>
              <w:spacing w:before="0" w:line="240" w:lineRule="auto"/>
              <w:jc w:val="right"/>
              <w:rPr>
                <w:rFonts w:cs="Calibri"/>
                <w:color w:val="000000"/>
                <w:sz w:val="22"/>
                <w:szCs w:val="22"/>
              </w:rPr>
            </w:pPr>
            <w:r>
              <w:rPr>
                <w:rFonts w:asciiTheme="minorHAnsi" w:hAnsiTheme="minorHAnsi"/>
                <w:color w:val="000000"/>
                <w:sz w:val="22"/>
                <w:szCs w:val="22"/>
              </w:rPr>
              <w:t>0.45</w:t>
            </w:r>
            <w:r w:rsidR="00C00360">
              <w:rPr>
                <w:rFonts w:asciiTheme="minorHAnsi" w:hAnsiTheme="minorHAnsi"/>
                <w:color w:val="000000"/>
                <w:sz w:val="22"/>
                <w:szCs w:val="22"/>
              </w:rPr>
              <w:t>8</w:t>
            </w:r>
          </w:p>
        </w:tc>
      </w:tr>
      <w:tr w:rsidR="009B19CF" w:rsidRPr="00093FE1" w:rsidTr="00D920F1">
        <w:trPr>
          <w:trHeight w:val="296"/>
          <w:jc w:val="center"/>
        </w:trPr>
        <w:tc>
          <w:tcPr>
            <w:tcW w:w="847" w:type="dxa"/>
            <w:shd w:val="clear" w:color="auto" w:fill="auto"/>
            <w:noWrap/>
            <w:vAlign w:val="center"/>
            <w:hideMark/>
          </w:tcPr>
          <w:p w:rsidR="00D5771F" w:rsidRDefault="00E34329">
            <w:pPr>
              <w:spacing w:before="0" w:line="240" w:lineRule="auto"/>
              <w:jc w:val="center"/>
              <w:rPr>
                <w:sz w:val="22"/>
                <w:szCs w:val="22"/>
              </w:rPr>
            </w:pPr>
            <w:r w:rsidRPr="00E34329">
              <w:rPr>
                <w:sz w:val="22"/>
                <w:szCs w:val="22"/>
              </w:rPr>
              <w:lastRenderedPageBreak/>
              <w:t>2</w:t>
            </w:r>
          </w:p>
        </w:tc>
        <w:tc>
          <w:tcPr>
            <w:tcW w:w="4846" w:type="dxa"/>
            <w:shd w:val="clear" w:color="auto" w:fill="auto"/>
            <w:vAlign w:val="center"/>
            <w:hideMark/>
          </w:tcPr>
          <w:p w:rsidR="00D5771F" w:rsidRDefault="00E34329">
            <w:pPr>
              <w:spacing w:before="0" w:line="240" w:lineRule="auto"/>
              <w:rPr>
                <w:sz w:val="22"/>
                <w:szCs w:val="22"/>
              </w:rPr>
            </w:pPr>
            <w:r w:rsidRPr="00E34329">
              <w:rPr>
                <w:sz w:val="22"/>
                <w:szCs w:val="22"/>
              </w:rPr>
              <w:t>Connected above 11 kV</w:t>
            </w:r>
          </w:p>
        </w:tc>
        <w:tc>
          <w:tcPr>
            <w:tcW w:w="1344" w:type="dxa"/>
            <w:shd w:val="clear" w:color="auto" w:fill="auto"/>
            <w:vAlign w:val="center"/>
            <w:hideMark/>
          </w:tcPr>
          <w:p w:rsidR="00D5771F" w:rsidRDefault="00D5771F">
            <w:pPr>
              <w:spacing w:before="0" w:line="240" w:lineRule="auto"/>
              <w:jc w:val="center"/>
              <w:rPr>
                <w:sz w:val="22"/>
                <w:szCs w:val="22"/>
              </w:rPr>
            </w:pPr>
          </w:p>
        </w:tc>
        <w:tc>
          <w:tcPr>
            <w:tcW w:w="1366" w:type="dxa"/>
            <w:shd w:val="clear" w:color="auto" w:fill="auto"/>
            <w:noWrap/>
            <w:vAlign w:val="center"/>
            <w:hideMark/>
          </w:tcPr>
          <w:p w:rsidR="00D5771F" w:rsidRDefault="009B19CF">
            <w:pPr>
              <w:spacing w:before="0" w:line="240" w:lineRule="auto"/>
              <w:jc w:val="right"/>
              <w:rPr>
                <w:sz w:val="22"/>
                <w:szCs w:val="22"/>
              </w:rPr>
            </w:pPr>
            <w:r>
              <w:rPr>
                <w:rFonts w:asciiTheme="minorHAnsi" w:hAnsiTheme="minorHAnsi"/>
                <w:color w:val="000000"/>
                <w:sz w:val="22"/>
                <w:szCs w:val="22"/>
              </w:rPr>
              <w:t> </w:t>
            </w:r>
          </w:p>
        </w:tc>
      </w:tr>
      <w:tr w:rsidR="009B19CF" w:rsidRPr="00093FE1" w:rsidTr="00D920F1">
        <w:trPr>
          <w:trHeight w:val="296"/>
          <w:jc w:val="center"/>
        </w:trPr>
        <w:tc>
          <w:tcPr>
            <w:tcW w:w="847" w:type="dxa"/>
            <w:shd w:val="clear" w:color="auto" w:fill="auto"/>
            <w:noWrap/>
            <w:vAlign w:val="center"/>
            <w:hideMark/>
          </w:tcPr>
          <w:p w:rsidR="00D5771F" w:rsidRDefault="00E34329">
            <w:pPr>
              <w:spacing w:before="0" w:line="240" w:lineRule="auto"/>
              <w:jc w:val="center"/>
              <w:rPr>
                <w:sz w:val="22"/>
                <w:szCs w:val="22"/>
              </w:rPr>
            </w:pPr>
            <w:r w:rsidRPr="00E34329">
              <w:rPr>
                <w:sz w:val="22"/>
                <w:szCs w:val="22"/>
              </w:rPr>
              <w:t>I</w:t>
            </w:r>
          </w:p>
        </w:tc>
        <w:tc>
          <w:tcPr>
            <w:tcW w:w="4846" w:type="dxa"/>
            <w:shd w:val="clear" w:color="auto" w:fill="auto"/>
            <w:vAlign w:val="center"/>
            <w:hideMark/>
          </w:tcPr>
          <w:p w:rsidR="00D5771F" w:rsidRDefault="00E34329">
            <w:pPr>
              <w:spacing w:before="0" w:line="240" w:lineRule="auto"/>
              <w:rPr>
                <w:sz w:val="22"/>
                <w:szCs w:val="22"/>
              </w:rPr>
            </w:pPr>
            <w:r w:rsidRPr="00E34329">
              <w:rPr>
                <w:sz w:val="22"/>
                <w:szCs w:val="22"/>
              </w:rPr>
              <w:t>Long Term (@ 50% of Average Wheeling Charge)</w:t>
            </w:r>
          </w:p>
        </w:tc>
        <w:tc>
          <w:tcPr>
            <w:tcW w:w="1344" w:type="dxa"/>
            <w:shd w:val="clear" w:color="auto" w:fill="auto"/>
            <w:hideMark/>
          </w:tcPr>
          <w:p w:rsidR="00D5771F" w:rsidRDefault="00E34329">
            <w:pPr>
              <w:spacing w:before="0" w:line="240" w:lineRule="auto"/>
              <w:jc w:val="center"/>
              <w:rPr>
                <w:sz w:val="22"/>
                <w:szCs w:val="22"/>
              </w:rPr>
            </w:pPr>
            <w:r w:rsidRPr="00E34329">
              <w:rPr>
                <w:sz w:val="22"/>
                <w:szCs w:val="22"/>
              </w:rPr>
              <w:t>Rs./kWh</w:t>
            </w:r>
          </w:p>
        </w:tc>
        <w:tc>
          <w:tcPr>
            <w:tcW w:w="1366" w:type="dxa"/>
            <w:shd w:val="clear" w:color="auto" w:fill="auto"/>
            <w:noWrap/>
            <w:vAlign w:val="center"/>
            <w:hideMark/>
          </w:tcPr>
          <w:p w:rsidR="00D5771F" w:rsidRDefault="009B19CF">
            <w:pPr>
              <w:spacing w:before="0" w:line="240" w:lineRule="auto"/>
              <w:jc w:val="right"/>
              <w:rPr>
                <w:sz w:val="22"/>
                <w:szCs w:val="22"/>
              </w:rPr>
            </w:pPr>
            <w:r>
              <w:rPr>
                <w:rFonts w:asciiTheme="minorHAnsi" w:hAnsiTheme="minorHAnsi"/>
                <w:color w:val="000000"/>
                <w:sz w:val="22"/>
                <w:szCs w:val="22"/>
              </w:rPr>
              <w:t>0.28</w:t>
            </w:r>
            <w:r w:rsidR="00C00360">
              <w:rPr>
                <w:rFonts w:asciiTheme="minorHAnsi" w:hAnsiTheme="minorHAnsi"/>
                <w:color w:val="000000"/>
                <w:sz w:val="22"/>
                <w:szCs w:val="22"/>
              </w:rPr>
              <w:t>6</w:t>
            </w:r>
          </w:p>
        </w:tc>
      </w:tr>
      <w:tr w:rsidR="009B19CF" w:rsidRPr="00093FE1" w:rsidTr="00D920F1">
        <w:trPr>
          <w:trHeight w:val="296"/>
          <w:jc w:val="center"/>
        </w:trPr>
        <w:tc>
          <w:tcPr>
            <w:tcW w:w="847" w:type="dxa"/>
            <w:shd w:val="clear" w:color="auto" w:fill="auto"/>
            <w:noWrap/>
            <w:vAlign w:val="center"/>
            <w:hideMark/>
          </w:tcPr>
          <w:p w:rsidR="00D5771F" w:rsidRDefault="00E34329">
            <w:pPr>
              <w:spacing w:before="0" w:line="240" w:lineRule="auto"/>
              <w:jc w:val="center"/>
              <w:rPr>
                <w:sz w:val="22"/>
                <w:szCs w:val="22"/>
              </w:rPr>
            </w:pPr>
            <w:r w:rsidRPr="00E34329">
              <w:rPr>
                <w:sz w:val="22"/>
                <w:szCs w:val="22"/>
              </w:rPr>
              <w:t>II</w:t>
            </w:r>
          </w:p>
        </w:tc>
        <w:tc>
          <w:tcPr>
            <w:tcW w:w="4846" w:type="dxa"/>
            <w:shd w:val="clear" w:color="auto" w:fill="auto"/>
            <w:vAlign w:val="center"/>
            <w:hideMark/>
          </w:tcPr>
          <w:p w:rsidR="00D5771F" w:rsidRDefault="00E34329">
            <w:pPr>
              <w:spacing w:before="0" w:line="240" w:lineRule="auto"/>
              <w:rPr>
                <w:sz w:val="22"/>
                <w:szCs w:val="22"/>
              </w:rPr>
            </w:pPr>
            <w:r w:rsidRPr="00E34329">
              <w:rPr>
                <w:sz w:val="22"/>
                <w:szCs w:val="22"/>
              </w:rPr>
              <w:t>Short Term (@ 50% of Average Wheeling Charge)</w:t>
            </w:r>
          </w:p>
        </w:tc>
        <w:tc>
          <w:tcPr>
            <w:tcW w:w="1344" w:type="dxa"/>
            <w:shd w:val="clear" w:color="auto" w:fill="auto"/>
            <w:hideMark/>
          </w:tcPr>
          <w:p w:rsidR="00D5771F" w:rsidRDefault="00E34329">
            <w:pPr>
              <w:spacing w:before="0" w:line="240" w:lineRule="auto"/>
              <w:jc w:val="center"/>
              <w:rPr>
                <w:sz w:val="22"/>
                <w:szCs w:val="22"/>
              </w:rPr>
            </w:pPr>
            <w:r w:rsidRPr="00E34329">
              <w:rPr>
                <w:sz w:val="22"/>
                <w:szCs w:val="22"/>
              </w:rPr>
              <w:t>Rs./kWh</w:t>
            </w:r>
          </w:p>
        </w:tc>
        <w:tc>
          <w:tcPr>
            <w:tcW w:w="1366" w:type="dxa"/>
            <w:shd w:val="clear" w:color="auto" w:fill="auto"/>
            <w:noWrap/>
            <w:vAlign w:val="center"/>
            <w:hideMark/>
          </w:tcPr>
          <w:p w:rsidR="00D5771F" w:rsidRDefault="009B19CF">
            <w:pPr>
              <w:spacing w:before="0" w:line="240" w:lineRule="auto"/>
              <w:jc w:val="right"/>
              <w:rPr>
                <w:sz w:val="22"/>
                <w:szCs w:val="22"/>
              </w:rPr>
            </w:pPr>
            <w:r>
              <w:rPr>
                <w:rFonts w:asciiTheme="minorHAnsi" w:hAnsiTheme="minorHAnsi"/>
                <w:color w:val="000000"/>
                <w:sz w:val="22"/>
                <w:szCs w:val="22"/>
              </w:rPr>
              <w:t>0.28</w:t>
            </w:r>
            <w:r w:rsidR="00C00360">
              <w:rPr>
                <w:rFonts w:asciiTheme="minorHAnsi" w:hAnsiTheme="minorHAnsi"/>
                <w:color w:val="000000"/>
                <w:sz w:val="22"/>
                <w:szCs w:val="22"/>
              </w:rPr>
              <w:t>6</w:t>
            </w:r>
          </w:p>
        </w:tc>
      </w:tr>
    </w:tbl>
    <w:p w:rsidR="00D5771F" w:rsidRDefault="00D5771F">
      <w:pPr>
        <w:spacing w:before="0"/>
      </w:pPr>
    </w:p>
    <w:p w:rsidR="00D5771F" w:rsidRDefault="009B19CF">
      <w:pPr>
        <w:pStyle w:val="Heading3"/>
        <w:tabs>
          <w:tab w:val="clear" w:pos="720"/>
        </w:tabs>
        <w:spacing w:after="240"/>
        <w:ind w:left="993" w:hanging="993"/>
      </w:pPr>
      <w:r>
        <w:t>In addition to the payment of wheeling charges, the customers also have to bear the wheeling losses in kind. The Commission has been seeking voltage level loss data from the utility but the same has not been forthcoming. Further, it is also logical that the open access customers have to bear only the technical losses in the system, and should not be asked to bear any part of the commercial losses.</w:t>
      </w:r>
    </w:p>
    <w:p w:rsidR="00D5771F" w:rsidRDefault="009B19CF">
      <w:pPr>
        <w:pStyle w:val="Heading3"/>
        <w:tabs>
          <w:tab w:val="clear" w:pos="720"/>
        </w:tabs>
        <w:spacing w:after="240"/>
        <w:ind w:left="993" w:hanging="993"/>
      </w:pPr>
      <w:r>
        <w:t>The Commission has considered the wheeling loss applicable for Open Access transactions entailing drawl at 11 kV voltage level as 8%, and that for drawl at voltages above 11 kV voltage level as 4% which in inline with the approach adopted by the Commission in its Tariff Order for FY 2015-16 as well as submitted by Petitioner during the proceedings in the matter of ARR / Tariff determination of FY 2016-17.</w:t>
      </w:r>
    </w:p>
    <w:p w:rsidR="00D5771F" w:rsidRDefault="009B19CF">
      <w:pPr>
        <w:pStyle w:val="Heading3"/>
        <w:tabs>
          <w:tab w:val="clear" w:pos="720"/>
        </w:tabs>
        <w:spacing w:after="240"/>
        <w:ind w:left="993" w:hanging="993"/>
      </w:pPr>
      <w:r>
        <w:t>The open access charges and the losses to be borne by the Open Access customers may be reviewed by the Commission on submission of the relevant information by the Licensee.</w:t>
      </w:r>
    </w:p>
    <w:p w:rsidR="00D5771F" w:rsidRDefault="009B19CF">
      <w:pPr>
        <w:pStyle w:val="Heading3"/>
        <w:tabs>
          <w:tab w:val="clear" w:pos="720"/>
        </w:tabs>
        <w:spacing w:after="240"/>
        <w:ind w:left="993" w:hanging="993"/>
      </w:pPr>
      <w:r>
        <w:t>The wheeling charges determined above shall not be payable if the Open Access customer is availing supply directly from the state transmission network.</w:t>
      </w:r>
    </w:p>
    <w:p w:rsidR="006C63AF" w:rsidRDefault="006C63AF" w:rsidP="006C63AF">
      <w:pPr>
        <w:pStyle w:val="Heading3"/>
        <w:numPr>
          <w:ilvl w:val="0"/>
          <w:numId w:val="0"/>
        </w:numPr>
        <w:tabs>
          <w:tab w:val="clear" w:pos="720"/>
        </w:tabs>
        <w:spacing w:before="0"/>
        <w:ind w:left="993"/>
      </w:pPr>
    </w:p>
    <w:p w:rsidR="006C63AF" w:rsidRDefault="009B19CF" w:rsidP="006C63AF">
      <w:pPr>
        <w:pStyle w:val="Heading2"/>
        <w:numPr>
          <w:ilvl w:val="1"/>
          <w:numId w:val="30"/>
        </w:numPr>
        <w:tabs>
          <w:tab w:val="num" w:pos="360"/>
        </w:tabs>
        <w:spacing w:before="0" w:after="120"/>
        <w:rPr>
          <w:rFonts w:cs="Calibri"/>
        </w:rPr>
      </w:pPr>
      <w:bookmarkStart w:id="1094" w:name="_Toc397332169"/>
      <w:bookmarkStart w:id="1095" w:name="_Toc399320597"/>
      <w:bookmarkStart w:id="1096" w:name="_Toc399623756"/>
      <w:bookmarkStart w:id="1097" w:name="_Toc422310082"/>
      <w:bookmarkStart w:id="1098" w:name="_Toc455311777"/>
      <w:bookmarkStart w:id="1099" w:name="_Toc457603971"/>
      <w:r w:rsidRPr="007F4126">
        <w:rPr>
          <w:rFonts w:cs="Calibri"/>
        </w:rPr>
        <w:t>CROSS SUBSIDY SURCHARGE</w:t>
      </w:r>
      <w:bookmarkEnd w:id="1094"/>
      <w:bookmarkEnd w:id="1095"/>
      <w:bookmarkEnd w:id="1096"/>
      <w:bookmarkEnd w:id="1097"/>
      <w:bookmarkEnd w:id="1098"/>
      <w:bookmarkEnd w:id="1099"/>
    </w:p>
    <w:p w:rsidR="00D5771F" w:rsidRDefault="009B19CF">
      <w:pPr>
        <w:pStyle w:val="Heading3"/>
        <w:tabs>
          <w:tab w:val="clear" w:pos="720"/>
        </w:tabs>
        <w:spacing w:after="240"/>
        <w:ind w:left="993" w:hanging="993"/>
      </w:pPr>
      <w:r>
        <w:t>As regards the Cross Subsidy Surcharge, Regulation 6.6 of the Distribution Tariff Regulations, 2006 specifies as follows:</w:t>
      </w:r>
    </w:p>
    <w:p w:rsidR="009B19CF" w:rsidRPr="004469B2" w:rsidRDefault="009B19CF" w:rsidP="009B19CF">
      <w:pPr>
        <w:autoSpaceDE w:val="0"/>
        <w:autoSpaceDN w:val="0"/>
        <w:adjustRightInd w:val="0"/>
        <w:spacing w:line="312" w:lineRule="auto"/>
        <w:ind w:left="720" w:firstLine="720"/>
        <w:rPr>
          <w:rFonts w:cs="Calibri"/>
          <w:b/>
          <w:bCs/>
          <w:i/>
        </w:rPr>
      </w:pPr>
      <w:r>
        <w:rPr>
          <w:rFonts w:cs="Calibri"/>
          <w:b/>
          <w:bCs/>
          <w:i/>
        </w:rPr>
        <w:t>“6.6 Surcharge</w:t>
      </w:r>
    </w:p>
    <w:p w:rsidR="009B19CF" w:rsidRDefault="009B19CF" w:rsidP="009B19CF">
      <w:pPr>
        <w:autoSpaceDE w:val="0"/>
        <w:autoSpaceDN w:val="0"/>
        <w:adjustRightInd w:val="0"/>
        <w:spacing w:line="312" w:lineRule="auto"/>
        <w:ind w:left="1440"/>
        <w:rPr>
          <w:rFonts w:cs="Calibri"/>
          <w:i/>
        </w:rPr>
      </w:pPr>
      <w:r>
        <w:rPr>
          <w:rFonts w:cs="Calibri"/>
          <w:i/>
        </w:rPr>
        <w:t xml:space="preserve">1. Till such time the cross subsidies are eliminated, the open access consumer shall pay to the distribution licensee a cross subsidy surcharge in addition to wheeling charges. Surcharge to be levied on the open access consumer shall be determined by the Commission keeping in view the loss </w:t>
      </w:r>
      <w:r>
        <w:rPr>
          <w:rFonts w:cs="Calibri"/>
          <w:i/>
        </w:rPr>
        <w:lastRenderedPageBreak/>
        <w:t>of cross-subsidy from the consumers or category of consumers who have opted for open access to take supply from a person other than the incumbent distribution licensee.</w:t>
      </w:r>
    </w:p>
    <w:p w:rsidR="009B19CF" w:rsidRDefault="009B19CF" w:rsidP="009B19CF">
      <w:pPr>
        <w:autoSpaceDE w:val="0"/>
        <w:autoSpaceDN w:val="0"/>
        <w:adjustRightInd w:val="0"/>
        <w:spacing w:line="312" w:lineRule="auto"/>
        <w:ind w:left="1440"/>
        <w:rPr>
          <w:rFonts w:cs="Calibri"/>
          <w:i/>
        </w:rPr>
      </w:pPr>
      <w:r>
        <w:rPr>
          <w:rFonts w:cs="Calibri"/>
          <w:i/>
        </w:rPr>
        <w:t>2. When open access is allowed the surcharge for the purpose of sections 38, 39, 40 and sub-section 2 of section 42 would be computed as the difference between (i) the tariff applicable to the relevant category of consumers and (ii) the cost of the distribution licensee to supply electricity to the consumers of the applicable class. In case of a consumer opting for open access, the distribution licensee could be in a position to discontinue purchase of power at the margin in the merit order. Accordingly, the cost of supply to the consumer for this purpose may be computed as the aggregate of (a) the weighted average of power purchase costs (inclusive of fixed and variable charges) of top 5% power at the margin, excluding liquid fuel based generation, in the merit order approved by the UPERC adjusted for average loss compensation of the relevant voltage level and (b) the transmission and distribution wheeling charges as determined in accordance with the UPERC Terms and Conditions for Determination of Distribution and Transmission Tariff Regulations as amended from time to time.</w:t>
      </w:r>
    </w:p>
    <w:p w:rsidR="009B19CF" w:rsidRPr="004469B2" w:rsidRDefault="009B19CF" w:rsidP="009B19CF">
      <w:pPr>
        <w:autoSpaceDE w:val="0"/>
        <w:autoSpaceDN w:val="0"/>
        <w:adjustRightInd w:val="0"/>
        <w:spacing w:line="312" w:lineRule="auto"/>
        <w:ind w:left="720" w:firstLine="720"/>
        <w:rPr>
          <w:rFonts w:cs="Calibri"/>
          <w:i/>
        </w:rPr>
      </w:pPr>
      <w:r>
        <w:rPr>
          <w:rFonts w:cs="Calibri"/>
          <w:i/>
        </w:rPr>
        <w:t>Cross Subsidy Surcharge formula:</w:t>
      </w:r>
    </w:p>
    <w:p w:rsidR="009B19CF" w:rsidRPr="004469B2" w:rsidRDefault="009B19CF" w:rsidP="009B19CF">
      <w:pPr>
        <w:autoSpaceDE w:val="0"/>
        <w:autoSpaceDN w:val="0"/>
        <w:adjustRightInd w:val="0"/>
        <w:spacing w:line="312" w:lineRule="auto"/>
        <w:ind w:left="720" w:firstLine="720"/>
        <w:rPr>
          <w:rFonts w:cs="Calibri"/>
          <w:b/>
          <w:i/>
        </w:rPr>
      </w:pPr>
      <w:r>
        <w:rPr>
          <w:rFonts w:cs="Calibri"/>
          <w:b/>
          <w:i/>
        </w:rPr>
        <w:t>S = T – [C (1+ L / 100) + D]</w:t>
      </w:r>
    </w:p>
    <w:p w:rsidR="009B19CF" w:rsidRDefault="009B19CF" w:rsidP="009B19CF">
      <w:pPr>
        <w:autoSpaceDE w:val="0"/>
        <w:autoSpaceDN w:val="0"/>
        <w:adjustRightInd w:val="0"/>
        <w:spacing w:line="312" w:lineRule="auto"/>
        <w:ind w:left="1440" w:firstLine="720"/>
        <w:rPr>
          <w:rFonts w:cs="Calibri"/>
          <w:i/>
        </w:rPr>
      </w:pPr>
      <w:r>
        <w:rPr>
          <w:rFonts w:cs="Calibri"/>
          <w:i/>
        </w:rPr>
        <w:t>Where</w:t>
      </w:r>
    </w:p>
    <w:p w:rsidR="009B19CF" w:rsidRDefault="009B19CF" w:rsidP="009B19CF">
      <w:pPr>
        <w:autoSpaceDE w:val="0"/>
        <w:autoSpaceDN w:val="0"/>
        <w:adjustRightInd w:val="0"/>
        <w:spacing w:line="312" w:lineRule="auto"/>
        <w:ind w:left="1440" w:firstLine="720"/>
        <w:rPr>
          <w:rFonts w:cs="Calibri"/>
          <w:i/>
        </w:rPr>
      </w:pPr>
      <w:r>
        <w:rPr>
          <w:rFonts w:cs="Calibri"/>
          <w:i/>
        </w:rPr>
        <w:t>S is the cross subsidy surcharge</w:t>
      </w:r>
    </w:p>
    <w:p w:rsidR="009B19CF" w:rsidRDefault="009B19CF" w:rsidP="009B19CF">
      <w:pPr>
        <w:autoSpaceDE w:val="0"/>
        <w:autoSpaceDN w:val="0"/>
        <w:adjustRightInd w:val="0"/>
        <w:spacing w:line="312" w:lineRule="auto"/>
        <w:ind w:left="1440" w:firstLine="720"/>
        <w:rPr>
          <w:rFonts w:cs="Calibri"/>
          <w:i/>
        </w:rPr>
      </w:pPr>
      <w:r>
        <w:rPr>
          <w:rFonts w:cs="Calibri"/>
          <w:i/>
        </w:rPr>
        <w:t>T is the Tariff payable by the relevant category of consumers;</w:t>
      </w:r>
    </w:p>
    <w:p w:rsidR="005828E5" w:rsidRDefault="009B19CF" w:rsidP="009B19CF">
      <w:pPr>
        <w:autoSpaceDE w:val="0"/>
        <w:autoSpaceDN w:val="0"/>
        <w:adjustRightInd w:val="0"/>
        <w:spacing w:line="312" w:lineRule="auto"/>
        <w:ind w:left="2160"/>
        <w:rPr>
          <w:rFonts w:cs="Calibri"/>
          <w:i/>
        </w:rPr>
      </w:pPr>
      <w:r>
        <w:rPr>
          <w:rFonts w:cs="Calibri"/>
          <w:i/>
        </w:rPr>
        <w:t>C is the Weighted average cost of power purchase of top 5% at the margin excluding liquid fuel based generation and renewable power</w:t>
      </w:r>
    </w:p>
    <w:p w:rsidR="00337C98" w:rsidRDefault="009B19CF" w:rsidP="00337C98">
      <w:pPr>
        <w:autoSpaceDE w:val="0"/>
        <w:autoSpaceDN w:val="0"/>
        <w:adjustRightInd w:val="0"/>
        <w:spacing w:line="312" w:lineRule="auto"/>
        <w:ind w:left="2160"/>
        <w:rPr>
          <w:rFonts w:cs="Calibri"/>
          <w:i/>
        </w:rPr>
      </w:pPr>
      <w:r>
        <w:rPr>
          <w:rFonts w:cs="Calibri"/>
          <w:i/>
        </w:rPr>
        <w:t>D is the Wheeling charges for transmission and distribution of power.</w:t>
      </w:r>
    </w:p>
    <w:p w:rsidR="009B19CF" w:rsidRDefault="009B19CF" w:rsidP="009B19CF">
      <w:pPr>
        <w:autoSpaceDE w:val="0"/>
        <w:autoSpaceDN w:val="0"/>
        <w:adjustRightInd w:val="0"/>
        <w:spacing w:line="312" w:lineRule="auto"/>
        <w:ind w:left="2160"/>
        <w:rPr>
          <w:rFonts w:cs="Calibri"/>
          <w:i/>
        </w:rPr>
      </w:pPr>
      <w:r>
        <w:rPr>
          <w:rFonts w:cs="Calibri"/>
          <w:i/>
        </w:rPr>
        <w:lastRenderedPageBreak/>
        <w:t>L is the system Losses for the applicable voltage level, expressed as a percentage</w:t>
      </w:r>
    </w:p>
    <w:p w:rsidR="009B19CF" w:rsidRDefault="009B19CF" w:rsidP="009B19CF">
      <w:pPr>
        <w:autoSpaceDE w:val="0"/>
        <w:autoSpaceDN w:val="0"/>
        <w:adjustRightInd w:val="0"/>
        <w:spacing w:line="312" w:lineRule="auto"/>
        <w:ind w:left="2160"/>
        <w:rPr>
          <w:rFonts w:cs="Calibri"/>
          <w:i/>
        </w:rPr>
      </w:pPr>
      <w:r>
        <w:rPr>
          <w:rFonts w:cs="Calibri"/>
          <w:i/>
        </w:rPr>
        <w:t>The cross-subsidy surcharge shall be brought down progressively and, as far as possible, at a linear rate to a maximum of 20% of its opening level by the year 2010-11.</w:t>
      </w:r>
    </w:p>
    <w:p w:rsidR="009B19CF" w:rsidRPr="004469B2" w:rsidRDefault="009B19CF" w:rsidP="009B19CF">
      <w:pPr>
        <w:autoSpaceDE w:val="0"/>
        <w:autoSpaceDN w:val="0"/>
        <w:adjustRightInd w:val="0"/>
        <w:spacing w:line="312" w:lineRule="auto"/>
        <w:ind w:left="1440"/>
        <w:rPr>
          <w:rFonts w:cs="Calibri"/>
          <w:i/>
        </w:rPr>
      </w:pPr>
      <w:r>
        <w:rPr>
          <w:rFonts w:cs="Calibri"/>
          <w:i/>
        </w:rPr>
        <w:t>…</w:t>
      </w:r>
    </w:p>
    <w:p w:rsidR="009B19CF" w:rsidRDefault="009B19CF" w:rsidP="009B19CF">
      <w:pPr>
        <w:ind w:left="1440"/>
      </w:pPr>
      <w:r>
        <w:rPr>
          <w:rFonts w:cs="Calibri"/>
          <w:i/>
        </w:rPr>
        <w:t>5. However, in order to facilitate open access, the Commission may adopt a procedure different from the procedure stated above for the calculation of cross subsidy surcharge consistent with the provisions of the EA 2003 and the spirit of the tariff policy after considering the view points of licensee and the open access customer.”</w:t>
      </w:r>
    </w:p>
    <w:p w:rsidR="00D5771F" w:rsidRDefault="009B19CF">
      <w:pPr>
        <w:pStyle w:val="Heading3"/>
        <w:tabs>
          <w:tab w:val="clear" w:pos="720"/>
        </w:tabs>
        <w:spacing w:after="240"/>
        <w:ind w:left="993" w:hanging="993"/>
      </w:pPr>
      <w:r>
        <w:t>The Commission has computed the cross-subsidy surcharge for Open Access consumers in accordance with the methodology specified in Clause 6.6 of Distribution Tariff Regulations.</w:t>
      </w:r>
    </w:p>
    <w:p w:rsidR="00D5771F" w:rsidRDefault="009B19CF">
      <w:pPr>
        <w:pStyle w:val="Heading3"/>
        <w:tabs>
          <w:tab w:val="clear" w:pos="720"/>
        </w:tabs>
        <w:spacing w:after="240"/>
        <w:ind w:left="993" w:hanging="993"/>
      </w:pPr>
      <w:r>
        <w:t xml:space="preserve"> As per Clause 6.6, the Cross Subsidy Surcharge is to be computed based on the difference between (i) the tariff applicable to the relevant category of consumers and (ii) the cost of the Distribution Licensee to supply electricity to the consumers of the applicable class. In case of a consumer opting for open access, the Distribution Licensee could be in a position to discontinue purchase of power at the margin in the merit order. Accordingly, the Commission has computed the cost of supply to the consumer for this purpose as the aggregate of (a) the weighted average of power purchase costs (inclusive of fixed and variable charges) of top 5% power at the margin, excluding renewable and liquid fuel based generation, adjusted for average loss compensation of the relevant voltage level, and (b) the distribution wheeling charges as determined in the preceding section.</w:t>
      </w:r>
    </w:p>
    <w:p w:rsidR="00D5771F" w:rsidRDefault="009B19CF">
      <w:pPr>
        <w:pStyle w:val="Heading3"/>
        <w:tabs>
          <w:tab w:val="clear" w:pos="720"/>
        </w:tabs>
        <w:spacing w:after="240"/>
        <w:ind w:left="993" w:hanging="993"/>
      </w:pPr>
      <w:r>
        <w:t>The Commission has computed the Cross Subsidy Surcharge for the relevant consumer categories using the following formula:</w:t>
      </w:r>
    </w:p>
    <w:p w:rsidR="009B19CF" w:rsidRDefault="009B19CF" w:rsidP="009B19CF">
      <w:pPr>
        <w:ind w:left="1440"/>
        <w:rPr>
          <w:rFonts w:cs="Arial"/>
          <w:bCs/>
        </w:rPr>
      </w:pPr>
      <w:r>
        <w:rPr>
          <w:rFonts w:cs="Arial"/>
          <w:bCs/>
        </w:rPr>
        <w:t>S = T – [C (1+ L / 100) + D]</w:t>
      </w:r>
    </w:p>
    <w:p w:rsidR="009B19CF" w:rsidRDefault="009B19CF" w:rsidP="009B19CF">
      <w:pPr>
        <w:ind w:left="1440"/>
        <w:rPr>
          <w:rFonts w:cs="Arial"/>
          <w:bCs/>
        </w:rPr>
      </w:pPr>
      <w:r>
        <w:rPr>
          <w:rFonts w:cs="Arial"/>
          <w:bCs/>
        </w:rPr>
        <w:t>Where</w:t>
      </w:r>
    </w:p>
    <w:p w:rsidR="009B19CF" w:rsidRDefault="009B19CF" w:rsidP="009B19CF">
      <w:pPr>
        <w:ind w:left="1440"/>
        <w:rPr>
          <w:rFonts w:cs="Arial"/>
          <w:bCs/>
        </w:rPr>
      </w:pPr>
      <w:r>
        <w:rPr>
          <w:rFonts w:cs="Arial"/>
          <w:bCs/>
        </w:rPr>
        <w:t>S is the cross subsidy surcharge</w:t>
      </w:r>
    </w:p>
    <w:p w:rsidR="009B19CF" w:rsidRDefault="009B19CF" w:rsidP="009B19CF">
      <w:pPr>
        <w:ind w:left="1440"/>
        <w:rPr>
          <w:rFonts w:cs="Arial"/>
          <w:bCs/>
        </w:rPr>
      </w:pPr>
      <w:r>
        <w:rPr>
          <w:rFonts w:cs="Arial"/>
          <w:bCs/>
        </w:rPr>
        <w:t>T is the Tariff payable by the relevant category of consumers;</w:t>
      </w:r>
    </w:p>
    <w:p w:rsidR="009B19CF" w:rsidRDefault="009B19CF" w:rsidP="009B19CF">
      <w:pPr>
        <w:ind w:left="1440"/>
      </w:pPr>
      <w:r>
        <w:rPr>
          <w:rFonts w:cs="Arial"/>
          <w:bCs/>
        </w:rPr>
        <w:lastRenderedPageBreak/>
        <w:t>C is the Weighted average cost of power purchase of top 5% at the margin excluding liquid fuel based generatio</w:t>
      </w:r>
      <w:r>
        <w:t xml:space="preserve">n and renewable power. </w:t>
      </w:r>
      <w:r w:rsidRPr="00B102BC">
        <w:t>In case of UP, this works out to Rs. 6.</w:t>
      </w:r>
      <w:r w:rsidRPr="007F4126">
        <w:t>12</w:t>
      </w:r>
      <w:r w:rsidRPr="00B102BC">
        <w:t xml:space="preserve"> / kWh considering the cost of marginal power purchase sources of </w:t>
      </w:r>
      <w:r>
        <w:t xml:space="preserve">Bajaj Hindustan, </w:t>
      </w:r>
      <w:r w:rsidRPr="007F4126">
        <w:t xml:space="preserve">IGSTPP, Jhajhjhar, Auriya and </w:t>
      </w:r>
      <w:r w:rsidRPr="00B102BC">
        <w:t>Rosa Power Project.</w:t>
      </w:r>
    </w:p>
    <w:p w:rsidR="009B19CF" w:rsidRDefault="009B19CF" w:rsidP="009B19CF">
      <w:pPr>
        <w:ind w:left="1440"/>
      </w:pPr>
      <w:r>
        <w:t xml:space="preserve">D is the wheeling charges. </w:t>
      </w:r>
    </w:p>
    <w:p w:rsidR="009B19CF" w:rsidRDefault="009B19CF" w:rsidP="009B19CF">
      <w:pPr>
        <w:ind w:left="1440"/>
      </w:pPr>
      <w:r>
        <w:t>L is the system losses for the applicable voltage level, expressed as a percentage, which is considered as 4% for HT Categories (above 11 KV) and 8% for HT Categories (at 11 KV) as submitted by the Licensee in its reply to deficiency.</w:t>
      </w:r>
    </w:p>
    <w:p w:rsidR="00D5771F" w:rsidRDefault="009B19CF">
      <w:pPr>
        <w:pStyle w:val="Heading3"/>
        <w:tabs>
          <w:tab w:val="clear" w:pos="720"/>
        </w:tabs>
        <w:spacing w:after="240"/>
        <w:ind w:left="993" w:hanging="993"/>
      </w:pPr>
      <w:r>
        <w:t>The cost of the Distribution Licensee to supply electricity to the consumers of the HV-2 category (above 11 KV) and HV-2 category (at 11 KV) is working out as shown in the Table below:</w:t>
      </w:r>
    </w:p>
    <w:p w:rsidR="009B19CF" w:rsidRPr="00D14AAD" w:rsidRDefault="006C63AF" w:rsidP="009B19CF">
      <w:pPr>
        <w:jc w:val="center"/>
        <w:rPr>
          <w:b/>
          <w:sz w:val="22"/>
        </w:rPr>
      </w:pPr>
      <w:bookmarkStart w:id="1100" w:name="_Toc399624140"/>
      <w:bookmarkStart w:id="1101" w:name="_Toc422309974"/>
      <w:bookmarkStart w:id="1102" w:name="_Toc457604086"/>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6</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4</w:t>
      </w:r>
      <w:r w:rsidR="009741CA" w:rsidRPr="006C63AF">
        <w:rPr>
          <w:rFonts w:cstheme="minorHAnsi"/>
          <w:b/>
          <w:sz w:val="22"/>
        </w:rPr>
        <w:fldChar w:fldCharType="end"/>
      </w:r>
      <w:r w:rsidRPr="006C63AF">
        <w:rPr>
          <w:rFonts w:cstheme="minorHAnsi"/>
          <w:b/>
          <w:sz w:val="22"/>
        </w:rPr>
        <w:t>: C</w:t>
      </w:r>
      <w:r w:rsidRPr="006C63AF">
        <w:rPr>
          <w:b/>
          <w:sz w:val="22"/>
        </w:rPr>
        <w:t>OST OF SUPPLY APPROVED BY THE COMMISSION FOR FY 2016-17</w:t>
      </w:r>
      <w:bookmarkEnd w:id="1100"/>
      <w:bookmarkEnd w:id="1101"/>
      <w:bookmarkEnd w:id="1102"/>
    </w:p>
    <w:tbl>
      <w:tblPr>
        <w:tblW w:w="9860" w:type="dxa"/>
        <w:jc w:val="center"/>
        <w:tblInd w:w="103" w:type="dxa"/>
        <w:tblLook w:val="04A0"/>
      </w:tblPr>
      <w:tblGrid>
        <w:gridCol w:w="927"/>
        <w:gridCol w:w="2858"/>
        <w:gridCol w:w="1530"/>
        <w:gridCol w:w="2070"/>
        <w:gridCol w:w="1260"/>
        <w:gridCol w:w="1215"/>
      </w:tblGrid>
      <w:tr w:rsidR="009B19CF" w:rsidRPr="00093FE1" w:rsidTr="005828E5">
        <w:trPr>
          <w:trHeight w:val="465"/>
          <w:tblHeader/>
          <w:jc w:val="center"/>
        </w:trPr>
        <w:tc>
          <w:tcPr>
            <w:tcW w:w="927" w:type="dxa"/>
            <w:tcBorders>
              <w:top w:val="dotted" w:sz="4" w:space="0" w:color="auto"/>
              <w:left w:val="dotted" w:sz="4" w:space="0" w:color="auto"/>
              <w:bottom w:val="dotted" w:sz="4" w:space="0" w:color="auto"/>
              <w:right w:val="dotted" w:sz="4" w:space="0" w:color="auto"/>
            </w:tcBorders>
            <w:shd w:val="clear" w:color="000000" w:fill="DCE6F1"/>
            <w:hideMark/>
          </w:tcPr>
          <w:p w:rsidR="00603835" w:rsidRDefault="00E34329">
            <w:pPr>
              <w:spacing w:before="0" w:line="240" w:lineRule="auto"/>
              <w:jc w:val="center"/>
              <w:rPr>
                <w:b/>
                <w:bCs/>
                <w:color w:val="000000"/>
                <w:sz w:val="22"/>
                <w:szCs w:val="22"/>
              </w:rPr>
            </w:pPr>
            <w:r w:rsidRPr="00E34329">
              <w:rPr>
                <w:b/>
                <w:bCs/>
                <w:color w:val="000000"/>
                <w:sz w:val="22"/>
                <w:szCs w:val="22"/>
              </w:rPr>
              <w:t>S No.</w:t>
            </w:r>
          </w:p>
        </w:tc>
        <w:tc>
          <w:tcPr>
            <w:tcW w:w="2858" w:type="dxa"/>
            <w:tcBorders>
              <w:top w:val="dotted" w:sz="4" w:space="0" w:color="auto"/>
              <w:left w:val="nil"/>
              <w:bottom w:val="dotted" w:sz="4" w:space="0" w:color="auto"/>
              <w:right w:val="dotted" w:sz="4" w:space="0" w:color="auto"/>
            </w:tcBorders>
            <w:shd w:val="clear" w:color="000000" w:fill="DCE6F1"/>
            <w:hideMark/>
          </w:tcPr>
          <w:p w:rsidR="00603835" w:rsidRDefault="00E34329">
            <w:pPr>
              <w:spacing w:before="0" w:line="240" w:lineRule="auto"/>
              <w:jc w:val="center"/>
              <w:rPr>
                <w:b/>
                <w:bCs/>
                <w:color w:val="000000"/>
                <w:sz w:val="22"/>
                <w:szCs w:val="22"/>
              </w:rPr>
            </w:pPr>
            <w:r w:rsidRPr="00E34329">
              <w:rPr>
                <w:b/>
                <w:bCs/>
                <w:color w:val="000000"/>
                <w:sz w:val="22"/>
                <w:szCs w:val="22"/>
              </w:rPr>
              <w:t>Categories</w:t>
            </w:r>
          </w:p>
        </w:tc>
        <w:tc>
          <w:tcPr>
            <w:tcW w:w="1530" w:type="dxa"/>
            <w:tcBorders>
              <w:top w:val="dotted" w:sz="4" w:space="0" w:color="auto"/>
              <w:left w:val="nil"/>
              <w:bottom w:val="dotted" w:sz="4" w:space="0" w:color="auto"/>
              <w:right w:val="dotted" w:sz="4" w:space="0" w:color="auto"/>
            </w:tcBorders>
            <w:shd w:val="clear" w:color="000000" w:fill="DCE6F1"/>
            <w:hideMark/>
          </w:tcPr>
          <w:p w:rsidR="00603835" w:rsidRDefault="00E34329">
            <w:pPr>
              <w:spacing w:before="0" w:line="240" w:lineRule="auto"/>
              <w:jc w:val="center"/>
              <w:rPr>
                <w:b/>
                <w:bCs/>
                <w:color w:val="000000"/>
                <w:sz w:val="22"/>
                <w:szCs w:val="22"/>
              </w:rPr>
            </w:pPr>
            <w:r w:rsidRPr="00E34329">
              <w:rPr>
                <w:b/>
                <w:bCs/>
                <w:color w:val="000000"/>
                <w:sz w:val="22"/>
                <w:szCs w:val="22"/>
              </w:rPr>
              <w:t>Wheeling Charge (D)</w:t>
            </w:r>
          </w:p>
        </w:tc>
        <w:tc>
          <w:tcPr>
            <w:tcW w:w="2070" w:type="dxa"/>
            <w:tcBorders>
              <w:top w:val="dotted" w:sz="4" w:space="0" w:color="auto"/>
              <w:left w:val="nil"/>
              <w:bottom w:val="dotted" w:sz="4" w:space="0" w:color="auto"/>
              <w:right w:val="dotted" w:sz="4" w:space="0" w:color="auto"/>
            </w:tcBorders>
            <w:shd w:val="clear" w:color="000000" w:fill="DCE6F1"/>
            <w:hideMark/>
          </w:tcPr>
          <w:p w:rsidR="00603835" w:rsidRDefault="00E34329">
            <w:pPr>
              <w:spacing w:before="0" w:line="240" w:lineRule="auto"/>
              <w:jc w:val="center"/>
              <w:rPr>
                <w:b/>
                <w:bCs/>
                <w:color w:val="000000"/>
                <w:sz w:val="22"/>
                <w:szCs w:val="22"/>
              </w:rPr>
            </w:pPr>
            <w:r w:rsidRPr="00E34329">
              <w:rPr>
                <w:b/>
                <w:bCs/>
                <w:color w:val="000000"/>
                <w:sz w:val="22"/>
                <w:szCs w:val="22"/>
              </w:rPr>
              <w:t>Wt. Avg. Power Purchase Cost (C)</w:t>
            </w:r>
          </w:p>
        </w:tc>
        <w:tc>
          <w:tcPr>
            <w:tcW w:w="1260" w:type="dxa"/>
            <w:tcBorders>
              <w:top w:val="dotted" w:sz="4" w:space="0" w:color="auto"/>
              <w:left w:val="nil"/>
              <w:bottom w:val="dotted" w:sz="4" w:space="0" w:color="auto"/>
              <w:right w:val="dotted" w:sz="4" w:space="0" w:color="auto"/>
            </w:tcBorders>
            <w:shd w:val="clear" w:color="000000" w:fill="DCE6F1"/>
            <w:hideMark/>
          </w:tcPr>
          <w:p w:rsidR="00603835" w:rsidRDefault="00E34329">
            <w:pPr>
              <w:spacing w:before="0" w:line="240" w:lineRule="auto"/>
              <w:jc w:val="center"/>
              <w:rPr>
                <w:b/>
                <w:bCs/>
                <w:color w:val="000000"/>
                <w:sz w:val="22"/>
                <w:szCs w:val="22"/>
              </w:rPr>
            </w:pPr>
            <w:r w:rsidRPr="00E34329">
              <w:rPr>
                <w:b/>
                <w:bCs/>
                <w:color w:val="000000"/>
                <w:sz w:val="22"/>
                <w:szCs w:val="22"/>
              </w:rPr>
              <w:t>System Loss (L)</w:t>
            </w:r>
          </w:p>
        </w:tc>
        <w:tc>
          <w:tcPr>
            <w:tcW w:w="1215" w:type="dxa"/>
            <w:tcBorders>
              <w:top w:val="dotted" w:sz="4" w:space="0" w:color="auto"/>
              <w:left w:val="nil"/>
              <w:bottom w:val="dotted" w:sz="4" w:space="0" w:color="auto"/>
              <w:right w:val="dotted" w:sz="4" w:space="0" w:color="auto"/>
            </w:tcBorders>
            <w:shd w:val="clear" w:color="000000" w:fill="DCE6F1"/>
            <w:hideMark/>
          </w:tcPr>
          <w:p w:rsidR="00603835" w:rsidRDefault="00E34329">
            <w:pPr>
              <w:spacing w:before="0" w:line="240" w:lineRule="auto"/>
              <w:jc w:val="center"/>
              <w:rPr>
                <w:b/>
                <w:bCs/>
                <w:color w:val="000000"/>
                <w:sz w:val="22"/>
                <w:szCs w:val="22"/>
              </w:rPr>
            </w:pPr>
            <w:r w:rsidRPr="00E34329">
              <w:rPr>
                <w:b/>
                <w:bCs/>
                <w:color w:val="000000"/>
                <w:sz w:val="22"/>
                <w:szCs w:val="22"/>
              </w:rPr>
              <w:t>Total Cost</w:t>
            </w:r>
          </w:p>
        </w:tc>
      </w:tr>
      <w:tr w:rsidR="00844DBE" w:rsidRPr="00093FE1" w:rsidTr="00D920F1">
        <w:trPr>
          <w:trHeight w:val="300"/>
          <w:jc w:val="center"/>
        </w:trPr>
        <w:tc>
          <w:tcPr>
            <w:tcW w:w="927" w:type="dxa"/>
            <w:tcBorders>
              <w:top w:val="nil"/>
              <w:left w:val="dotted" w:sz="4" w:space="0" w:color="auto"/>
              <w:bottom w:val="dotted" w:sz="4" w:space="0" w:color="auto"/>
              <w:right w:val="dotted" w:sz="4" w:space="0" w:color="auto"/>
            </w:tcBorders>
            <w:shd w:val="clear" w:color="auto" w:fill="auto"/>
            <w:vAlign w:val="bottom"/>
            <w:hideMark/>
          </w:tcPr>
          <w:p w:rsidR="00844DBE" w:rsidRDefault="00844DBE">
            <w:pPr>
              <w:spacing w:before="0" w:line="240" w:lineRule="auto"/>
              <w:jc w:val="center"/>
              <w:rPr>
                <w:bCs/>
                <w:color w:val="000000"/>
                <w:sz w:val="22"/>
                <w:szCs w:val="22"/>
              </w:rPr>
            </w:pPr>
            <w:r w:rsidRPr="00E34329">
              <w:rPr>
                <w:bCs/>
                <w:color w:val="000000"/>
                <w:sz w:val="22"/>
                <w:szCs w:val="22"/>
              </w:rPr>
              <w:t>1</w:t>
            </w:r>
          </w:p>
        </w:tc>
        <w:tc>
          <w:tcPr>
            <w:tcW w:w="2858" w:type="dxa"/>
            <w:tcBorders>
              <w:top w:val="nil"/>
              <w:left w:val="nil"/>
              <w:bottom w:val="dotted" w:sz="4" w:space="0" w:color="auto"/>
              <w:right w:val="dotted" w:sz="4" w:space="0" w:color="auto"/>
            </w:tcBorders>
            <w:shd w:val="clear" w:color="auto" w:fill="auto"/>
            <w:vAlign w:val="bottom"/>
            <w:hideMark/>
          </w:tcPr>
          <w:p w:rsidR="00844DBE" w:rsidRDefault="00844DBE">
            <w:pPr>
              <w:spacing w:before="0" w:line="240" w:lineRule="auto"/>
              <w:rPr>
                <w:bCs/>
                <w:color w:val="000000"/>
                <w:sz w:val="22"/>
                <w:szCs w:val="22"/>
              </w:rPr>
            </w:pPr>
            <w:r w:rsidRPr="00E34329">
              <w:rPr>
                <w:bCs/>
                <w:color w:val="000000"/>
                <w:sz w:val="22"/>
                <w:szCs w:val="22"/>
              </w:rPr>
              <w:t>HV Categories above 11 KV</w:t>
            </w:r>
          </w:p>
        </w:tc>
        <w:tc>
          <w:tcPr>
            <w:tcW w:w="1530" w:type="dxa"/>
            <w:tcBorders>
              <w:top w:val="nil"/>
              <w:left w:val="nil"/>
              <w:bottom w:val="dotted" w:sz="4" w:space="0" w:color="auto"/>
              <w:right w:val="dotted" w:sz="4" w:space="0" w:color="auto"/>
            </w:tcBorders>
            <w:shd w:val="clear" w:color="auto" w:fill="auto"/>
            <w:vAlign w:val="center"/>
            <w:hideMark/>
          </w:tcPr>
          <w:p w:rsidR="00844DBE" w:rsidRDefault="00844DBE">
            <w:pPr>
              <w:spacing w:before="0" w:line="240" w:lineRule="auto"/>
              <w:jc w:val="right"/>
              <w:rPr>
                <w:bCs/>
                <w:color w:val="000000"/>
                <w:sz w:val="22"/>
                <w:szCs w:val="22"/>
              </w:rPr>
            </w:pPr>
            <w:r>
              <w:rPr>
                <w:color w:val="000000"/>
                <w:sz w:val="20"/>
                <w:szCs w:val="20"/>
              </w:rPr>
              <w:t>0.286</w:t>
            </w:r>
          </w:p>
        </w:tc>
        <w:tc>
          <w:tcPr>
            <w:tcW w:w="2070" w:type="dxa"/>
            <w:tcBorders>
              <w:top w:val="nil"/>
              <w:left w:val="nil"/>
              <w:bottom w:val="dotted" w:sz="4" w:space="0" w:color="auto"/>
              <w:right w:val="dotted" w:sz="4" w:space="0" w:color="auto"/>
            </w:tcBorders>
            <w:shd w:val="clear" w:color="auto" w:fill="auto"/>
            <w:vAlign w:val="center"/>
            <w:hideMark/>
          </w:tcPr>
          <w:p w:rsidR="00844DBE" w:rsidRDefault="00844DBE">
            <w:pPr>
              <w:spacing w:before="0" w:line="240" w:lineRule="auto"/>
              <w:jc w:val="right"/>
              <w:rPr>
                <w:bCs/>
                <w:color w:val="000000"/>
                <w:sz w:val="22"/>
                <w:szCs w:val="22"/>
              </w:rPr>
            </w:pPr>
            <w:r>
              <w:rPr>
                <w:color w:val="000000"/>
                <w:sz w:val="20"/>
                <w:szCs w:val="20"/>
              </w:rPr>
              <w:t>6.12</w:t>
            </w:r>
          </w:p>
        </w:tc>
        <w:tc>
          <w:tcPr>
            <w:tcW w:w="1260" w:type="dxa"/>
            <w:tcBorders>
              <w:top w:val="nil"/>
              <w:left w:val="nil"/>
              <w:bottom w:val="dotted" w:sz="4" w:space="0" w:color="auto"/>
              <w:right w:val="dotted" w:sz="4" w:space="0" w:color="auto"/>
            </w:tcBorders>
            <w:shd w:val="clear" w:color="auto" w:fill="auto"/>
            <w:vAlign w:val="center"/>
            <w:hideMark/>
          </w:tcPr>
          <w:p w:rsidR="00844DBE" w:rsidRDefault="00844DBE">
            <w:pPr>
              <w:spacing w:before="0" w:line="240" w:lineRule="auto"/>
              <w:jc w:val="right"/>
              <w:rPr>
                <w:bCs/>
                <w:color w:val="000000"/>
                <w:sz w:val="22"/>
                <w:szCs w:val="22"/>
              </w:rPr>
            </w:pPr>
            <w:r>
              <w:rPr>
                <w:color w:val="000000"/>
                <w:sz w:val="20"/>
                <w:szCs w:val="20"/>
              </w:rPr>
              <w:t>4.00%</w:t>
            </w:r>
          </w:p>
        </w:tc>
        <w:tc>
          <w:tcPr>
            <w:tcW w:w="1215" w:type="dxa"/>
            <w:tcBorders>
              <w:top w:val="nil"/>
              <w:left w:val="nil"/>
              <w:bottom w:val="dotted" w:sz="4" w:space="0" w:color="auto"/>
              <w:right w:val="dotted" w:sz="4" w:space="0" w:color="auto"/>
            </w:tcBorders>
            <w:shd w:val="clear" w:color="auto" w:fill="auto"/>
            <w:vAlign w:val="center"/>
            <w:hideMark/>
          </w:tcPr>
          <w:p w:rsidR="00844DBE" w:rsidRDefault="00844DBE">
            <w:pPr>
              <w:spacing w:before="0" w:line="240" w:lineRule="auto"/>
              <w:jc w:val="right"/>
              <w:rPr>
                <w:bCs/>
                <w:color w:val="000000"/>
                <w:sz w:val="22"/>
                <w:szCs w:val="22"/>
              </w:rPr>
            </w:pPr>
            <w:r>
              <w:rPr>
                <w:color w:val="000000"/>
                <w:sz w:val="20"/>
                <w:szCs w:val="20"/>
              </w:rPr>
              <w:t>6.65</w:t>
            </w:r>
          </w:p>
        </w:tc>
      </w:tr>
      <w:tr w:rsidR="00844DBE" w:rsidRPr="00093FE1" w:rsidTr="00D920F1">
        <w:trPr>
          <w:trHeight w:val="300"/>
          <w:jc w:val="center"/>
        </w:trPr>
        <w:tc>
          <w:tcPr>
            <w:tcW w:w="927" w:type="dxa"/>
            <w:tcBorders>
              <w:top w:val="nil"/>
              <w:left w:val="dotted" w:sz="4" w:space="0" w:color="auto"/>
              <w:bottom w:val="dotted" w:sz="4" w:space="0" w:color="auto"/>
              <w:right w:val="dotted" w:sz="4" w:space="0" w:color="auto"/>
            </w:tcBorders>
            <w:shd w:val="clear" w:color="auto" w:fill="auto"/>
            <w:vAlign w:val="bottom"/>
            <w:hideMark/>
          </w:tcPr>
          <w:p w:rsidR="00844DBE" w:rsidRDefault="00844DBE">
            <w:pPr>
              <w:spacing w:before="0" w:line="240" w:lineRule="auto"/>
              <w:jc w:val="center"/>
              <w:rPr>
                <w:bCs/>
                <w:color w:val="000000"/>
                <w:sz w:val="22"/>
                <w:szCs w:val="22"/>
              </w:rPr>
            </w:pPr>
            <w:r w:rsidRPr="00E34329">
              <w:rPr>
                <w:bCs/>
                <w:color w:val="000000"/>
                <w:sz w:val="22"/>
                <w:szCs w:val="22"/>
              </w:rPr>
              <w:t>2</w:t>
            </w:r>
          </w:p>
        </w:tc>
        <w:tc>
          <w:tcPr>
            <w:tcW w:w="2858" w:type="dxa"/>
            <w:tcBorders>
              <w:top w:val="nil"/>
              <w:left w:val="nil"/>
              <w:bottom w:val="dotted" w:sz="4" w:space="0" w:color="auto"/>
              <w:right w:val="dotted" w:sz="4" w:space="0" w:color="auto"/>
            </w:tcBorders>
            <w:shd w:val="clear" w:color="auto" w:fill="auto"/>
            <w:vAlign w:val="bottom"/>
            <w:hideMark/>
          </w:tcPr>
          <w:p w:rsidR="00844DBE" w:rsidRDefault="00844DBE">
            <w:pPr>
              <w:spacing w:before="0" w:line="240" w:lineRule="auto"/>
              <w:rPr>
                <w:bCs/>
                <w:color w:val="000000"/>
                <w:sz w:val="22"/>
                <w:szCs w:val="22"/>
              </w:rPr>
            </w:pPr>
            <w:r w:rsidRPr="00E34329">
              <w:rPr>
                <w:bCs/>
                <w:color w:val="000000"/>
                <w:sz w:val="22"/>
                <w:szCs w:val="22"/>
              </w:rPr>
              <w:t>HV Categories at 11 KV</w:t>
            </w:r>
          </w:p>
        </w:tc>
        <w:tc>
          <w:tcPr>
            <w:tcW w:w="1530" w:type="dxa"/>
            <w:tcBorders>
              <w:top w:val="nil"/>
              <w:left w:val="nil"/>
              <w:bottom w:val="dotted" w:sz="4" w:space="0" w:color="auto"/>
              <w:right w:val="dotted" w:sz="4" w:space="0" w:color="auto"/>
            </w:tcBorders>
            <w:shd w:val="clear" w:color="auto" w:fill="auto"/>
            <w:vAlign w:val="center"/>
            <w:hideMark/>
          </w:tcPr>
          <w:p w:rsidR="00844DBE" w:rsidRDefault="00844DBE">
            <w:pPr>
              <w:spacing w:before="0" w:line="240" w:lineRule="auto"/>
              <w:jc w:val="right"/>
              <w:rPr>
                <w:bCs/>
                <w:color w:val="000000"/>
                <w:sz w:val="22"/>
                <w:szCs w:val="22"/>
              </w:rPr>
            </w:pPr>
            <w:r>
              <w:rPr>
                <w:color w:val="000000"/>
                <w:sz w:val="20"/>
                <w:szCs w:val="20"/>
              </w:rPr>
              <w:t>0.458</w:t>
            </w:r>
          </w:p>
        </w:tc>
        <w:tc>
          <w:tcPr>
            <w:tcW w:w="2070" w:type="dxa"/>
            <w:tcBorders>
              <w:top w:val="nil"/>
              <w:left w:val="nil"/>
              <w:bottom w:val="dotted" w:sz="4" w:space="0" w:color="auto"/>
              <w:right w:val="dotted" w:sz="4" w:space="0" w:color="auto"/>
            </w:tcBorders>
            <w:shd w:val="clear" w:color="auto" w:fill="auto"/>
            <w:vAlign w:val="center"/>
            <w:hideMark/>
          </w:tcPr>
          <w:p w:rsidR="00844DBE" w:rsidRDefault="00844DBE">
            <w:pPr>
              <w:spacing w:before="0" w:line="240" w:lineRule="auto"/>
              <w:jc w:val="right"/>
              <w:rPr>
                <w:bCs/>
                <w:color w:val="000000"/>
                <w:sz w:val="22"/>
                <w:szCs w:val="22"/>
              </w:rPr>
            </w:pPr>
            <w:r>
              <w:rPr>
                <w:color w:val="000000"/>
                <w:sz w:val="20"/>
                <w:szCs w:val="20"/>
              </w:rPr>
              <w:t>6.12</w:t>
            </w:r>
          </w:p>
        </w:tc>
        <w:tc>
          <w:tcPr>
            <w:tcW w:w="1260" w:type="dxa"/>
            <w:tcBorders>
              <w:top w:val="nil"/>
              <w:left w:val="nil"/>
              <w:bottom w:val="dotted" w:sz="4" w:space="0" w:color="auto"/>
              <w:right w:val="dotted" w:sz="4" w:space="0" w:color="auto"/>
            </w:tcBorders>
            <w:shd w:val="clear" w:color="auto" w:fill="auto"/>
            <w:vAlign w:val="center"/>
            <w:hideMark/>
          </w:tcPr>
          <w:p w:rsidR="00844DBE" w:rsidRDefault="00844DBE">
            <w:pPr>
              <w:spacing w:before="0" w:line="240" w:lineRule="auto"/>
              <w:jc w:val="right"/>
              <w:rPr>
                <w:bCs/>
                <w:color w:val="000000"/>
                <w:sz w:val="22"/>
                <w:szCs w:val="22"/>
              </w:rPr>
            </w:pPr>
            <w:r>
              <w:rPr>
                <w:color w:val="000000"/>
                <w:sz w:val="20"/>
                <w:szCs w:val="20"/>
              </w:rPr>
              <w:t>8.00%</w:t>
            </w:r>
          </w:p>
        </w:tc>
        <w:tc>
          <w:tcPr>
            <w:tcW w:w="1215" w:type="dxa"/>
            <w:tcBorders>
              <w:top w:val="nil"/>
              <w:left w:val="nil"/>
              <w:bottom w:val="dotted" w:sz="4" w:space="0" w:color="auto"/>
              <w:right w:val="dotted" w:sz="4" w:space="0" w:color="auto"/>
            </w:tcBorders>
            <w:shd w:val="clear" w:color="auto" w:fill="auto"/>
            <w:vAlign w:val="center"/>
            <w:hideMark/>
          </w:tcPr>
          <w:p w:rsidR="00844DBE" w:rsidRDefault="00844DBE">
            <w:pPr>
              <w:spacing w:before="0" w:line="240" w:lineRule="auto"/>
              <w:jc w:val="right"/>
              <w:rPr>
                <w:bCs/>
                <w:color w:val="000000"/>
                <w:sz w:val="22"/>
                <w:szCs w:val="22"/>
              </w:rPr>
            </w:pPr>
            <w:r>
              <w:rPr>
                <w:color w:val="000000"/>
                <w:sz w:val="20"/>
                <w:szCs w:val="20"/>
              </w:rPr>
              <w:t>7.07</w:t>
            </w:r>
          </w:p>
        </w:tc>
      </w:tr>
    </w:tbl>
    <w:p w:rsidR="00D5771F" w:rsidRDefault="00D5771F">
      <w:pPr>
        <w:spacing w:before="0" w:after="120"/>
        <w:ind w:left="993"/>
        <w:outlineLvl w:val="2"/>
        <w:rPr>
          <w:rFonts w:cs="Arial"/>
          <w:bCs/>
        </w:rPr>
      </w:pPr>
    </w:p>
    <w:p w:rsidR="00D5771F" w:rsidRDefault="009B19CF">
      <w:pPr>
        <w:pStyle w:val="Heading3"/>
        <w:tabs>
          <w:tab w:val="clear" w:pos="720"/>
        </w:tabs>
        <w:spacing w:after="240"/>
        <w:ind w:left="993" w:hanging="993"/>
      </w:pPr>
      <w:r>
        <w:t>The impact of migration / shifting of consumers from the network of the incumbent Distribution Licensee on the consumer mix and revenues of a particular Distribution Licensee shall be reviewed by the Commission from time to time as may be considered appropriate.</w:t>
      </w:r>
    </w:p>
    <w:p w:rsidR="00D5771F" w:rsidRDefault="009B19CF">
      <w:pPr>
        <w:pStyle w:val="Heading3"/>
        <w:tabs>
          <w:tab w:val="clear" w:pos="720"/>
        </w:tabs>
        <w:spacing w:after="240"/>
        <w:ind w:left="993" w:hanging="993"/>
      </w:pPr>
      <w:r>
        <w:t xml:space="preserve">The Commission has approved levy of Regulatory Surcharge for recovery of cumulative regulatory asset created for the Licensee, which is a part of the tariff charged to different consumer categories. Hence, the Cross Subsidy Surcharge has been computed by subtracting the avoidable cost of supply for the Open Access consumers from the tariff applicable for the relevant consumer, which also includes the applicable Regulatory Surcharge. </w:t>
      </w:r>
    </w:p>
    <w:p w:rsidR="00D5771F" w:rsidRDefault="009B19CF">
      <w:pPr>
        <w:pStyle w:val="Heading3"/>
        <w:tabs>
          <w:tab w:val="clear" w:pos="720"/>
        </w:tabs>
        <w:spacing w:after="240"/>
        <w:ind w:left="993" w:hanging="993"/>
      </w:pPr>
      <w:r>
        <w:t>The category-wise Cross Subsidy Surcharge approved by the Commission for FY 2016-17 is as given in the Table below:</w:t>
      </w:r>
    </w:p>
    <w:p w:rsidR="009B19CF" w:rsidRPr="00D14AAD" w:rsidRDefault="006C63AF" w:rsidP="009B19CF">
      <w:pPr>
        <w:ind w:firstLine="720"/>
        <w:jc w:val="center"/>
        <w:rPr>
          <w:b/>
          <w:sz w:val="22"/>
        </w:rPr>
      </w:pPr>
      <w:bookmarkStart w:id="1103" w:name="_Toc399624141"/>
      <w:bookmarkStart w:id="1104" w:name="_Toc422309975"/>
      <w:bookmarkStart w:id="1105" w:name="_Toc457604087"/>
      <w:r w:rsidRPr="006C63AF">
        <w:rPr>
          <w:rFonts w:cstheme="minorHAnsi"/>
          <w:b/>
          <w:sz w:val="22"/>
        </w:rPr>
        <w:t xml:space="preserve">Table </w:t>
      </w:r>
      <w:r w:rsidR="009741CA" w:rsidRPr="006C63AF">
        <w:rPr>
          <w:rFonts w:cstheme="minorHAnsi"/>
          <w:b/>
          <w:sz w:val="22"/>
        </w:rPr>
        <w:fldChar w:fldCharType="begin"/>
      </w:r>
      <w:r w:rsidRPr="006C63AF">
        <w:rPr>
          <w:rFonts w:cstheme="minorHAnsi"/>
          <w:b/>
          <w:sz w:val="22"/>
        </w:rPr>
        <w:instrText xml:space="preserve"> STYLEREF 1 \s </w:instrText>
      </w:r>
      <w:r w:rsidR="009741CA" w:rsidRPr="006C63AF">
        <w:rPr>
          <w:rFonts w:cstheme="minorHAnsi"/>
          <w:b/>
          <w:sz w:val="22"/>
        </w:rPr>
        <w:fldChar w:fldCharType="separate"/>
      </w:r>
      <w:r w:rsidR="00BA08F0">
        <w:rPr>
          <w:rFonts w:cstheme="minorHAnsi"/>
          <w:b/>
          <w:noProof/>
          <w:sz w:val="22"/>
        </w:rPr>
        <w:t>6</w:t>
      </w:r>
      <w:r w:rsidR="009741CA" w:rsidRPr="006C63AF">
        <w:rPr>
          <w:rFonts w:cstheme="minorHAnsi"/>
          <w:b/>
          <w:sz w:val="22"/>
        </w:rPr>
        <w:fldChar w:fldCharType="end"/>
      </w:r>
      <w:r w:rsidRPr="006C63AF">
        <w:rPr>
          <w:rFonts w:cstheme="minorHAnsi"/>
          <w:b/>
          <w:sz w:val="22"/>
        </w:rPr>
        <w:noBreakHyphen/>
      </w:r>
      <w:r w:rsidR="009741CA" w:rsidRPr="006C63AF">
        <w:rPr>
          <w:rFonts w:cstheme="minorHAnsi"/>
          <w:b/>
          <w:sz w:val="22"/>
        </w:rPr>
        <w:fldChar w:fldCharType="begin"/>
      </w:r>
      <w:r w:rsidRPr="006C63AF">
        <w:rPr>
          <w:rFonts w:cstheme="minorHAnsi"/>
          <w:b/>
          <w:sz w:val="22"/>
        </w:rPr>
        <w:instrText xml:space="preserve"> SEQ Table \* ARABIC \s 1 </w:instrText>
      </w:r>
      <w:r w:rsidR="009741CA" w:rsidRPr="006C63AF">
        <w:rPr>
          <w:rFonts w:cstheme="minorHAnsi"/>
          <w:b/>
          <w:sz w:val="22"/>
        </w:rPr>
        <w:fldChar w:fldCharType="separate"/>
      </w:r>
      <w:r w:rsidR="00BA08F0">
        <w:rPr>
          <w:rFonts w:cstheme="minorHAnsi"/>
          <w:b/>
          <w:noProof/>
          <w:sz w:val="22"/>
        </w:rPr>
        <w:t>5</w:t>
      </w:r>
      <w:r w:rsidR="009741CA" w:rsidRPr="006C63AF">
        <w:rPr>
          <w:rFonts w:cstheme="minorHAnsi"/>
          <w:b/>
          <w:sz w:val="22"/>
        </w:rPr>
        <w:fldChar w:fldCharType="end"/>
      </w:r>
      <w:r w:rsidRPr="006C63AF">
        <w:rPr>
          <w:rFonts w:cstheme="minorHAnsi"/>
          <w:b/>
          <w:sz w:val="22"/>
        </w:rPr>
        <w:t>: C</w:t>
      </w:r>
      <w:r w:rsidRPr="006C63AF">
        <w:rPr>
          <w:b/>
          <w:sz w:val="22"/>
        </w:rPr>
        <w:t>ROSS SUBSIDY SURCHARGE APROVED BY THE COMMISSION FOR FY 2016-17</w:t>
      </w:r>
      <w:bookmarkEnd w:id="1103"/>
      <w:bookmarkEnd w:id="1104"/>
      <w:bookmarkEnd w:id="1105"/>
    </w:p>
    <w:tbl>
      <w:tblPr>
        <w:tblW w:w="10096" w:type="dxa"/>
        <w:jc w:val="center"/>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60"/>
        <w:gridCol w:w="2825"/>
        <w:gridCol w:w="1260"/>
        <w:gridCol w:w="2036"/>
        <w:gridCol w:w="1530"/>
        <w:gridCol w:w="1485"/>
      </w:tblGrid>
      <w:tr w:rsidR="009B19CF" w:rsidRPr="00805D0A" w:rsidTr="007B00DC">
        <w:trPr>
          <w:trHeight w:val="710"/>
          <w:tblHeader/>
          <w:jc w:val="center"/>
        </w:trPr>
        <w:tc>
          <w:tcPr>
            <w:tcW w:w="960" w:type="dxa"/>
            <w:shd w:val="clear" w:color="000000" w:fill="DCE6F1"/>
            <w:hideMark/>
          </w:tcPr>
          <w:p w:rsidR="00603835" w:rsidRPr="00805D0A" w:rsidRDefault="00E34329" w:rsidP="00805D0A">
            <w:pPr>
              <w:spacing w:before="0"/>
              <w:jc w:val="center"/>
              <w:rPr>
                <w:rFonts w:asciiTheme="minorHAnsi" w:hAnsiTheme="minorHAnsi"/>
                <w:b/>
                <w:sz w:val="22"/>
                <w:szCs w:val="22"/>
              </w:rPr>
            </w:pPr>
            <w:r w:rsidRPr="00805D0A">
              <w:rPr>
                <w:rFonts w:asciiTheme="minorHAnsi" w:hAnsiTheme="minorHAnsi"/>
                <w:b/>
                <w:sz w:val="22"/>
                <w:szCs w:val="22"/>
              </w:rPr>
              <w:lastRenderedPageBreak/>
              <w:t>S</w:t>
            </w:r>
            <w:r w:rsidR="00805D0A" w:rsidRPr="00805D0A">
              <w:rPr>
                <w:rFonts w:asciiTheme="minorHAnsi" w:hAnsiTheme="minorHAnsi"/>
                <w:b/>
                <w:sz w:val="22"/>
                <w:szCs w:val="22"/>
              </w:rPr>
              <w:t xml:space="preserve">l. </w:t>
            </w:r>
            <w:r w:rsidRPr="00805D0A">
              <w:rPr>
                <w:rFonts w:asciiTheme="minorHAnsi" w:hAnsiTheme="minorHAnsi"/>
                <w:b/>
                <w:sz w:val="22"/>
                <w:szCs w:val="22"/>
              </w:rPr>
              <w:t xml:space="preserve"> No.</w:t>
            </w:r>
          </w:p>
        </w:tc>
        <w:tc>
          <w:tcPr>
            <w:tcW w:w="2825" w:type="dxa"/>
            <w:shd w:val="clear" w:color="000000" w:fill="DCE6F1"/>
            <w:hideMark/>
          </w:tcPr>
          <w:p w:rsidR="00603835" w:rsidRPr="00805D0A" w:rsidRDefault="00E34329" w:rsidP="00805D0A">
            <w:pPr>
              <w:spacing w:before="0"/>
              <w:jc w:val="center"/>
              <w:rPr>
                <w:rFonts w:asciiTheme="minorHAnsi" w:hAnsiTheme="minorHAnsi"/>
                <w:b/>
                <w:sz w:val="22"/>
                <w:szCs w:val="22"/>
              </w:rPr>
            </w:pPr>
            <w:r w:rsidRPr="00805D0A">
              <w:rPr>
                <w:rFonts w:asciiTheme="minorHAnsi" w:hAnsiTheme="minorHAnsi"/>
                <w:b/>
                <w:sz w:val="22"/>
                <w:szCs w:val="22"/>
              </w:rPr>
              <w:t>Categories</w:t>
            </w:r>
          </w:p>
        </w:tc>
        <w:tc>
          <w:tcPr>
            <w:tcW w:w="1260" w:type="dxa"/>
            <w:shd w:val="clear" w:color="000000" w:fill="DCE6F1"/>
            <w:hideMark/>
          </w:tcPr>
          <w:p w:rsidR="00603835" w:rsidRPr="00805D0A" w:rsidRDefault="00E34329" w:rsidP="00805D0A">
            <w:pPr>
              <w:spacing w:before="0"/>
              <w:jc w:val="center"/>
              <w:rPr>
                <w:rFonts w:asciiTheme="minorHAnsi" w:hAnsiTheme="minorHAnsi"/>
                <w:b/>
                <w:sz w:val="22"/>
                <w:szCs w:val="22"/>
              </w:rPr>
            </w:pPr>
            <w:r w:rsidRPr="00805D0A">
              <w:rPr>
                <w:rFonts w:asciiTheme="minorHAnsi" w:hAnsiTheme="minorHAnsi"/>
                <w:b/>
                <w:sz w:val="22"/>
                <w:szCs w:val="22"/>
              </w:rPr>
              <w:t>Average Billing Rate</w:t>
            </w:r>
          </w:p>
        </w:tc>
        <w:tc>
          <w:tcPr>
            <w:tcW w:w="2036" w:type="dxa"/>
            <w:shd w:val="clear" w:color="000000" w:fill="DCE6F1"/>
            <w:hideMark/>
          </w:tcPr>
          <w:p w:rsidR="00603835" w:rsidRPr="00805D0A" w:rsidRDefault="00E34329" w:rsidP="00805D0A">
            <w:pPr>
              <w:spacing w:before="0"/>
              <w:jc w:val="center"/>
              <w:rPr>
                <w:rFonts w:asciiTheme="minorHAnsi" w:hAnsiTheme="minorHAnsi"/>
                <w:b/>
                <w:sz w:val="22"/>
                <w:szCs w:val="22"/>
              </w:rPr>
            </w:pPr>
            <w:r w:rsidRPr="00805D0A">
              <w:rPr>
                <w:rFonts w:asciiTheme="minorHAnsi" w:hAnsiTheme="minorHAnsi"/>
                <w:b/>
                <w:sz w:val="22"/>
                <w:szCs w:val="22"/>
              </w:rPr>
              <w:t>Average Billing Rate (inclusive of Regulatory Surcharge) "T"</w:t>
            </w:r>
          </w:p>
        </w:tc>
        <w:tc>
          <w:tcPr>
            <w:tcW w:w="1530" w:type="dxa"/>
            <w:shd w:val="clear" w:color="000000" w:fill="DCE6F1"/>
            <w:hideMark/>
          </w:tcPr>
          <w:p w:rsidR="00603835" w:rsidRPr="00805D0A" w:rsidRDefault="00E34329" w:rsidP="00805D0A">
            <w:pPr>
              <w:spacing w:before="0"/>
              <w:jc w:val="center"/>
              <w:rPr>
                <w:rFonts w:asciiTheme="minorHAnsi" w:hAnsiTheme="minorHAnsi"/>
                <w:b/>
                <w:sz w:val="22"/>
                <w:szCs w:val="22"/>
              </w:rPr>
            </w:pPr>
            <w:r w:rsidRPr="00805D0A">
              <w:rPr>
                <w:rFonts w:asciiTheme="minorHAnsi" w:hAnsiTheme="minorHAnsi"/>
                <w:b/>
                <w:sz w:val="22"/>
                <w:szCs w:val="22"/>
              </w:rPr>
              <w:t>Cost of Supply for computing CSS</w:t>
            </w:r>
          </w:p>
        </w:tc>
        <w:tc>
          <w:tcPr>
            <w:tcW w:w="1485" w:type="dxa"/>
            <w:shd w:val="clear" w:color="000000" w:fill="DCE6F1"/>
            <w:hideMark/>
          </w:tcPr>
          <w:p w:rsidR="00603835" w:rsidRPr="00805D0A" w:rsidRDefault="00E34329" w:rsidP="00805D0A">
            <w:pPr>
              <w:spacing w:before="0"/>
              <w:jc w:val="center"/>
              <w:rPr>
                <w:rFonts w:asciiTheme="minorHAnsi" w:hAnsiTheme="minorHAnsi"/>
                <w:b/>
                <w:sz w:val="22"/>
                <w:szCs w:val="22"/>
              </w:rPr>
            </w:pPr>
            <w:r w:rsidRPr="00805D0A">
              <w:rPr>
                <w:rFonts w:asciiTheme="minorHAnsi" w:hAnsiTheme="minorHAnsi"/>
                <w:b/>
                <w:sz w:val="22"/>
                <w:szCs w:val="22"/>
              </w:rPr>
              <w:t>Cross Subsidy Surcharge "CSS"</w:t>
            </w:r>
          </w:p>
        </w:tc>
      </w:tr>
      <w:tr w:rsidR="00844DBE" w:rsidRPr="00805D0A" w:rsidTr="00805D0A">
        <w:trPr>
          <w:trHeight w:val="225"/>
          <w:jc w:val="center"/>
        </w:trPr>
        <w:tc>
          <w:tcPr>
            <w:tcW w:w="960" w:type="dxa"/>
            <w:shd w:val="clear" w:color="auto" w:fill="auto"/>
            <w:hideMark/>
          </w:tcPr>
          <w:p w:rsidR="00844DBE" w:rsidRPr="00805D0A" w:rsidRDefault="00844DBE" w:rsidP="00805D0A">
            <w:pPr>
              <w:spacing w:before="0"/>
              <w:jc w:val="center"/>
              <w:rPr>
                <w:rFonts w:asciiTheme="minorHAnsi" w:hAnsiTheme="minorHAnsi"/>
                <w:sz w:val="22"/>
                <w:szCs w:val="22"/>
              </w:rPr>
            </w:pPr>
            <w:r w:rsidRPr="00805D0A">
              <w:rPr>
                <w:rFonts w:asciiTheme="minorHAnsi" w:hAnsiTheme="minorHAnsi"/>
                <w:sz w:val="22"/>
                <w:szCs w:val="22"/>
              </w:rPr>
              <w:t>1</w:t>
            </w:r>
          </w:p>
        </w:tc>
        <w:tc>
          <w:tcPr>
            <w:tcW w:w="2825" w:type="dxa"/>
            <w:shd w:val="clear" w:color="auto" w:fill="auto"/>
            <w:hideMark/>
          </w:tcPr>
          <w:p w:rsidR="00844DBE" w:rsidRPr="00805D0A" w:rsidRDefault="00844DBE" w:rsidP="00805D0A">
            <w:pPr>
              <w:spacing w:before="0"/>
              <w:jc w:val="left"/>
              <w:rPr>
                <w:rFonts w:asciiTheme="minorHAnsi" w:hAnsiTheme="minorHAnsi"/>
                <w:sz w:val="22"/>
                <w:szCs w:val="22"/>
              </w:rPr>
            </w:pPr>
            <w:r w:rsidRPr="00805D0A">
              <w:rPr>
                <w:rFonts w:asciiTheme="minorHAnsi" w:hAnsiTheme="minorHAnsi"/>
                <w:sz w:val="22"/>
                <w:szCs w:val="22"/>
              </w:rPr>
              <w:t>HV-1 (Supply at 11 kV)</w:t>
            </w:r>
          </w:p>
        </w:tc>
        <w:tc>
          <w:tcPr>
            <w:tcW w:w="1260"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9.49</w:t>
            </w:r>
          </w:p>
        </w:tc>
        <w:tc>
          <w:tcPr>
            <w:tcW w:w="2036"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9.87</w:t>
            </w:r>
          </w:p>
        </w:tc>
        <w:tc>
          <w:tcPr>
            <w:tcW w:w="1530"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7.07</w:t>
            </w:r>
          </w:p>
        </w:tc>
        <w:tc>
          <w:tcPr>
            <w:tcW w:w="1485"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2.80</w:t>
            </w:r>
          </w:p>
        </w:tc>
      </w:tr>
      <w:tr w:rsidR="00844DBE" w:rsidRPr="00805D0A" w:rsidTr="00805D0A">
        <w:trPr>
          <w:trHeight w:val="225"/>
          <w:jc w:val="center"/>
        </w:trPr>
        <w:tc>
          <w:tcPr>
            <w:tcW w:w="960" w:type="dxa"/>
            <w:shd w:val="clear" w:color="auto" w:fill="auto"/>
            <w:hideMark/>
          </w:tcPr>
          <w:p w:rsidR="00844DBE" w:rsidRPr="00805D0A" w:rsidRDefault="00844DBE" w:rsidP="00805D0A">
            <w:pPr>
              <w:spacing w:before="0"/>
              <w:jc w:val="center"/>
              <w:rPr>
                <w:rFonts w:asciiTheme="minorHAnsi" w:hAnsiTheme="minorHAnsi"/>
                <w:sz w:val="22"/>
                <w:szCs w:val="22"/>
              </w:rPr>
            </w:pPr>
            <w:r w:rsidRPr="00805D0A">
              <w:rPr>
                <w:rFonts w:asciiTheme="minorHAnsi" w:hAnsiTheme="minorHAnsi"/>
                <w:sz w:val="22"/>
                <w:szCs w:val="22"/>
              </w:rPr>
              <w:t>2</w:t>
            </w:r>
          </w:p>
        </w:tc>
        <w:tc>
          <w:tcPr>
            <w:tcW w:w="2825" w:type="dxa"/>
            <w:shd w:val="clear" w:color="auto" w:fill="auto"/>
            <w:hideMark/>
          </w:tcPr>
          <w:p w:rsidR="00844DBE" w:rsidRPr="00805D0A" w:rsidRDefault="00844DBE" w:rsidP="00805D0A">
            <w:pPr>
              <w:spacing w:before="0"/>
              <w:jc w:val="left"/>
              <w:rPr>
                <w:rFonts w:asciiTheme="minorHAnsi" w:hAnsiTheme="minorHAnsi"/>
                <w:sz w:val="22"/>
                <w:szCs w:val="22"/>
              </w:rPr>
            </w:pPr>
            <w:r w:rsidRPr="00805D0A">
              <w:rPr>
                <w:rFonts w:asciiTheme="minorHAnsi" w:hAnsiTheme="minorHAnsi"/>
                <w:sz w:val="22"/>
                <w:szCs w:val="22"/>
              </w:rPr>
              <w:t>HV-1 (Supply above 11 kV)</w:t>
            </w:r>
          </w:p>
        </w:tc>
        <w:tc>
          <w:tcPr>
            <w:tcW w:w="1260"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8.48</w:t>
            </w:r>
          </w:p>
        </w:tc>
        <w:tc>
          <w:tcPr>
            <w:tcW w:w="2036"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8.82</w:t>
            </w:r>
          </w:p>
        </w:tc>
        <w:tc>
          <w:tcPr>
            <w:tcW w:w="1530"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6.65</w:t>
            </w:r>
          </w:p>
        </w:tc>
        <w:tc>
          <w:tcPr>
            <w:tcW w:w="1485"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2.16</w:t>
            </w:r>
          </w:p>
        </w:tc>
      </w:tr>
      <w:tr w:rsidR="00844DBE" w:rsidRPr="00805D0A" w:rsidTr="00805D0A">
        <w:trPr>
          <w:trHeight w:val="225"/>
          <w:jc w:val="center"/>
        </w:trPr>
        <w:tc>
          <w:tcPr>
            <w:tcW w:w="960" w:type="dxa"/>
            <w:shd w:val="clear" w:color="auto" w:fill="auto"/>
            <w:hideMark/>
          </w:tcPr>
          <w:p w:rsidR="00844DBE" w:rsidRPr="00805D0A" w:rsidRDefault="00844DBE" w:rsidP="00805D0A">
            <w:pPr>
              <w:spacing w:before="0"/>
              <w:jc w:val="center"/>
              <w:rPr>
                <w:rFonts w:asciiTheme="minorHAnsi" w:hAnsiTheme="minorHAnsi"/>
                <w:sz w:val="22"/>
                <w:szCs w:val="22"/>
              </w:rPr>
            </w:pPr>
            <w:r w:rsidRPr="00805D0A">
              <w:rPr>
                <w:rFonts w:asciiTheme="minorHAnsi" w:hAnsiTheme="minorHAnsi"/>
                <w:sz w:val="22"/>
                <w:szCs w:val="22"/>
              </w:rPr>
              <w:t>3</w:t>
            </w:r>
          </w:p>
        </w:tc>
        <w:tc>
          <w:tcPr>
            <w:tcW w:w="2825" w:type="dxa"/>
            <w:shd w:val="clear" w:color="auto" w:fill="auto"/>
            <w:hideMark/>
          </w:tcPr>
          <w:p w:rsidR="00844DBE" w:rsidRPr="00805D0A" w:rsidRDefault="00844DBE" w:rsidP="00805D0A">
            <w:pPr>
              <w:spacing w:before="0"/>
              <w:jc w:val="left"/>
              <w:rPr>
                <w:rFonts w:asciiTheme="minorHAnsi" w:hAnsiTheme="minorHAnsi"/>
                <w:sz w:val="22"/>
                <w:szCs w:val="22"/>
              </w:rPr>
            </w:pPr>
            <w:r w:rsidRPr="00805D0A">
              <w:rPr>
                <w:rFonts w:asciiTheme="minorHAnsi" w:hAnsiTheme="minorHAnsi"/>
                <w:sz w:val="22"/>
                <w:szCs w:val="22"/>
              </w:rPr>
              <w:t>HV-2 (Supply at 11 kV)</w:t>
            </w:r>
          </w:p>
        </w:tc>
        <w:tc>
          <w:tcPr>
            <w:tcW w:w="1260"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7.81</w:t>
            </w:r>
          </w:p>
        </w:tc>
        <w:tc>
          <w:tcPr>
            <w:tcW w:w="2036"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8.12</w:t>
            </w:r>
          </w:p>
        </w:tc>
        <w:tc>
          <w:tcPr>
            <w:tcW w:w="1530"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7.07</w:t>
            </w:r>
          </w:p>
        </w:tc>
        <w:tc>
          <w:tcPr>
            <w:tcW w:w="1485"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1.05</w:t>
            </w:r>
          </w:p>
        </w:tc>
      </w:tr>
      <w:tr w:rsidR="00844DBE" w:rsidRPr="00805D0A" w:rsidTr="00805D0A">
        <w:trPr>
          <w:trHeight w:val="225"/>
          <w:jc w:val="center"/>
        </w:trPr>
        <w:tc>
          <w:tcPr>
            <w:tcW w:w="960" w:type="dxa"/>
            <w:shd w:val="clear" w:color="auto" w:fill="auto"/>
            <w:hideMark/>
          </w:tcPr>
          <w:p w:rsidR="00844DBE" w:rsidRPr="00805D0A" w:rsidRDefault="00844DBE" w:rsidP="00805D0A">
            <w:pPr>
              <w:spacing w:before="0"/>
              <w:jc w:val="center"/>
              <w:rPr>
                <w:rFonts w:asciiTheme="minorHAnsi" w:hAnsiTheme="minorHAnsi"/>
                <w:sz w:val="22"/>
                <w:szCs w:val="22"/>
              </w:rPr>
            </w:pPr>
            <w:r w:rsidRPr="00805D0A">
              <w:rPr>
                <w:rFonts w:asciiTheme="minorHAnsi" w:hAnsiTheme="minorHAnsi"/>
                <w:sz w:val="22"/>
                <w:szCs w:val="22"/>
              </w:rPr>
              <w:t>4</w:t>
            </w:r>
          </w:p>
        </w:tc>
        <w:tc>
          <w:tcPr>
            <w:tcW w:w="2825" w:type="dxa"/>
            <w:shd w:val="clear" w:color="auto" w:fill="auto"/>
            <w:hideMark/>
          </w:tcPr>
          <w:p w:rsidR="00844DBE" w:rsidRPr="00805D0A" w:rsidRDefault="00844DBE" w:rsidP="00805D0A">
            <w:pPr>
              <w:spacing w:before="0"/>
              <w:jc w:val="left"/>
              <w:rPr>
                <w:rFonts w:asciiTheme="minorHAnsi" w:hAnsiTheme="minorHAnsi"/>
                <w:sz w:val="22"/>
                <w:szCs w:val="22"/>
              </w:rPr>
            </w:pPr>
            <w:r w:rsidRPr="00805D0A">
              <w:rPr>
                <w:rFonts w:asciiTheme="minorHAnsi" w:hAnsiTheme="minorHAnsi"/>
                <w:sz w:val="22"/>
                <w:szCs w:val="22"/>
              </w:rPr>
              <w:t>HV-2 (Supply above 11 kV )</w:t>
            </w:r>
          </w:p>
        </w:tc>
        <w:tc>
          <w:tcPr>
            <w:tcW w:w="1260"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7.01</w:t>
            </w:r>
          </w:p>
        </w:tc>
        <w:tc>
          <w:tcPr>
            <w:tcW w:w="2036"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7.29</w:t>
            </w:r>
          </w:p>
        </w:tc>
        <w:tc>
          <w:tcPr>
            <w:tcW w:w="1530"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6.65</w:t>
            </w:r>
          </w:p>
        </w:tc>
        <w:tc>
          <w:tcPr>
            <w:tcW w:w="1485"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0.63</w:t>
            </w:r>
          </w:p>
        </w:tc>
      </w:tr>
      <w:tr w:rsidR="00844DBE" w:rsidRPr="00805D0A" w:rsidTr="00805D0A">
        <w:trPr>
          <w:trHeight w:val="225"/>
          <w:jc w:val="center"/>
        </w:trPr>
        <w:tc>
          <w:tcPr>
            <w:tcW w:w="960" w:type="dxa"/>
            <w:shd w:val="clear" w:color="auto" w:fill="auto"/>
            <w:hideMark/>
          </w:tcPr>
          <w:p w:rsidR="00844DBE" w:rsidRPr="00805D0A" w:rsidRDefault="00844DBE" w:rsidP="00805D0A">
            <w:pPr>
              <w:spacing w:before="0"/>
              <w:jc w:val="center"/>
              <w:rPr>
                <w:rFonts w:asciiTheme="minorHAnsi" w:hAnsiTheme="minorHAnsi"/>
                <w:sz w:val="22"/>
                <w:szCs w:val="22"/>
              </w:rPr>
            </w:pPr>
            <w:r w:rsidRPr="00805D0A">
              <w:rPr>
                <w:rFonts w:asciiTheme="minorHAnsi" w:hAnsiTheme="minorHAnsi"/>
                <w:sz w:val="22"/>
                <w:szCs w:val="22"/>
              </w:rPr>
              <w:t>5</w:t>
            </w:r>
          </w:p>
        </w:tc>
        <w:tc>
          <w:tcPr>
            <w:tcW w:w="2825" w:type="dxa"/>
            <w:shd w:val="clear" w:color="auto" w:fill="auto"/>
            <w:hideMark/>
          </w:tcPr>
          <w:p w:rsidR="00844DBE" w:rsidRPr="00805D0A" w:rsidRDefault="00844DBE" w:rsidP="00805D0A">
            <w:pPr>
              <w:spacing w:before="0"/>
              <w:jc w:val="left"/>
              <w:rPr>
                <w:rFonts w:asciiTheme="minorHAnsi" w:hAnsiTheme="minorHAnsi"/>
                <w:sz w:val="22"/>
                <w:szCs w:val="22"/>
              </w:rPr>
            </w:pPr>
            <w:r w:rsidRPr="00805D0A">
              <w:rPr>
                <w:rFonts w:asciiTheme="minorHAnsi" w:hAnsiTheme="minorHAnsi"/>
                <w:sz w:val="22"/>
                <w:szCs w:val="22"/>
              </w:rPr>
              <w:t>HV-3 (Supply above 11 kV )</w:t>
            </w:r>
          </w:p>
        </w:tc>
        <w:tc>
          <w:tcPr>
            <w:tcW w:w="1260"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7.86</w:t>
            </w:r>
          </w:p>
        </w:tc>
        <w:tc>
          <w:tcPr>
            <w:tcW w:w="2036"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8.18</w:t>
            </w:r>
          </w:p>
        </w:tc>
        <w:tc>
          <w:tcPr>
            <w:tcW w:w="1530"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6.65</w:t>
            </w:r>
          </w:p>
        </w:tc>
        <w:tc>
          <w:tcPr>
            <w:tcW w:w="1485"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1.52</w:t>
            </w:r>
          </w:p>
        </w:tc>
      </w:tr>
      <w:tr w:rsidR="00844DBE" w:rsidRPr="00805D0A" w:rsidTr="00805D0A">
        <w:trPr>
          <w:trHeight w:val="225"/>
          <w:jc w:val="center"/>
        </w:trPr>
        <w:tc>
          <w:tcPr>
            <w:tcW w:w="960" w:type="dxa"/>
            <w:shd w:val="clear" w:color="auto" w:fill="auto"/>
            <w:hideMark/>
          </w:tcPr>
          <w:p w:rsidR="00844DBE" w:rsidRPr="00805D0A" w:rsidRDefault="00844DBE" w:rsidP="00805D0A">
            <w:pPr>
              <w:spacing w:before="0"/>
              <w:jc w:val="center"/>
              <w:rPr>
                <w:rFonts w:asciiTheme="minorHAnsi" w:hAnsiTheme="minorHAnsi"/>
                <w:sz w:val="22"/>
                <w:szCs w:val="22"/>
              </w:rPr>
            </w:pPr>
            <w:r w:rsidRPr="00805D0A">
              <w:rPr>
                <w:rFonts w:asciiTheme="minorHAnsi" w:hAnsiTheme="minorHAnsi"/>
                <w:sz w:val="22"/>
                <w:szCs w:val="22"/>
              </w:rPr>
              <w:t>6</w:t>
            </w:r>
          </w:p>
        </w:tc>
        <w:tc>
          <w:tcPr>
            <w:tcW w:w="2825" w:type="dxa"/>
            <w:shd w:val="clear" w:color="auto" w:fill="auto"/>
            <w:hideMark/>
          </w:tcPr>
          <w:p w:rsidR="00844DBE" w:rsidRPr="00805D0A" w:rsidRDefault="00844DBE" w:rsidP="00805D0A">
            <w:pPr>
              <w:spacing w:before="0"/>
              <w:jc w:val="left"/>
              <w:rPr>
                <w:rFonts w:asciiTheme="minorHAnsi" w:hAnsiTheme="minorHAnsi"/>
                <w:sz w:val="22"/>
                <w:szCs w:val="22"/>
              </w:rPr>
            </w:pPr>
            <w:r w:rsidRPr="00805D0A">
              <w:rPr>
                <w:rFonts w:asciiTheme="minorHAnsi" w:hAnsiTheme="minorHAnsi"/>
                <w:sz w:val="22"/>
                <w:szCs w:val="22"/>
              </w:rPr>
              <w:t>HV-4 (Supply at 11 kV)</w:t>
            </w:r>
          </w:p>
        </w:tc>
        <w:tc>
          <w:tcPr>
            <w:tcW w:w="1260"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8.90</w:t>
            </w:r>
          </w:p>
        </w:tc>
        <w:tc>
          <w:tcPr>
            <w:tcW w:w="2036"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9.24</w:t>
            </w:r>
          </w:p>
        </w:tc>
        <w:tc>
          <w:tcPr>
            <w:tcW w:w="1530"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7.07</w:t>
            </w:r>
          </w:p>
        </w:tc>
        <w:tc>
          <w:tcPr>
            <w:tcW w:w="1485"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2.17</w:t>
            </w:r>
          </w:p>
        </w:tc>
      </w:tr>
      <w:tr w:rsidR="00844DBE" w:rsidRPr="00805D0A" w:rsidTr="00805D0A">
        <w:trPr>
          <w:trHeight w:val="225"/>
          <w:jc w:val="center"/>
        </w:trPr>
        <w:tc>
          <w:tcPr>
            <w:tcW w:w="960" w:type="dxa"/>
            <w:shd w:val="clear" w:color="auto" w:fill="auto"/>
            <w:hideMark/>
          </w:tcPr>
          <w:p w:rsidR="00844DBE" w:rsidRPr="00805D0A" w:rsidRDefault="00844DBE" w:rsidP="00805D0A">
            <w:pPr>
              <w:spacing w:before="0"/>
              <w:jc w:val="center"/>
              <w:rPr>
                <w:rFonts w:asciiTheme="minorHAnsi" w:hAnsiTheme="minorHAnsi"/>
                <w:sz w:val="22"/>
                <w:szCs w:val="22"/>
              </w:rPr>
            </w:pPr>
            <w:r w:rsidRPr="00805D0A">
              <w:rPr>
                <w:rFonts w:asciiTheme="minorHAnsi" w:hAnsiTheme="minorHAnsi"/>
                <w:sz w:val="22"/>
                <w:szCs w:val="22"/>
              </w:rPr>
              <w:t>7</w:t>
            </w:r>
          </w:p>
        </w:tc>
        <w:tc>
          <w:tcPr>
            <w:tcW w:w="2825" w:type="dxa"/>
            <w:shd w:val="clear" w:color="auto" w:fill="auto"/>
            <w:hideMark/>
          </w:tcPr>
          <w:p w:rsidR="00844DBE" w:rsidRPr="00805D0A" w:rsidRDefault="00844DBE" w:rsidP="00805D0A">
            <w:pPr>
              <w:spacing w:before="0"/>
              <w:jc w:val="left"/>
              <w:rPr>
                <w:rFonts w:asciiTheme="minorHAnsi" w:hAnsiTheme="minorHAnsi"/>
                <w:sz w:val="22"/>
                <w:szCs w:val="22"/>
              </w:rPr>
            </w:pPr>
            <w:r w:rsidRPr="00805D0A">
              <w:rPr>
                <w:rFonts w:asciiTheme="minorHAnsi" w:hAnsiTheme="minorHAnsi"/>
                <w:sz w:val="22"/>
                <w:szCs w:val="22"/>
              </w:rPr>
              <w:t>HV-4 (Supply above 11 kV )</w:t>
            </w:r>
          </w:p>
        </w:tc>
        <w:tc>
          <w:tcPr>
            <w:tcW w:w="1260"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8.64</w:t>
            </w:r>
          </w:p>
        </w:tc>
        <w:tc>
          <w:tcPr>
            <w:tcW w:w="2036"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9.01</w:t>
            </w:r>
          </w:p>
        </w:tc>
        <w:tc>
          <w:tcPr>
            <w:tcW w:w="1530" w:type="dxa"/>
            <w:shd w:val="clear" w:color="auto" w:fill="auto"/>
            <w:noWrap/>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6.65</w:t>
            </w:r>
          </w:p>
        </w:tc>
        <w:tc>
          <w:tcPr>
            <w:tcW w:w="1485" w:type="dxa"/>
            <w:shd w:val="clear" w:color="auto" w:fill="auto"/>
            <w:hideMark/>
          </w:tcPr>
          <w:p w:rsidR="00844DBE" w:rsidRPr="00805D0A" w:rsidRDefault="00844DBE" w:rsidP="00805D0A">
            <w:pPr>
              <w:spacing w:before="0"/>
              <w:jc w:val="center"/>
              <w:rPr>
                <w:rFonts w:asciiTheme="minorHAnsi" w:hAnsiTheme="minorHAnsi" w:cs="Calibri"/>
                <w:sz w:val="22"/>
                <w:szCs w:val="22"/>
              </w:rPr>
            </w:pPr>
            <w:r>
              <w:rPr>
                <w:color w:val="000000"/>
                <w:sz w:val="20"/>
                <w:szCs w:val="20"/>
              </w:rPr>
              <w:t>2.36</w:t>
            </w:r>
          </w:p>
        </w:tc>
      </w:tr>
    </w:tbl>
    <w:p w:rsidR="00D5771F" w:rsidRDefault="00D5771F" w:rsidP="00805D0A">
      <w:pPr>
        <w:spacing w:before="0"/>
      </w:pPr>
    </w:p>
    <w:p w:rsidR="009B19CF" w:rsidRPr="004469B2" w:rsidRDefault="009B19CF" w:rsidP="009B19CF">
      <w:pPr>
        <w:pStyle w:val="Heading2"/>
        <w:numPr>
          <w:ilvl w:val="1"/>
          <w:numId w:val="30"/>
        </w:numPr>
        <w:tabs>
          <w:tab w:val="num" w:pos="360"/>
        </w:tabs>
        <w:spacing w:after="120"/>
        <w:rPr>
          <w:rFonts w:cs="Calibri"/>
        </w:rPr>
      </w:pPr>
      <w:bookmarkStart w:id="1106" w:name="_Toc397332170"/>
      <w:bookmarkStart w:id="1107" w:name="_Toc399320598"/>
      <w:bookmarkStart w:id="1108" w:name="_Toc399623757"/>
      <w:bookmarkStart w:id="1109" w:name="_Toc422310083"/>
      <w:bookmarkStart w:id="1110" w:name="_Toc455311778"/>
      <w:bookmarkStart w:id="1111" w:name="_Toc457603972"/>
      <w:r w:rsidRPr="007F4126">
        <w:rPr>
          <w:rFonts w:cs="Calibri"/>
        </w:rPr>
        <w:t>ADDITIONAL SURCHARGE</w:t>
      </w:r>
      <w:bookmarkEnd w:id="1106"/>
      <w:bookmarkEnd w:id="1107"/>
      <w:bookmarkEnd w:id="1108"/>
      <w:bookmarkEnd w:id="1109"/>
      <w:bookmarkEnd w:id="1110"/>
      <w:bookmarkEnd w:id="1111"/>
    </w:p>
    <w:p w:rsidR="00D5771F" w:rsidRDefault="009B19CF">
      <w:pPr>
        <w:pStyle w:val="Heading3"/>
        <w:tabs>
          <w:tab w:val="clear" w:pos="720"/>
        </w:tabs>
        <w:spacing w:after="240"/>
        <w:ind w:left="993" w:hanging="993"/>
      </w:pPr>
      <w:r>
        <w:t xml:space="preserve">It has been observed by the Commission that there has been considerable amount of load shedding which implies that there is a power deficit scenario. In such a case if any consumer avails open access, the Licensee does not really have to reduce the power procurement from the tied up sources. The distribution licensee in such a scenario still has large number of consumers to whom the available electricity can be supplied and there will not be any stranded costs. Considering the above, the Commission has approved additional surcharge for FY2016-17 as Nil (zero). </w:t>
      </w:r>
    </w:p>
    <w:p w:rsidR="006C63AF" w:rsidRDefault="006C63AF" w:rsidP="006C63AF">
      <w:pPr>
        <w:pStyle w:val="Heading3"/>
        <w:numPr>
          <w:ilvl w:val="0"/>
          <w:numId w:val="0"/>
        </w:numPr>
        <w:tabs>
          <w:tab w:val="clear" w:pos="720"/>
        </w:tabs>
        <w:spacing w:before="0"/>
        <w:ind w:left="993"/>
      </w:pPr>
    </w:p>
    <w:p w:rsidR="006C63AF" w:rsidRDefault="009B19CF" w:rsidP="006C63AF">
      <w:pPr>
        <w:pStyle w:val="Heading2"/>
        <w:numPr>
          <w:ilvl w:val="1"/>
          <w:numId w:val="30"/>
        </w:numPr>
        <w:tabs>
          <w:tab w:val="num" w:pos="360"/>
        </w:tabs>
        <w:spacing w:before="0" w:after="120"/>
        <w:rPr>
          <w:rFonts w:cs="Calibri"/>
        </w:rPr>
      </w:pPr>
      <w:bookmarkStart w:id="1112" w:name="_Toc397332171"/>
      <w:bookmarkStart w:id="1113" w:name="_Toc399320599"/>
      <w:bookmarkStart w:id="1114" w:name="_Toc399623758"/>
      <w:bookmarkStart w:id="1115" w:name="_Toc422310084"/>
      <w:bookmarkStart w:id="1116" w:name="_Toc455311779"/>
      <w:bookmarkStart w:id="1117" w:name="_Toc457603973"/>
      <w:r w:rsidRPr="007F4126">
        <w:rPr>
          <w:rFonts w:cs="Calibri"/>
        </w:rPr>
        <w:t>OTHER CHARGES</w:t>
      </w:r>
      <w:bookmarkEnd w:id="1112"/>
      <w:bookmarkEnd w:id="1113"/>
      <w:bookmarkEnd w:id="1114"/>
      <w:bookmarkEnd w:id="1115"/>
      <w:bookmarkEnd w:id="1116"/>
      <w:bookmarkEnd w:id="1117"/>
    </w:p>
    <w:p w:rsidR="00D5771F" w:rsidRDefault="009B19CF">
      <w:pPr>
        <w:pStyle w:val="Heading3"/>
        <w:tabs>
          <w:tab w:val="clear" w:pos="720"/>
        </w:tabs>
        <w:spacing w:before="0" w:after="240"/>
        <w:ind w:left="993" w:hanging="993"/>
      </w:pPr>
      <w:r w:rsidRPr="007F4126">
        <w:rPr>
          <w:rFonts w:asciiTheme="minorHAnsi" w:hAnsiTheme="minorHAnsi"/>
        </w:rPr>
        <w:t>The Commission to encourage the Open access in the State rules that the standby charges, grid support charges and parallel operations charges shall be zero in case of Open Access consumers.</w:t>
      </w:r>
      <w:r w:rsidRPr="00C60AD1">
        <w:br w:type="page"/>
      </w:r>
    </w:p>
    <w:p w:rsidR="00071195" w:rsidRPr="00D005D2" w:rsidRDefault="00071195" w:rsidP="00071195">
      <w:pPr>
        <w:pStyle w:val="Heading1"/>
        <w:numPr>
          <w:ilvl w:val="0"/>
          <w:numId w:val="5"/>
        </w:numPr>
        <w:spacing w:line="276" w:lineRule="auto"/>
        <w:rPr>
          <w:rFonts w:asciiTheme="minorHAnsi" w:hAnsiTheme="minorHAnsi" w:cstheme="minorHAnsi"/>
          <w:szCs w:val="24"/>
        </w:rPr>
      </w:pPr>
      <w:bookmarkStart w:id="1118" w:name="_Toc455415779"/>
      <w:bookmarkStart w:id="1119" w:name="_Toc455482287"/>
      <w:bookmarkStart w:id="1120" w:name="_Toc455483002"/>
      <w:bookmarkStart w:id="1121" w:name="_Toc455483715"/>
      <w:bookmarkStart w:id="1122" w:name="_Toc455505324"/>
      <w:bookmarkStart w:id="1123" w:name="_Toc455575281"/>
      <w:bookmarkStart w:id="1124" w:name="_Toc455575995"/>
      <w:bookmarkStart w:id="1125" w:name="_Toc455576709"/>
      <w:bookmarkStart w:id="1126" w:name="_Toc455415780"/>
      <w:bookmarkStart w:id="1127" w:name="_Toc455482288"/>
      <w:bookmarkStart w:id="1128" w:name="_Toc455483003"/>
      <w:bookmarkStart w:id="1129" w:name="_Toc455483716"/>
      <w:bookmarkStart w:id="1130" w:name="_Toc455505325"/>
      <w:bookmarkStart w:id="1131" w:name="_Toc455575282"/>
      <w:bookmarkStart w:id="1132" w:name="_Toc455575996"/>
      <w:bookmarkStart w:id="1133" w:name="_Toc455576710"/>
      <w:bookmarkStart w:id="1134" w:name="_Toc455415781"/>
      <w:bookmarkStart w:id="1135" w:name="_Toc455482289"/>
      <w:bookmarkStart w:id="1136" w:name="_Toc455483004"/>
      <w:bookmarkStart w:id="1137" w:name="_Toc455483717"/>
      <w:bookmarkStart w:id="1138" w:name="_Toc455505326"/>
      <w:bookmarkStart w:id="1139" w:name="_Toc455575283"/>
      <w:bookmarkStart w:id="1140" w:name="_Toc455575997"/>
      <w:bookmarkStart w:id="1141" w:name="_Toc455576711"/>
      <w:bookmarkStart w:id="1142" w:name="_Toc455415782"/>
      <w:bookmarkStart w:id="1143" w:name="_Toc455482290"/>
      <w:bookmarkStart w:id="1144" w:name="_Toc455483005"/>
      <w:bookmarkStart w:id="1145" w:name="_Toc455483718"/>
      <w:bookmarkStart w:id="1146" w:name="_Toc455505327"/>
      <w:bookmarkStart w:id="1147" w:name="_Toc455575284"/>
      <w:bookmarkStart w:id="1148" w:name="_Toc455575998"/>
      <w:bookmarkStart w:id="1149" w:name="_Toc455576712"/>
      <w:bookmarkStart w:id="1150" w:name="_Toc455415783"/>
      <w:bookmarkStart w:id="1151" w:name="_Toc455482291"/>
      <w:bookmarkStart w:id="1152" w:name="_Toc455483006"/>
      <w:bookmarkStart w:id="1153" w:name="_Toc455483719"/>
      <w:bookmarkStart w:id="1154" w:name="_Toc455505328"/>
      <w:bookmarkStart w:id="1155" w:name="_Toc455575285"/>
      <w:bookmarkStart w:id="1156" w:name="_Toc455575999"/>
      <w:bookmarkStart w:id="1157" w:name="_Toc455576713"/>
      <w:bookmarkStart w:id="1158" w:name="_Toc455415784"/>
      <w:bookmarkStart w:id="1159" w:name="_Toc455482292"/>
      <w:bookmarkStart w:id="1160" w:name="_Toc455483007"/>
      <w:bookmarkStart w:id="1161" w:name="_Toc455483720"/>
      <w:bookmarkStart w:id="1162" w:name="_Toc455505329"/>
      <w:bookmarkStart w:id="1163" w:name="_Toc455575286"/>
      <w:bookmarkStart w:id="1164" w:name="_Toc455576000"/>
      <w:bookmarkStart w:id="1165" w:name="_Toc455576714"/>
      <w:bookmarkStart w:id="1166" w:name="_Toc455415785"/>
      <w:bookmarkStart w:id="1167" w:name="_Toc455482293"/>
      <w:bookmarkStart w:id="1168" w:name="_Toc455483008"/>
      <w:bookmarkStart w:id="1169" w:name="_Toc455483721"/>
      <w:bookmarkStart w:id="1170" w:name="_Toc455505330"/>
      <w:bookmarkStart w:id="1171" w:name="_Toc455575287"/>
      <w:bookmarkStart w:id="1172" w:name="_Toc455576001"/>
      <w:bookmarkStart w:id="1173" w:name="_Toc455576715"/>
      <w:bookmarkStart w:id="1174" w:name="_Toc455415786"/>
      <w:bookmarkStart w:id="1175" w:name="_Toc455482294"/>
      <w:bookmarkStart w:id="1176" w:name="_Toc455483009"/>
      <w:bookmarkStart w:id="1177" w:name="_Toc455483722"/>
      <w:bookmarkStart w:id="1178" w:name="_Toc455505331"/>
      <w:bookmarkStart w:id="1179" w:name="_Toc455575288"/>
      <w:bookmarkStart w:id="1180" w:name="_Toc455576002"/>
      <w:bookmarkStart w:id="1181" w:name="_Toc455576716"/>
      <w:bookmarkStart w:id="1182" w:name="_Toc455415787"/>
      <w:bookmarkStart w:id="1183" w:name="_Toc455482295"/>
      <w:bookmarkStart w:id="1184" w:name="_Toc455483010"/>
      <w:bookmarkStart w:id="1185" w:name="_Toc455483723"/>
      <w:bookmarkStart w:id="1186" w:name="_Toc455505332"/>
      <w:bookmarkStart w:id="1187" w:name="_Toc455575289"/>
      <w:bookmarkStart w:id="1188" w:name="_Toc455576003"/>
      <w:bookmarkStart w:id="1189" w:name="_Toc455576717"/>
      <w:bookmarkStart w:id="1190" w:name="_Toc455415788"/>
      <w:bookmarkStart w:id="1191" w:name="_Toc455482296"/>
      <w:bookmarkStart w:id="1192" w:name="_Toc455483011"/>
      <w:bookmarkStart w:id="1193" w:name="_Toc455483724"/>
      <w:bookmarkStart w:id="1194" w:name="_Toc455505333"/>
      <w:bookmarkStart w:id="1195" w:name="_Toc455575290"/>
      <w:bookmarkStart w:id="1196" w:name="_Toc455576004"/>
      <w:bookmarkStart w:id="1197" w:name="_Toc455576718"/>
      <w:bookmarkStart w:id="1198" w:name="_Toc455415789"/>
      <w:bookmarkStart w:id="1199" w:name="_Toc455482297"/>
      <w:bookmarkStart w:id="1200" w:name="_Toc455483012"/>
      <w:bookmarkStart w:id="1201" w:name="_Toc455483725"/>
      <w:bookmarkStart w:id="1202" w:name="_Toc455505334"/>
      <w:bookmarkStart w:id="1203" w:name="_Toc455575291"/>
      <w:bookmarkStart w:id="1204" w:name="_Toc455576005"/>
      <w:bookmarkStart w:id="1205" w:name="_Toc455576719"/>
      <w:bookmarkStart w:id="1206" w:name="_Toc455415790"/>
      <w:bookmarkStart w:id="1207" w:name="_Toc455482298"/>
      <w:bookmarkStart w:id="1208" w:name="_Toc455483013"/>
      <w:bookmarkStart w:id="1209" w:name="_Toc455483726"/>
      <w:bookmarkStart w:id="1210" w:name="_Toc455505335"/>
      <w:bookmarkStart w:id="1211" w:name="_Toc455575292"/>
      <w:bookmarkStart w:id="1212" w:name="_Toc455576006"/>
      <w:bookmarkStart w:id="1213" w:name="_Toc455576720"/>
      <w:bookmarkStart w:id="1214" w:name="_Toc455415791"/>
      <w:bookmarkStart w:id="1215" w:name="_Toc455482299"/>
      <w:bookmarkStart w:id="1216" w:name="_Toc455483014"/>
      <w:bookmarkStart w:id="1217" w:name="_Toc455483727"/>
      <w:bookmarkStart w:id="1218" w:name="_Toc455505336"/>
      <w:bookmarkStart w:id="1219" w:name="_Toc455575293"/>
      <w:bookmarkStart w:id="1220" w:name="_Toc455576007"/>
      <w:bookmarkStart w:id="1221" w:name="_Toc455576721"/>
      <w:bookmarkStart w:id="1222" w:name="_Toc455415792"/>
      <w:bookmarkStart w:id="1223" w:name="_Toc455482300"/>
      <w:bookmarkStart w:id="1224" w:name="_Toc455483015"/>
      <w:bookmarkStart w:id="1225" w:name="_Toc455483728"/>
      <w:bookmarkStart w:id="1226" w:name="_Toc455505337"/>
      <w:bookmarkStart w:id="1227" w:name="_Toc455575294"/>
      <w:bookmarkStart w:id="1228" w:name="_Toc455576008"/>
      <w:bookmarkStart w:id="1229" w:name="_Toc455576722"/>
      <w:bookmarkStart w:id="1230" w:name="_Toc455415793"/>
      <w:bookmarkStart w:id="1231" w:name="_Toc455482301"/>
      <w:bookmarkStart w:id="1232" w:name="_Toc455483016"/>
      <w:bookmarkStart w:id="1233" w:name="_Toc455483729"/>
      <w:bookmarkStart w:id="1234" w:name="_Toc455505338"/>
      <w:bookmarkStart w:id="1235" w:name="_Toc455575295"/>
      <w:bookmarkStart w:id="1236" w:name="_Toc455576009"/>
      <w:bookmarkStart w:id="1237" w:name="_Toc455576723"/>
      <w:bookmarkStart w:id="1238" w:name="_Toc455415794"/>
      <w:bookmarkStart w:id="1239" w:name="_Toc455482302"/>
      <w:bookmarkStart w:id="1240" w:name="_Toc455483017"/>
      <w:bookmarkStart w:id="1241" w:name="_Toc455483730"/>
      <w:bookmarkStart w:id="1242" w:name="_Toc455505339"/>
      <w:bookmarkStart w:id="1243" w:name="_Toc455575296"/>
      <w:bookmarkStart w:id="1244" w:name="_Toc455576010"/>
      <w:bookmarkStart w:id="1245" w:name="_Toc455576724"/>
      <w:bookmarkStart w:id="1246" w:name="_Toc455415795"/>
      <w:bookmarkStart w:id="1247" w:name="_Toc455482303"/>
      <w:bookmarkStart w:id="1248" w:name="_Toc455483018"/>
      <w:bookmarkStart w:id="1249" w:name="_Toc455483731"/>
      <w:bookmarkStart w:id="1250" w:name="_Toc455505340"/>
      <w:bookmarkStart w:id="1251" w:name="_Toc455575297"/>
      <w:bookmarkStart w:id="1252" w:name="_Toc455576011"/>
      <w:bookmarkStart w:id="1253" w:name="_Toc455576725"/>
      <w:bookmarkStart w:id="1254" w:name="_Toc455415796"/>
      <w:bookmarkStart w:id="1255" w:name="_Toc455482304"/>
      <w:bookmarkStart w:id="1256" w:name="_Toc455483019"/>
      <w:bookmarkStart w:id="1257" w:name="_Toc455483732"/>
      <w:bookmarkStart w:id="1258" w:name="_Toc455505341"/>
      <w:bookmarkStart w:id="1259" w:name="_Toc455575298"/>
      <w:bookmarkStart w:id="1260" w:name="_Toc455576012"/>
      <w:bookmarkStart w:id="1261" w:name="_Toc455576726"/>
      <w:bookmarkStart w:id="1262" w:name="_Toc455415797"/>
      <w:bookmarkStart w:id="1263" w:name="_Toc455482305"/>
      <w:bookmarkStart w:id="1264" w:name="_Toc455483020"/>
      <w:bookmarkStart w:id="1265" w:name="_Toc455483733"/>
      <w:bookmarkStart w:id="1266" w:name="_Toc455505342"/>
      <w:bookmarkStart w:id="1267" w:name="_Toc455575299"/>
      <w:bookmarkStart w:id="1268" w:name="_Toc455576013"/>
      <w:bookmarkStart w:id="1269" w:name="_Toc455576727"/>
      <w:bookmarkStart w:id="1270" w:name="_Toc455415798"/>
      <w:bookmarkStart w:id="1271" w:name="_Toc455482306"/>
      <w:bookmarkStart w:id="1272" w:name="_Toc455483021"/>
      <w:bookmarkStart w:id="1273" w:name="_Toc455483734"/>
      <w:bookmarkStart w:id="1274" w:name="_Toc455505343"/>
      <w:bookmarkStart w:id="1275" w:name="_Toc455575300"/>
      <w:bookmarkStart w:id="1276" w:name="_Toc455576014"/>
      <w:bookmarkStart w:id="1277" w:name="_Toc455576728"/>
      <w:bookmarkStart w:id="1278" w:name="_Toc455415799"/>
      <w:bookmarkStart w:id="1279" w:name="_Toc455482307"/>
      <w:bookmarkStart w:id="1280" w:name="_Toc455483022"/>
      <w:bookmarkStart w:id="1281" w:name="_Toc455483735"/>
      <w:bookmarkStart w:id="1282" w:name="_Toc455505344"/>
      <w:bookmarkStart w:id="1283" w:name="_Toc455575301"/>
      <w:bookmarkStart w:id="1284" w:name="_Toc455576015"/>
      <w:bookmarkStart w:id="1285" w:name="_Toc455576729"/>
      <w:bookmarkStart w:id="1286" w:name="_Toc455415800"/>
      <w:bookmarkStart w:id="1287" w:name="_Toc455482308"/>
      <w:bookmarkStart w:id="1288" w:name="_Toc455483023"/>
      <w:bookmarkStart w:id="1289" w:name="_Toc455483736"/>
      <w:bookmarkStart w:id="1290" w:name="_Toc455505345"/>
      <w:bookmarkStart w:id="1291" w:name="_Toc455575302"/>
      <w:bookmarkStart w:id="1292" w:name="_Toc455576016"/>
      <w:bookmarkStart w:id="1293" w:name="_Toc455576730"/>
      <w:bookmarkStart w:id="1294" w:name="_Toc455415801"/>
      <w:bookmarkStart w:id="1295" w:name="_Toc455482309"/>
      <w:bookmarkStart w:id="1296" w:name="_Toc455483024"/>
      <w:bookmarkStart w:id="1297" w:name="_Toc455483737"/>
      <w:bookmarkStart w:id="1298" w:name="_Toc455505346"/>
      <w:bookmarkStart w:id="1299" w:name="_Toc455575303"/>
      <w:bookmarkStart w:id="1300" w:name="_Toc455576017"/>
      <w:bookmarkStart w:id="1301" w:name="_Toc455576731"/>
      <w:bookmarkStart w:id="1302" w:name="_Toc455415802"/>
      <w:bookmarkStart w:id="1303" w:name="_Toc455482310"/>
      <w:bookmarkStart w:id="1304" w:name="_Toc455483025"/>
      <w:bookmarkStart w:id="1305" w:name="_Toc455483738"/>
      <w:bookmarkStart w:id="1306" w:name="_Toc455505347"/>
      <w:bookmarkStart w:id="1307" w:name="_Toc455575304"/>
      <w:bookmarkStart w:id="1308" w:name="_Toc455576018"/>
      <w:bookmarkStart w:id="1309" w:name="_Toc455576732"/>
      <w:bookmarkStart w:id="1310" w:name="_Toc455415803"/>
      <w:bookmarkStart w:id="1311" w:name="_Toc455482311"/>
      <w:bookmarkStart w:id="1312" w:name="_Toc455483026"/>
      <w:bookmarkStart w:id="1313" w:name="_Toc455483739"/>
      <w:bookmarkStart w:id="1314" w:name="_Toc455505348"/>
      <w:bookmarkStart w:id="1315" w:name="_Toc455575305"/>
      <w:bookmarkStart w:id="1316" w:name="_Toc455576019"/>
      <w:bookmarkStart w:id="1317" w:name="_Toc455576733"/>
      <w:bookmarkStart w:id="1318" w:name="_Toc455415804"/>
      <w:bookmarkStart w:id="1319" w:name="_Toc455482312"/>
      <w:bookmarkStart w:id="1320" w:name="_Toc455483027"/>
      <w:bookmarkStart w:id="1321" w:name="_Toc455483740"/>
      <w:bookmarkStart w:id="1322" w:name="_Toc455505349"/>
      <w:bookmarkStart w:id="1323" w:name="_Toc455575306"/>
      <w:bookmarkStart w:id="1324" w:name="_Toc455576020"/>
      <w:bookmarkStart w:id="1325" w:name="_Toc455576734"/>
      <w:bookmarkStart w:id="1326" w:name="_Toc455415805"/>
      <w:bookmarkStart w:id="1327" w:name="_Toc455482313"/>
      <w:bookmarkStart w:id="1328" w:name="_Toc455483028"/>
      <w:bookmarkStart w:id="1329" w:name="_Toc455483741"/>
      <w:bookmarkStart w:id="1330" w:name="_Toc455505350"/>
      <w:bookmarkStart w:id="1331" w:name="_Toc455575307"/>
      <w:bookmarkStart w:id="1332" w:name="_Toc455576021"/>
      <w:bookmarkStart w:id="1333" w:name="_Toc455576735"/>
      <w:bookmarkStart w:id="1334" w:name="_Toc455415806"/>
      <w:bookmarkStart w:id="1335" w:name="_Toc455482314"/>
      <w:bookmarkStart w:id="1336" w:name="_Toc455483029"/>
      <w:bookmarkStart w:id="1337" w:name="_Toc455483742"/>
      <w:bookmarkStart w:id="1338" w:name="_Toc455505351"/>
      <w:bookmarkStart w:id="1339" w:name="_Toc455575308"/>
      <w:bookmarkStart w:id="1340" w:name="_Toc455576022"/>
      <w:bookmarkStart w:id="1341" w:name="_Toc455576736"/>
      <w:bookmarkStart w:id="1342" w:name="_Toc455415807"/>
      <w:bookmarkStart w:id="1343" w:name="_Toc455482315"/>
      <w:bookmarkStart w:id="1344" w:name="_Toc455483030"/>
      <w:bookmarkStart w:id="1345" w:name="_Toc455483743"/>
      <w:bookmarkStart w:id="1346" w:name="_Toc455505352"/>
      <w:bookmarkStart w:id="1347" w:name="_Toc455575309"/>
      <w:bookmarkStart w:id="1348" w:name="_Toc455576023"/>
      <w:bookmarkStart w:id="1349" w:name="_Toc455576737"/>
      <w:bookmarkStart w:id="1350" w:name="_Toc455415808"/>
      <w:bookmarkStart w:id="1351" w:name="_Toc455482316"/>
      <w:bookmarkStart w:id="1352" w:name="_Toc455483031"/>
      <w:bookmarkStart w:id="1353" w:name="_Toc455483744"/>
      <w:bookmarkStart w:id="1354" w:name="_Toc455505353"/>
      <w:bookmarkStart w:id="1355" w:name="_Toc455575310"/>
      <w:bookmarkStart w:id="1356" w:name="_Toc455576024"/>
      <w:bookmarkStart w:id="1357" w:name="_Toc455576738"/>
      <w:bookmarkStart w:id="1358" w:name="_Toc455415851"/>
      <w:bookmarkStart w:id="1359" w:name="_Toc455482359"/>
      <w:bookmarkStart w:id="1360" w:name="_Toc455483074"/>
      <w:bookmarkStart w:id="1361" w:name="_Toc455483787"/>
      <w:bookmarkStart w:id="1362" w:name="_Toc455505396"/>
      <w:bookmarkStart w:id="1363" w:name="_Toc455575353"/>
      <w:bookmarkStart w:id="1364" w:name="_Toc455576067"/>
      <w:bookmarkStart w:id="1365" w:name="_Toc455576781"/>
      <w:bookmarkStart w:id="1366" w:name="_Toc455415852"/>
      <w:bookmarkStart w:id="1367" w:name="_Toc455482360"/>
      <w:bookmarkStart w:id="1368" w:name="_Toc455483075"/>
      <w:bookmarkStart w:id="1369" w:name="_Toc455483788"/>
      <w:bookmarkStart w:id="1370" w:name="_Toc455505397"/>
      <w:bookmarkStart w:id="1371" w:name="_Toc455575354"/>
      <w:bookmarkStart w:id="1372" w:name="_Toc455576068"/>
      <w:bookmarkStart w:id="1373" w:name="_Toc455576782"/>
      <w:bookmarkStart w:id="1374" w:name="_Toc455415853"/>
      <w:bookmarkStart w:id="1375" w:name="_Toc455482361"/>
      <w:bookmarkStart w:id="1376" w:name="_Toc455483076"/>
      <w:bookmarkStart w:id="1377" w:name="_Toc455483789"/>
      <w:bookmarkStart w:id="1378" w:name="_Toc455505398"/>
      <w:bookmarkStart w:id="1379" w:name="_Toc455575355"/>
      <w:bookmarkStart w:id="1380" w:name="_Toc455576069"/>
      <w:bookmarkStart w:id="1381" w:name="_Toc455576783"/>
      <w:bookmarkStart w:id="1382" w:name="_Toc455415878"/>
      <w:bookmarkStart w:id="1383" w:name="_Toc455482386"/>
      <w:bookmarkStart w:id="1384" w:name="_Toc455483101"/>
      <w:bookmarkStart w:id="1385" w:name="_Toc455483814"/>
      <w:bookmarkStart w:id="1386" w:name="_Toc455505423"/>
      <w:bookmarkStart w:id="1387" w:name="_Toc455575380"/>
      <w:bookmarkStart w:id="1388" w:name="_Toc455576094"/>
      <w:bookmarkStart w:id="1389" w:name="_Toc455576808"/>
      <w:bookmarkStart w:id="1390" w:name="_Toc455415879"/>
      <w:bookmarkStart w:id="1391" w:name="_Toc455482387"/>
      <w:bookmarkStart w:id="1392" w:name="_Toc455483102"/>
      <w:bookmarkStart w:id="1393" w:name="_Toc455483815"/>
      <w:bookmarkStart w:id="1394" w:name="_Toc455505424"/>
      <w:bookmarkStart w:id="1395" w:name="_Toc455575381"/>
      <w:bookmarkStart w:id="1396" w:name="_Toc455576095"/>
      <w:bookmarkStart w:id="1397" w:name="_Toc455576809"/>
      <w:bookmarkStart w:id="1398" w:name="_Toc455415880"/>
      <w:bookmarkStart w:id="1399" w:name="_Toc455482388"/>
      <w:bookmarkStart w:id="1400" w:name="_Toc455483103"/>
      <w:bookmarkStart w:id="1401" w:name="_Toc455483816"/>
      <w:bookmarkStart w:id="1402" w:name="_Toc455505425"/>
      <w:bookmarkStart w:id="1403" w:name="_Toc455575382"/>
      <w:bookmarkStart w:id="1404" w:name="_Toc455576096"/>
      <w:bookmarkStart w:id="1405" w:name="_Toc455576810"/>
      <w:bookmarkStart w:id="1406" w:name="_Toc455415881"/>
      <w:bookmarkStart w:id="1407" w:name="_Toc455482389"/>
      <w:bookmarkStart w:id="1408" w:name="_Toc455483104"/>
      <w:bookmarkStart w:id="1409" w:name="_Toc455483817"/>
      <w:bookmarkStart w:id="1410" w:name="_Toc455505426"/>
      <w:bookmarkStart w:id="1411" w:name="_Toc455575383"/>
      <w:bookmarkStart w:id="1412" w:name="_Toc455576097"/>
      <w:bookmarkStart w:id="1413" w:name="_Toc455576811"/>
      <w:bookmarkStart w:id="1414" w:name="_Toc455415882"/>
      <w:bookmarkStart w:id="1415" w:name="_Toc455482390"/>
      <w:bookmarkStart w:id="1416" w:name="_Toc455483105"/>
      <w:bookmarkStart w:id="1417" w:name="_Toc455483818"/>
      <w:bookmarkStart w:id="1418" w:name="_Toc455505427"/>
      <w:bookmarkStart w:id="1419" w:name="_Toc455575384"/>
      <w:bookmarkStart w:id="1420" w:name="_Toc455576098"/>
      <w:bookmarkStart w:id="1421" w:name="_Toc455576812"/>
      <w:bookmarkStart w:id="1422" w:name="_Toc455415883"/>
      <w:bookmarkStart w:id="1423" w:name="_Toc455482391"/>
      <w:bookmarkStart w:id="1424" w:name="_Toc455483106"/>
      <w:bookmarkStart w:id="1425" w:name="_Toc455483819"/>
      <w:bookmarkStart w:id="1426" w:name="_Toc455505428"/>
      <w:bookmarkStart w:id="1427" w:name="_Toc455575385"/>
      <w:bookmarkStart w:id="1428" w:name="_Toc455576099"/>
      <w:bookmarkStart w:id="1429" w:name="_Toc455576813"/>
      <w:bookmarkStart w:id="1430" w:name="_Toc455415884"/>
      <w:bookmarkStart w:id="1431" w:name="_Toc455482392"/>
      <w:bookmarkStart w:id="1432" w:name="_Toc455483107"/>
      <w:bookmarkStart w:id="1433" w:name="_Toc455483820"/>
      <w:bookmarkStart w:id="1434" w:name="_Toc455505429"/>
      <w:bookmarkStart w:id="1435" w:name="_Toc455575386"/>
      <w:bookmarkStart w:id="1436" w:name="_Toc455576100"/>
      <w:bookmarkStart w:id="1437" w:name="_Toc455576814"/>
      <w:bookmarkStart w:id="1438" w:name="_Toc455415885"/>
      <w:bookmarkStart w:id="1439" w:name="_Toc455482393"/>
      <w:bookmarkStart w:id="1440" w:name="_Toc455483108"/>
      <w:bookmarkStart w:id="1441" w:name="_Toc455483821"/>
      <w:bookmarkStart w:id="1442" w:name="_Toc455505430"/>
      <w:bookmarkStart w:id="1443" w:name="_Toc455575387"/>
      <w:bookmarkStart w:id="1444" w:name="_Toc455576101"/>
      <w:bookmarkStart w:id="1445" w:name="_Toc455576815"/>
      <w:bookmarkStart w:id="1446" w:name="_Toc455415886"/>
      <w:bookmarkStart w:id="1447" w:name="_Toc455482394"/>
      <w:bookmarkStart w:id="1448" w:name="_Toc455483109"/>
      <w:bookmarkStart w:id="1449" w:name="_Toc455483822"/>
      <w:bookmarkStart w:id="1450" w:name="_Toc455505431"/>
      <w:bookmarkStart w:id="1451" w:name="_Toc455575388"/>
      <w:bookmarkStart w:id="1452" w:name="_Toc455576102"/>
      <w:bookmarkStart w:id="1453" w:name="_Toc455576816"/>
      <w:bookmarkStart w:id="1454" w:name="_Toc455415911"/>
      <w:bookmarkStart w:id="1455" w:name="_Toc455482419"/>
      <w:bookmarkStart w:id="1456" w:name="_Toc455483134"/>
      <w:bookmarkStart w:id="1457" w:name="_Toc455483847"/>
      <w:bookmarkStart w:id="1458" w:name="_Toc455505456"/>
      <w:bookmarkStart w:id="1459" w:name="_Toc455575413"/>
      <w:bookmarkStart w:id="1460" w:name="_Toc455576127"/>
      <w:bookmarkStart w:id="1461" w:name="_Toc455576841"/>
      <w:bookmarkStart w:id="1462" w:name="_Toc455415912"/>
      <w:bookmarkStart w:id="1463" w:name="_Toc455482420"/>
      <w:bookmarkStart w:id="1464" w:name="_Toc455483135"/>
      <w:bookmarkStart w:id="1465" w:name="_Toc455483848"/>
      <w:bookmarkStart w:id="1466" w:name="_Toc455505457"/>
      <w:bookmarkStart w:id="1467" w:name="_Toc455575414"/>
      <w:bookmarkStart w:id="1468" w:name="_Toc455576128"/>
      <w:bookmarkStart w:id="1469" w:name="_Toc455576842"/>
      <w:bookmarkStart w:id="1470" w:name="_Toc455415913"/>
      <w:bookmarkStart w:id="1471" w:name="_Toc455482421"/>
      <w:bookmarkStart w:id="1472" w:name="_Toc455483136"/>
      <w:bookmarkStart w:id="1473" w:name="_Toc455483849"/>
      <w:bookmarkStart w:id="1474" w:name="_Toc455505458"/>
      <w:bookmarkStart w:id="1475" w:name="_Toc455575415"/>
      <w:bookmarkStart w:id="1476" w:name="_Toc455576129"/>
      <w:bookmarkStart w:id="1477" w:name="_Toc455576843"/>
      <w:bookmarkStart w:id="1478" w:name="_Toc455415914"/>
      <w:bookmarkStart w:id="1479" w:name="_Toc455482422"/>
      <w:bookmarkStart w:id="1480" w:name="_Toc455483137"/>
      <w:bookmarkStart w:id="1481" w:name="_Toc455483850"/>
      <w:bookmarkStart w:id="1482" w:name="_Toc455505459"/>
      <w:bookmarkStart w:id="1483" w:name="_Toc455575416"/>
      <w:bookmarkStart w:id="1484" w:name="_Toc455576130"/>
      <w:bookmarkStart w:id="1485" w:name="_Toc455576844"/>
      <w:bookmarkStart w:id="1486" w:name="_Toc455415915"/>
      <w:bookmarkStart w:id="1487" w:name="_Toc455482423"/>
      <w:bookmarkStart w:id="1488" w:name="_Toc455483138"/>
      <w:bookmarkStart w:id="1489" w:name="_Toc455483851"/>
      <w:bookmarkStart w:id="1490" w:name="_Toc455505460"/>
      <w:bookmarkStart w:id="1491" w:name="_Toc455575417"/>
      <w:bookmarkStart w:id="1492" w:name="_Toc455576131"/>
      <w:bookmarkStart w:id="1493" w:name="_Toc455576845"/>
      <w:bookmarkStart w:id="1494" w:name="_Toc455415916"/>
      <w:bookmarkStart w:id="1495" w:name="_Toc455482424"/>
      <w:bookmarkStart w:id="1496" w:name="_Toc455483139"/>
      <w:bookmarkStart w:id="1497" w:name="_Toc455483852"/>
      <w:bookmarkStart w:id="1498" w:name="_Toc455505461"/>
      <w:bookmarkStart w:id="1499" w:name="_Toc455575418"/>
      <w:bookmarkStart w:id="1500" w:name="_Toc455576132"/>
      <w:bookmarkStart w:id="1501" w:name="_Toc455576846"/>
      <w:bookmarkStart w:id="1502" w:name="_Toc455415917"/>
      <w:bookmarkStart w:id="1503" w:name="_Toc455482425"/>
      <w:bookmarkStart w:id="1504" w:name="_Toc455483140"/>
      <w:bookmarkStart w:id="1505" w:name="_Toc455483853"/>
      <w:bookmarkStart w:id="1506" w:name="_Toc455505462"/>
      <w:bookmarkStart w:id="1507" w:name="_Toc455575419"/>
      <w:bookmarkStart w:id="1508" w:name="_Toc455576133"/>
      <w:bookmarkStart w:id="1509" w:name="_Toc455576847"/>
      <w:bookmarkStart w:id="1510" w:name="_Toc455415918"/>
      <w:bookmarkStart w:id="1511" w:name="_Toc455482426"/>
      <w:bookmarkStart w:id="1512" w:name="_Toc455483141"/>
      <w:bookmarkStart w:id="1513" w:name="_Toc455483854"/>
      <w:bookmarkStart w:id="1514" w:name="_Toc455505463"/>
      <w:bookmarkStart w:id="1515" w:name="_Toc455575420"/>
      <w:bookmarkStart w:id="1516" w:name="_Toc455576134"/>
      <w:bookmarkStart w:id="1517" w:name="_Toc455576848"/>
      <w:bookmarkStart w:id="1518" w:name="_Toc455415919"/>
      <w:bookmarkStart w:id="1519" w:name="_Toc455482427"/>
      <w:bookmarkStart w:id="1520" w:name="_Toc455483142"/>
      <w:bookmarkStart w:id="1521" w:name="_Toc455483855"/>
      <w:bookmarkStart w:id="1522" w:name="_Toc455505464"/>
      <w:bookmarkStart w:id="1523" w:name="_Toc455575421"/>
      <w:bookmarkStart w:id="1524" w:name="_Toc455576135"/>
      <w:bookmarkStart w:id="1525" w:name="_Toc455576849"/>
      <w:bookmarkStart w:id="1526" w:name="_Toc455415920"/>
      <w:bookmarkStart w:id="1527" w:name="_Toc455482428"/>
      <w:bookmarkStart w:id="1528" w:name="_Toc455483143"/>
      <w:bookmarkStart w:id="1529" w:name="_Toc455483856"/>
      <w:bookmarkStart w:id="1530" w:name="_Toc455505465"/>
      <w:bookmarkStart w:id="1531" w:name="_Toc455575422"/>
      <w:bookmarkStart w:id="1532" w:name="_Toc455576136"/>
      <w:bookmarkStart w:id="1533" w:name="_Toc455576850"/>
      <w:bookmarkStart w:id="1534" w:name="_Toc455415921"/>
      <w:bookmarkStart w:id="1535" w:name="_Toc455482429"/>
      <w:bookmarkStart w:id="1536" w:name="_Toc455483144"/>
      <w:bookmarkStart w:id="1537" w:name="_Toc455483857"/>
      <w:bookmarkStart w:id="1538" w:name="_Toc455505466"/>
      <w:bookmarkStart w:id="1539" w:name="_Toc455575423"/>
      <w:bookmarkStart w:id="1540" w:name="_Toc455576137"/>
      <w:bookmarkStart w:id="1541" w:name="_Toc455576851"/>
      <w:bookmarkStart w:id="1542" w:name="_Toc455415922"/>
      <w:bookmarkStart w:id="1543" w:name="_Toc455482430"/>
      <w:bookmarkStart w:id="1544" w:name="_Toc455483145"/>
      <w:bookmarkStart w:id="1545" w:name="_Toc455483858"/>
      <w:bookmarkStart w:id="1546" w:name="_Toc455505467"/>
      <w:bookmarkStart w:id="1547" w:name="_Toc455575424"/>
      <w:bookmarkStart w:id="1548" w:name="_Toc455576138"/>
      <w:bookmarkStart w:id="1549" w:name="_Toc455576852"/>
      <w:bookmarkStart w:id="1550" w:name="_Toc455415923"/>
      <w:bookmarkStart w:id="1551" w:name="_Toc455482431"/>
      <w:bookmarkStart w:id="1552" w:name="_Toc455483146"/>
      <w:bookmarkStart w:id="1553" w:name="_Toc455483859"/>
      <w:bookmarkStart w:id="1554" w:name="_Toc455505468"/>
      <w:bookmarkStart w:id="1555" w:name="_Toc455575425"/>
      <w:bookmarkStart w:id="1556" w:name="_Toc455576139"/>
      <w:bookmarkStart w:id="1557" w:name="_Toc455576853"/>
      <w:bookmarkStart w:id="1558" w:name="_Toc455415924"/>
      <w:bookmarkStart w:id="1559" w:name="_Toc455482432"/>
      <w:bookmarkStart w:id="1560" w:name="_Toc455483147"/>
      <w:bookmarkStart w:id="1561" w:name="_Toc455483860"/>
      <w:bookmarkStart w:id="1562" w:name="_Toc455505469"/>
      <w:bookmarkStart w:id="1563" w:name="_Toc455575426"/>
      <w:bookmarkStart w:id="1564" w:name="_Toc455576140"/>
      <w:bookmarkStart w:id="1565" w:name="_Toc455576854"/>
      <w:bookmarkStart w:id="1566" w:name="_Toc455415928"/>
      <w:bookmarkStart w:id="1567" w:name="_Toc455482436"/>
      <w:bookmarkStart w:id="1568" w:name="_Toc455483151"/>
      <w:bookmarkStart w:id="1569" w:name="_Toc455483864"/>
      <w:bookmarkStart w:id="1570" w:name="_Toc455505473"/>
      <w:bookmarkStart w:id="1571" w:name="_Toc455575430"/>
      <w:bookmarkStart w:id="1572" w:name="_Toc455576144"/>
      <w:bookmarkStart w:id="1573" w:name="_Toc455576858"/>
      <w:bookmarkStart w:id="1574" w:name="_Toc455415933"/>
      <w:bookmarkStart w:id="1575" w:name="_Toc455482441"/>
      <w:bookmarkStart w:id="1576" w:name="_Toc455483156"/>
      <w:bookmarkStart w:id="1577" w:name="_Toc455483869"/>
      <w:bookmarkStart w:id="1578" w:name="_Toc455505478"/>
      <w:bookmarkStart w:id="1579" w:name="_Toc455575435"/>
      <w:bookmarkStart w:id="1580" w:name="_Toc455576149"/>
      <w:bookmarkStart w:id="1581" w:name="_Toc455576863"/>
      <w:bookmarkStart w:id="1582" w:name="_Toc455415963"/>
      <w:bookmarkStart w:id="1583" w:name="_Toc455482471"/>
      <w:bookmarkStart w:id="1584" w:name="_Toc455483186"/>
      <w:bookmarkStart w:id="1585" w:name="_Toc455483899"/>
      <w:bookmarkStart w:id="1586" w:name="_Toc455505508"/>
      <w:bookmarkStart w:id="1587" w:name="_Toc455575465"/>
      <w:bookmarkStart w:id="1588" w:name="_Toc455576179"/>
      <w:bookmarkStart w:id="1589" w:name="_Toc455576893"/>
      <w:bookmarkStart w:id="1590" w:name="_Toc455415964"/>
      <w:bookmarkStart w:id="1591" w:name="_Toc455482472"/>
      <w:bookmarkStart w:id="1592" w:name="_Toc455483187"/>
      <w:bookmarkStart w:id="1593" w:name="_Toc455483900"/>
      <w:bookmarkStart w:id="1594" w:name="_Toc455505509"/>
      <w:bookmarkStart w:id="1595" w:name="_Toc455575466"/>
      <w:bookmarkStart w:id="1596" w:name="_Toc455576180"/>
      <w:bookmarkStart w:id="1597" w:name="_Toc455576894"/>
      <w:bookmarkStart w:id="1598" w:name="_Toc455415965"/>
      <w:bookmarkStart w:id="1599" w:name="_Toc455482473"/>
      <w:bookmarkStart w:id="1600" w:name="_Toc455483188"/>
      <w:bookmarkStart w:id="1601" w:name="_Toc455483901"/>
      <w:bookmarkStart w:id="1602" w:name="_Toc455505510"/>
      <w:bookmarkStart w:id="1603" w:name="_Toc455575467"/>
      <w:bookmarkStart w:id="1604" w:name="_Toc455576181"/>
      <w:bookmarkStart w:id="1605" w:name="_Toc455576895"/>
      <w:bookmarkStart w:id="1606" w:name="_Toc455415966"/>
      <w:bookmarkStart w:id="1607" w:name="_Toc455482474"/>
      <w:bookmarkStart w:id="1608" w:name="_Toc455483189"/>
      <w:bookmarkStart w:id="1609" w:name="_Toc455483902"/>
      <w:bookmarkStart w:id="1610" w:name="_Toc455505511"/>
      <w:bookmarkStart w:id="1611" w:name="_Toc455575468"/>
      <w:bookmarkStart w:id="1612" w:name="_Toc455576182"/>
      <w:bookmarkStart w:id="1613" w:name="_Toc455576896"/>
      <w:bookmarkStart w:id="1614" w:name="_Toc455415967"/>
      <w:bookmarkStart w:id="1615" w:name="_Toc455482475"/>
      <w:bookmarkStart w:id="1616" w:name="_Toc455483190"/>
      <w:bookmarkStart w:id="1617" w:name="_Toc455483903"/>
      <w:bookmarkStart w:id="1618" w:name="_Toc455505512"/>
      <w:bookmarkStart w:id="1619" w:name="_Toc455575469"/>
      <w:bookmarkStart w:id="1620" w:name="_Toc455576183"/>
      <w:bookmarkStart w:id="1621" w:name="_Toc455576897"/>
      <w:bookmarkStart w:id="1622" w:name="_Toc455415968"/>
      <w:bookmarkStart w:id="1623" w:name="_Toc455482476"/>
      <w:bookmarkStart w:id="1624" w:name="_Toc455483191"/>
      <w:bookmarkStart w:id="1625" w:name="_Toc455483904"/>
      <w:bookmarkStart w:id="1626" w:name="_Toc455505513"/>
      <w:bookmarkStart w:id="1627" w:name="_Toc455575470"/>
      <w:bookmarkStart w:id="1628" w:name="_Toc455576184"/>
      <w:bookmarkStart w:id="1629" w:name="_Toc455576898"/>
      <w:bookmarkStart w:id="1630" w:name="_Toc455415969"/>
      <w:bookmarkStart w:id="1631" w:name="_Toc455482477"/>
      <w:bookmarkStart w:id="1632" w:name="_Toc455483192"/>
      <w:bookmarkStart w:id="1633" w:name="_Toc455483905"/>
      <w:bookmarkStart w:id="1634" w:name="_Toc455505514"/>
      <w:bookmarkStart w:id="1635" w:name="_Toc455575471"/>
      <w:bookmarkStart w:id="1636" w:name="_Toc455576185"/>
      <w:bookmarkStart w:id="1637" w:name="_Toc455576899"/>
      <w:bookmarkStart w:id="1638" w:name="_Toc455415970"/>
      <w:bookmarkStart w:id="1639" w:name="_Toc455482478"/>
      <w:bookmarkStart w:id="1640" w:name="_Toc455483193"/>
      <w:bookmarkStart w:id="1641" w:name="_Toc455483906"/>
      <w:bookmarkStart w:id="1642" w:name="_Toc455505515"/>
      <w:bookmarkStart w:id="1643" w:name="_Toc455575472"/>
      <w:bookmarkStart w:id="1644" w:name="_Toc455576186"/>
      <w:bookmarkStart w:id="1645" w:name="_Toc455576900"/>
      <w:bookmarkStart w:id="1646" w:name="_Toc455415971"/>
      <w:bookmarkStart w:id="1647" w:name="_Toc455482479"/>
      <w:bookmarkStart w:id="1648" w:name="_Toc455483194"/>
      <w:bookmarkStart w:id="1649" w:name="_Toc455483907"/>
      <w:bookmarkStart w:id="1650" w:name="_Toc455505516"/>
      <w:bookmarkStart w:id="1651" w:name="_Toc455575473"/>
      <w:bookmarkStart w:id="1652" w:name="_Toc455576187"/>
      <w:bookmarkStart w:id="1653" w:name="_Toc455576901"/>
      <w:bookmarkStart w:id="1654" w:name="_Toc455415972"/>
      <w:bookmarkStart w:id="1655" w:name="_Toc455482480"/>
      <w:bookmarkStart w:id="1656" w:name="_Toc455483195"/>
      <w:bookmarkStart w:id="1657" w:name="_Toc455483908"/>
      <w:bookmarkStart w:id="1658" w:name="_Toc455505517"/>
      <w:bookmarkStart w:id="1659" w:name="_Toc455575474"/>
      <w:bookmarkStart w:id="1660" w:name="_Toc455576188"/>
      <w:bookmarkStart w:id="1661" w:name="_Toc455576902"/>
      <w:bookmarkStart w:id="1662" w:name="_Toc455415973"/>
      <w:bookmarkStart w:id="1663" w:name="_Toc455482481"/>
      <w:bookmarkStart w:id="1664" w:name="_Toc455483196"/>
      <w:bookmarkStart w:id="1665" w:name="_Toc455483909"/>
      <w:bookmarkStart w:id="1666" w:name="_Toc455505518"/>
      <w:bookmarkStart w:id="1667" w:name="_Toc455575475"/>
      <w:bookmarkStart w:id="1668" w:name="_Toc455576189"/>
      <w:bookmarkStart w:id="1669" w:name="_Toc455576903"/>
      <w:bookmarkStart w:id="1670" w:name="_Toc455415974"/>
      <w:bookmarkStart w:id="1671" w:name="_Toc455482482"/>
      <w:bookmarkStart w:id="1672" w:name="_Toc455483197"/>
      <w:bookmarkStart w:id="1673" w:name="_Toc455483910"/>
      <w:bookmarkStart w:id="1674" w:name="_Toc455505519"/>
      <w:bookmarkStart w:id="1675" w:name="_Toc455575476"/>
      <w:bookmarkStart w:id="1676" w:name="_Toc455576190"/>
      <w:bookmarkStart w:id="1677" w:name="_Toc455576904"/>
      <w:bookmarkStart w:id="1678" w:name="_Toc455415995"/>
      <w:bookmarkStart w:id="1679" w:name="_Toc455482503"/>
      <w:bookmarkStart w:id="1680" w:name="_Toc455483218"/>
      <w:bookmarkStart w:id="1681" w:name="_Toc455483931"/>
      <w:bookmarkStart w:id="1682" w:name="_Toc455505540"/>
      <w:bookmarkStart w:id="1683" w:name="_Toc357345046"/>
      <w:bookmarkStart w:id="1684" w:name="_Toc357714423"/>
      <w:bookmarkStart w:id="1685" w:name="_Toc399320600"/>
      <w:bookmarkStart w:id="1686" w:name="_Toc421828853"/>
      <w:bookmarkStart w:id="1687" w:name="_Toc422310085"/>
      <w:bookmarkStart w:id="1688" w:name="_Toc455574108"/>
      <w:bookmarkStart w:id="1689" w:name="_Toc457603974"/>
      <w:bookmarkEnd w:id="1055"/>
      <w:bookmarkEnd w:id="1056"/>
      <w:bookmarkEnd w:id="105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sidRPr="00D005D2">
        <w:rPr>
          <w:rFonts w:asciiTheme="minorHAnsi" w:hAnsiTheme="minorHAnsi" w:cstheme="minorHAnsi"/>
          <w:szCs w:val="24"/>
        </w:rPr>
        <w:lastRenderedPageBreak/>
        <w:t>TARIFF PHILOSPHY</w:t>
      </w:r>
      <w:bookmarkEnd w:id="1683"/>
      <w:bookmarkEnd w:id="1684"/>
      <w:bookmarkEnd w:id="1685"/>
      <w:bookmarkEnd w:id="1686"/>
      <w:bookmarkEnd w:id="1687"/>
      <w:bookmarkEnd w:id="1688"/>
      <w:bookmarkEnd w:id="1689"/>
    </w:p>
    <w:p w:rsidR="00071195" w:rsidRPr="00D005D2" w:rsidRDefault="00071195" w:rsidP="00071195">
      <w:pPr>
        <w:pStyle w:val="Heading2"/>
        <w:numPr>
          <w:ilvl w:val="0"/>
          <w:numId w:val="0"/>
        </w:numPr>
        <w:spacing w:after="120" w:line="276" w:lineRule="auto"/>
        <w:ind w:left="780"/>
        <w:rPr>
          <w:rFonts w:cs="Calibri"/>
        </w:rPr>
      </w:pPr>
      <w:bookmarkStart w:id="1690" w:name="_Toc357714424"/>
      <w:bookmarkStart w:id="1691" w:name="_Toc399320601"/>
      <w:bookmarkStart w:id="1692" w:name="_Toc421828854"/>
      <w:bookmarkStart w:id="1693" w:name="_Toc337201444"/>
      <w:bookmarkStart w:id="1694" w:name="_Toc357345047"/>
    </w:p>
    <w:p w:rsidR="00071195" w:rsidRDefault="00071195" w:rsidP="00071195">
      <w:pPr>
        <w:pStyle w:val="Heading2"/>
        <w:numPr>
          <w:ilvl w:val="1"/>
          <w:numId w:val="28"/>
        </w:numPr>
        <w:tabs>
          <w:tab w:val="num" w:pos="360"/>
        </w:tabs>
        <w:spacing w:after="120" w:line="276" w:lineRule="auto"/>
        <w:rPr>
          <w:rFonts w:cs="Calibri"/>
        </w:rPr>
      </w:pPr>
      <w:bookmarkStart w:id="1695" w:name="_Toc422310086"/>
      <w:bookmarkStart w:id="1696" w:name="_Toc455574109"/>
      <w:bookmarkStart w:id="1697" w:name="_Toc457603975"/>
      <w:r w:rsidRPr="00D005D2">
        <w:rPr>
          <w:rFonts w:cs="Calibri"/>
        </w:rPr>
        <w:t>CONSIDERATIONS IN TARIFF DESIGN</w:t>
      </w:r>
      <w:bookmarkEnd w:id="1690"/>
      <w:bookmarkEnd w:id="1691"/>
      <w:bookmarkEnd w:id="1692"/>
      <w:bookmarkEnd w:id="1695"/>
      <w:bookmarkEnd w:id="1696"/>
      <w:bookmarkEnd w:id="1697"/>
    </w:p>
    <w:p w:rsidR="00071195" w:rsidRPr="00D005D2" w:rsidRDefault="00071195" w:rsidP="00071195">
      <w:pPr>
        <w:pStyle w:val="Heading2"/>
        <w:numPr>
          <w:ilvl w:val="0"/>
          <w:numId w:val="0"/>
        </w:numPr>
        <w:spacing w:after="120" w:line="276" w:lineRule="auto"/>
        <w:ind w:left="780"/>
        <w:rPr>
          <w:rFonts w:cs="Calibri"/>
        </w:rPr>
      </w:pP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Section 62 of the Electricity Act 2003, read with Section 24 of the Uttar Pradesh Electricity Reforms Act, 1999 sets out the overall principles for the Commission to determine the final tariffs for all categories of consumers defined and differentiated according to consumer’s load factor, power factor, voltage, total consumption of energy during any specified period or the time at which supply is required or the geographical position of any area, nature of supply and the purpose for which the supply is required. The overall mandate of the statutory legislations to the Commission is to adopt factors that will encourage efficiency, economical use of the resources, good performance, optimum investments and observance of the conditions of the License.</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The linkage of tariffs to cost of service and elimination of cross-subsidies is an important feature of the Electricity Act, 2003. Section 61 (g) of the Electricity Act, 2003 states that the tariffs should progressively reflect the cost of supply and it also requires the Commission to reduce cross subsidies within a timeframe specified by it. The need for progressive reduction of cross subsidies has also been underlined in Sections 39, 40 and 42 of the Electricity Act, 2003. The Tariff Policy also advocates for adoption of average cost of supply, which should be taken as reference point for fixing the tariff bands for different categories.</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 xml:space="preserve">The Commission has determined the retail tariff for FY 2016-17 in view of the guiding principles as stated in the Electricity Act, 2003 and Tariff Policy. The Commission has also considered the comments / suggestions / objections of the stakeholders and public at large while determining the tariffs. The Commission in its past Orders has laid emphasis on adoption of factors that encourages economy, efficiency, effective performance, autonomy, regulatory discipline and improved conditions of supply. On these lines, the Commission, in this Order too, has applied similar principles keeping in view the ground realities. </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As regards to the linkage of Tariff with the Cost of Service, the Distribution Tariff Regulations state as follows:</w:t>
      </w:r>
    </w:p>
    <w:p w:rsidR="00A548D7" w:rsidRPr="001D4040" w:rsidRDefault="00A548D7" w:rsidP="00A548D7">
      <w:pPr>
        <w:pStyle w:val="Default"/>
        <w:spacing w:line="276" w:lineRule="auto"/>
        <w:jc w:val="both"/>
        <w:rPr>
          <w:rFonts w:cstheme="minorHAnsi"/>
          <w:bCs/>
        </w:rPr>
      </w:pPr>
    </w:p>
    <w:p w:rsidR="00A548D7" w:rsidRPr="001D4040" w:rsidRDefault="00A548D7" w:rsidP="00A548D7">
      <w:pPr>
        <w:autoSpaceDE w:val="0"/>
        <w:autoSpaceDN w:val="0"/>
        <w:adjustRightInd w:val="0"/>
        <w:ind w:left="1440"/>
        <w:rPr>
          <w:rFonts w:cstheme="minorHAnsi"/>
          <w:i/>
        </w:rPr>
      </w:pPr>
      <w:r w:rsidRPr="001D4040">
        <w:rPr>
          <w:rFonts w:cstheme="minorHAnsi"/>
          <w:i/>
        </w:rPr>
        <w:lastRenderedPageBreak/>
        <w:t>“1. The tariffs for various categories / voltages shall progressively reflect Licensee’s cost to serve a particular category at a particular voltage. Allocation of all costs prudently incurred by the Distribution Licensee to different category of consumers shall form the basis of assessing cost to serve of a particular category. Pending availability of information that reasonably establishes the category-wise / voltage-wise cost to serve, average cost of supply shall be used for determining tariffs taking into account the fact that existing cross subsidies will be reduced gradually. Every Licensee shall provide to the Commission an accurate cost to serve study for its area. The category-wise/ voltage wise cost to serve should factor in such characteristics as supply hours, the load factor, voltage, extent of technical and commercial losses etc.</w:t>
      </w:r>
    </w:p>
    <w:p w:rsidR="00A548D7" w:rsidRPr="001D4040" w:rsidRDefault="00A548D7" w:rsidP="00A548D7">
      <w:pPr>
        <w:autoSpaceDE w:val="0"/>
        <w:autoSpaceDN w:val="0"/>
        <w:adjustRightInd w:val="0"/>
        <w:ind w:left="1440"/>
        <w:rPr>
          <w:rFonts w:cstheme="minorHAnsi"/>
          <w:b/>
          <w:bCs/>
          <w:i/>
        </w:rPr>
      </w:pPr>
      <w:r w:rsidRPr="001D4040">
        <w:rPr>
          <w:rFonts w:cstheme="minorHAnsi"/>
          <w:i/>
        </w:rPr>
        <w:t>2. To achieve the objective that the tariff progressively reflects the cost of supply of electricity, the Commission may notify a roadmap with a target that latest by the end of year 2010-2011 tariffs are within ± 20 % of the average cost of supply. The road map shall also have intermediate milestones, based on the approach of a gradual reduction in cross subsidy.”</w:t>
      </w:r>
    </w:p>
    <w:p w:rsidR="00A548D7" w:rsidRPr="001D4040" w:rsidRDefault="00A548D7" w:rsidP="00A548D7">
      <w:pPr>
        <w:pStyle w:val="Default"/>
        <w:spacing w:line="276" w:lineRule="auto"/>
        <w:jc w:val="both"/>
        <w:rPr>
          <w:rFonts w:cstheme="minorHAnsi"/>
          <w:b/>
          <w:bCs/>
        </w:rPr>
      </w:pP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In terms of the Distribution Tariff Regulations, 2006, Tariff Policy and the Electricity Act, 2003, the Commission opines that in the ideal scenario, the tariff of any category should be linked to the cost imposed on the system by the said category. In this regard, the Commission has been directing the Licensee to conduct Cost of Service studies to have a tool for alignment of costs and charges. The Licensee has not submitted any details regarding the cost of service studies for each category or voltage level. The paucity of data in this regard has restricted the Commission in establishing a linkage of tariff to average cost of supply.</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Accordingly, while determining the tariff for each category, the Commission has looked into the relationship between the tariff and the overall average cost of supply for FY 2016-17. Effort has been made to move the tariff of appropriate consumer categories, towards the band of +/- 20% to meet the declared objectives of the Distribution Tariff Regulations, 2006, Tariff Policy and the Electricity Act, 2003.</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 xml:space="preserve">In view of the above, the Commission has determined the retail tariff keeping in the mind the guiding principles as stated in Section 61 of the Electricity Act, </w:t>
      </w:r>
      <w:r w:rsidRPr="001D4040">
        <w:lastRenderedPageBreak/>
        <w:t>2003.There was unabridged revenue gap considering the existing tariff for FY 2016-17(including the gap for previous years). Considering the huge amount of accumulated revenue gap of previous years as well as revenue gap for current year and high cost of supply and resultant poor cost coverage in the absence of cost reflective tariff, the Commission has decided to increase the tariff as detailed in the subsequent sections to ensure some recovery of the revenue gap.</w:t>
      </w:r>
    </w:p>
    <w:p w:rsidR="006C63AF" w:rsidRDefault="006C63AF" w:rsidP="006C63AF">
      <w:pPr>
        <w:pStyle w:val="ListParagraph"/>
        <w:spacing w:before="0"/>
      </w:pPr>
    </w:p>
    <w:p w:rsidR="006C63AF" w:rsidRDefault="00A548D7" w:rsidP="006C63AF">
      <w:pPr>
        <w:pStyle w:val="ListParagraph"/>
        <w:spacing w:before="0"/>
        <w:rPr>
          <w:b/>
        </w:rPr>
      </w:pPr>
      <w:r w:rsidRPr="001D4040">
        <w:rPr>
          <w:b/>
        </w:rPr>
        <w:t>Me</w:t>
      </w:r>
      <w:r w:rsidR="00162642">
        <w:rPr>
          <w:b/>
        </w:rPr>
        <w:t>tering</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In the tariff Order for FY 2014-15, the Commission linked the tariff for unmetered consumer categories in (LMV-1 and LMV-2) with the contracted load which was earlier linked with number of consumers. The Commission in cognizance to the approach followed in the Tariff Order for FY 2014-15 and FY 2015-16, has decided to continue to levy of fixed charges of the unmetered consumers under LMV-1 and LMV-2 up to 2 kW as per their contracted load in Rs. / kW terms.</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To incentivise the rural consumers who shift from unmetered to metered category, the Commission has allowed a rebate of 10% on Rate applicable as per the applicable tariff of metered category which shall be applicable to the consumer from the date of installation of meter till end of FY 2017-18.</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 xml:space="preserve">It has further been observed in the previous years, that in spite of various incentive / dis-incentives, there has not been any considerable improvement in the metering status in the State and the Distribution Licensees continue to supply electricity to the unmetered consumers which results in huge loss of unaccounted electricity. The Petitioner has not been making its full efforts to convert the unmetered connections. </w:t>
      </w:r>
      <w:r w:rsidRPr="001D4040">
        <w:rPr>
          <w:b/>
        </w:rPr>
        <w:t>Therefore, the Commission in this Order has directed the Licensee to comply with the direction given by the Commission to put its sincere efforts for converting the unmetered consumers to metered consumers thereby ensuring that metering is achieved up to the satisfactory level, failing which the Commission may take a strict view for appropriate action.</w:t>
      </w:r>
    </w:p>
    <w:p w:rsidR="00A548D7" w:rsidRPr="001D4040" w:rsidRDefault="00A548D7" w:rsidP="00A548D7">
      <w:pPr>
        <w:pStyle w:val="Default"/>
        <w:spacing w:line="276" w:lineRule="auto"/>
        <w:jc w:val="both"/>
        <w:rPr>
          <w:rFonts w:cstheme="minorHAnsi"/>
        </w:rPr>
      </w:pPr>
    </w:p>
    <w:p w:rsidR="00A548D7" w:rsidRPr="001D4040" w:rsidRDefault="00A548D7" w:rsidP="00A548D7">
      <w:pPr>
        <w:pStyle w:val="Heading3"/>
        <w:numPr>
          <w:ilvl w:val="0"/>
          <w:numId w:val="0"/>
        </w:numPr>
        <w:spacing w:before="0"/>
        <w:ind w:left="720"/>
        <w:rPr>
          <w:b/>
          <w:szCs w:val="24"/>
        </w:rPr>
      </w:pPr>
      <w:r w:rsidRPr="001D4040">
        <w:rPr>
          <w:b/>
          <w:szCs w:val="24"/>
        </w:rPr>
        <w:t>Billable Demand</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 xml:space="preserve">For all consumers having TVM / TOD / Demand recording meters installed, the billable load / demand during a month shall be the actual maximum load / </w:t>
      </w:r>
      <w:r w:rsidRPr="001D4040">
        <w:lastRenderedPageBreak/>
        <w:t>demand as recorded by the meter (can be in parts of kW or kVA) or 75% of the contracted load / demand (kW or kVA), whichever is higher.</w:t>
      </w:r>
    </w:p>
    <w:p w:rsidR="00A548D7" w:rsidRPr="001D4040" w:rsidRDefault="00A548D7" w:rsidP="00A548D7">
      <w:pPr>
        <w:numPr>
          <w:ilvl w:val="2"/>
          <w:numId w:val="5"/>
        </w:numPr>
        <w:tabs>
          <w:tab w:val="clear" w:pos="1929"/>
          <w:tab w:val="num" w:pos="360"/>
          <w:tab w:val="num" w:pos="1646"/>
        </w:tabs>
        <w:spacing w:after="120"/>
        <w:ind w:left="993" w:hanging="993"/>
        <w:outlineLvl w:val="2"/>
        <w:rPr>
          <w:rFonts w:cs="Calibri"/>
        </w:rPr>
      </w:pPr>
      <w:r w:rsidRPr="001D4040">
        <w:t>Further in case the licensee fails to note the actual maximum load / demand reading or in case of spot-billing, then the consumer may approach the licensee with a photo of the actual maximum load / demand reading displayed on his meter of the previous month. The licensee shall accept the same for the purpose of computation of billable demand, however, if the licensee wishes to, it can get the same verified within 10 days.</w:t>
      </w:r>
    </w:p>
    <w:p w:rsidR="00A548D7" w:rsidRPr="001D4040" w:rsidRDefault="00A548D7" w:rsidP="00A548D7">
      <w:pPr>
        <w:spacing w:after="120"/>
        <w:ind w:left="993"/>
        <w:outlineLvl w:val="2"/>
        <w:rPr>
          <w:rFonts w:cs="Calibri"/>
        </w:rPr>
      </w:pPr>
    </w:p>
    <w:p w:rsidR="00A548D7" w:rsidRPr="001D4040" w:rsidRDefault="00A548D7" w:rsidP="00A548D7">
      <w:pPr>
        <w:pStyle w:val="Heading3"/>
        <w:numPr>
          <w:ilvl w:val="0"/>
          <w:numId w:val="0"/>
        </w:numPr>
        <w:spacing w:before="0"/>
        <w:ind w:left="936" w:hanging="936"/>
        <w:rPr>
          <w:b/>
          <w:szCs w:val="24"/>
        </w:rPr>
      </w:pPr>
      <w:r w:rsidRPr="001D4040">
        <w:rPr>
          <w:b/>
          <w:szCs w:val="24"/>
        </w:rPr>
        <w:tab/>
        <w:t>Time of Day Tariff</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The Time of Day tariff (TOD) is a widely accepted Demand side Management (DSM) measure for energy conservation by price. The TOD structure prompts the consumer to change their consumption profile so as to shift their loads during off peak hours when the power is relatively cheaper. TOD tariff encourages the distribution licensees to move towards separation of peak and off-peak tariffs which would help in reducing consumption as well as costly power purchase at the peak time. The Tariff is set in such a way that it inherently provides incentives and disincentives for the use of electricity in different time periods. The basic objective of implementing time of day tariffs is to flatten the load curve over a period of a day resulting in a reduction in the peaking power requirement and also to enhance power requirement during off peak period. The Licensees have proposed same TOD structure as approved by the Commission in its previous Tariff Order for FY 2015-16.</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 xml:space="preserve">It may be noted that by implementing the TOD Tariff, the peak load gets shifted and the Distribution Licensees gain in the form of reduction in power purchase expenses as the additional energy supplied to the consumers during peak hours are typically purchased from a costlier source. The Commission in this Tariff Order has continued with the optional TOD structure as </w:t>
      </w:r>
      <w:r w:rsidRPr="001D4040">
        <w:rPr>
          <w:rFonts w:cs="Calibri"/>
        </w:rPr>
        <w:t xml:space="preserve">introduced in FY 2015-16 </w:t>
      </w:r>
      <w:r w:rsidRPr="001D4040">
        <w:t xml:space="preserve">for </w:t>
      </w:r>
      <w:r w:rsidRPr="001D4040">
        <w:rPr>
          <w:rFonts w:cs="Calibri"/>
        </w:rPr>
        <w:t xml:space="preserve">consumers who want to operate at full potential only during the specified night hours (i.e. from 22:00 hrs to 06:00 hrs) with restricted consumption in remaining hours, in addition to the TOD slabs </w:t>
      </w:r>
      <w:r w:rsidRPr="001D4040">
        <w:t>which will be applicable for LMV-6 and HV-2 categories. Apart from the above the Commission in this Order has reduced the TOD rate for the Induction Furnaces / Arc Furnaces, Rolling / Re-Rolling Mill industrial consumers. The TOD structure has been detailed in the Rate Schedule which is provided subsequently in this Order.</w:t>
      </w:r>
    </w:p>
    <w:p w:rsidR="00A548D7" w:rsidRPr="001D4040" w:rsidRDefault="00A548D7" w:rsidP="00A548D7">
      <w:pPr>
        <w:pStyle w:val="Heading3"/>
        <w:numPr>
          <w:ilvl w:val="0"/>
          <w:numId w:val="0"/>
        </w:numPr>
        <w:spacing w:before="0"/>
        <w:ind w:left="936" w:hanging="936"/>
        <w:rPr>
          <w:b/>
          <w:szCs w:val="24"/>
        </w:rPr>
      </w:pPr>
      <w:r w:rsidRPr="001D4040">
        <w:rPr>
          <w:b/>
          <w:szCs w:val="24"/>
        </w:rPr>
        <w:lastRenderedPageBreak/>
        <w:tab/>
        <w:t>Life-line consumers</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 xml:space="preserve">Licensees have not proposed any change for the Life Line category of consumers. The Commission in the past has been allowing tariff support to lifeline consumers having load up to 1 kW and maximum consumption of 150 kWh / month. In spirit of the National Electricity Policy and the approach followed in last year’s Order for FY 2015-16 the Commission in this Order, has decided not to change the slabs and rates for the lifeline consumers. </w:t>
      </w:r>
    </w:p>
    <w:p w:rsidR="00A548D7" w:rsidRPr="001D4040" w:rsidRDefault="00A548D7" w:rsidP="00A548D7">
      <w:pPr>
        <w:spacing w:after="120"/>
        <w:ind w:left="993"/>
        <w:outlineLvl w:val="2"/>
        <w:rPr>
          <w:b/>
        </w:rPr>
      </w:pPr>
    </w:p>
    <w:p w:rsidR="00A548D7" w:rsidRPr="001D4040" w:rsidRDefault="00A548D7" w:rsidP="00A548D7">
      <w:pPr>
        <w:pStyle w:val="Heading3"/>
        <w:numPr>
          <w:ilvl w:val="0"/>
          <w:numId w:val="0"/>
        </w:numPr>
        <w:spacing w:before="0"/>
        <w:ind w:left="936" w:hanging="936"/>
        <w:rPr>
          <w:b/>
          <w:szCs w:val="24"/>
        </w:rPr>
      </w:pPr>
      <w:r w:rsidRPr="001D4040">
        <w:rPr>
          <w:b/>
          <w:szCs w:val="24"/>
        </w:rPr>
        <w:tab/>
        <w:t>Scheme for advance deposit for future monthly energy bills</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The Commission in this Order has continued with the provision for Advance Deposit against payment of monthly future energy bills which would provide the consumer better facility and the consumer will also be entitled to get interest at the interest rate applicable on security deposit, for the period during which advance exists for each month. With this the Licensees would also get benefitted by improvement in their working capital requirement / cash flows. The detail of this arrangement of advance deposit against payment of future monthly electricity bills is provided in the rate schedule of this Order.</w:t>
      </w:r>
    </w:p>
    <w:p w:rsidR="00A548D7" w:rsidRPr="001D4040" w:rsidRDefault="00A548D7" w:rsidP="00A548D7">
      <w:pPr>
        <w:pStyle w:val="Heading2"/>
        <w:numPr>
          <w:ilvl w:val="0"/>
          <w:numId w:val="0"/>
        </w:numPr>
        <w:spacing w:line="276" w:lineRule="auto"/>
        <w:ind w:left="780"/>
        <w:rPr>
          <w:rFonts w:ascii="Calibri" w:hAnsi="Calibri"/>
        </w:rPr>
      </w:pPr>
    </w:p>
    <w:p w:rsidR="00A548D7" w:rsidRPr="001D4040" w:rsidRDefault="00162642" w:rsidP="00A548D7">
      <w:pPr>
        <w:pStyle w:val="Heading3"/>
        <w:numPr>
          <w:ilvl w:val="0"/>
          <w:numId w:val="0"/>
        </w:numPr>
        <w:spacing w:before="0"/>
        <w:ind w:left="936" w:hanging="936"/>
        <w:rPr>
          <w:b/>
          <w:szCs w:val="24"/>
        </w:rPr>
      </w:pPr>
      <w:r>
        <w:rPr>
          <w:b/>
          <w:szCs w:val="24"/>
        </w:rPr>
        <w:tab/>
        <w:t>Rebate on Timely Payment</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The Commission has decided to increase the rebate to 0.50% for the consumers who pay the bills in time i.e. on or before due date. The consumers having any arrears in the bill shall not be entitled for this rebate. The consumers who have made advance deposit against future energy bills shall also be entitled for this rebate.</w:t>
      </w:r>
    </w:p>
    <w:p w:rsidR="00A548D7" w:rsidRPr="001D4040" w:rsidRDefault="00A548D7" w:rsidP="00A548D7">
      <w:pPr>
        <w:pStyle w:val="Heading3"/>
        <w:numPr>
          <w:ilvl w:val="0"/>
          <w:numId w:val="0"/>
        </w:numPr>
        <w:spacing w:before="0"/>
        <w:ind w:left="720"/>
        <w:rPr>
          <w:b/>
          <w:szCs w:val="24"/>
        </w:rPr>
      </w:pPr>
    </w:p>
    <w:p w:rsidR="00A548D7" w:rsidRPr="001D4040" w:rsidRDefault="00162642" w:rsidP="00A548D7">
      <w:pPr>
        <w:pStyle w:val="Heading3"/>
        <w:numPr>
          <w:ilvl w:val="0"/>
          <w:numId w:val="0"/>
        </w:numPr>
        <w:spacing w:before="0"/>
        <w:ind w:left="936" w:hanging="936"/>
        <w:rPr>
          <w:b/>
          <w:szCs w:val="24"/>
        </w:rPr>
      </w:pPr>
      <w:r>
        <w:rPr>
          <w:b/>
          <w:szCs w:val="24"/>
        </w:rPr>
        <w:tab/>
        <w:t>Rebate for Prepaid Meters</w:t>
      </w:r>
    </w:p>
    <w:p w:rsidR="00A548D7" w:rsidRPr="001D4040" w:rsidRDefault="00A548D7" w:rsidP="00A548D7">
      <w:pPr>
        <w:numPr>
          <w:ilvl w:val="2"/>
          <w:numId w:val="5"/>
        </w:numPr>
        <w:tabs>
          <w:tab w:val="clear" w:pos="1929"/>
          <w:tab w:val="num" w:pos="360"/>
          <w:tab w:val="num" w:pos="1646"/>
        </w:tabs>
        <w:spacing w:after="120"/>
        <w:ind w:left="993" w:hanging="993"/>
        <w:outlineLvl w:val="2"/>
        <w:rPr>
          <w:b/>
        </w:rPr>
      </w:pPr>
      <w:r w:rsidRPr="001D4040">
        <w:t xml:space="preserve">In order to encourage the prepaid meters, the Commission has decided to continue the rebate of 1.25% on the Rate of Charge for the consumers having prepaid meters. </w:t>
      </w:r>
    </w:p>
    <w:p w:rsidR="00A548D7" w:rsidRPr="001D4040" w:rsidRDefault="00A548D7" w:rsidP="00A548D7">
      <w:pPr>
        <w:pStyle w:val="Heading3"/>
        <w:numPr>
          <w:ilvl w:val="0"/>
          <w:numId w:val="0"/>
        </w:numPr>
        <w:spacing w:before="0"/>
        <w:ind w:left="936" w:hanging="936"/>
        <w:rPr>
          <w:b/>
          <w:szCs w:val="24"/>
        </w:rPr>
      </w:pPr>
      <w:r w:rsidRPr="001D4040">
        <w:rPr>
          <w:b/>
          <w:szCs w:val="24"/>
        </w:rPr>
        <w:tab/>
      </w:r>
    </w:p>
    <w:p w:rsidR="00A548D7" w:rsidRPr="001D4040" w:rsidRDefault="00A548D7" w:rsidP="00A548D7">
      <w:pPr>
        <w:pStyle w:val="Heading3"/>
        <w:numPr>
          <w:ilvl w:val="0"/>
          <w:numId w:val="0"/>
        </w:numPr>
        <w:spacing w:before="0"/>
        <w:ind w:left="936" w:hanging="936"/>
        <w:rPr>
          <w:b/>
          <w:szCs w:val="24"/>
        </w:rPr>
      </w:pPr>
      <w:r w:rsidRPr="001D4040">
        <w:rPr>
          <w:rFonts w:cs="Calibri"/>
          <w:b/>
          <w:szCs w:val="24"/>
        </w:rPr>
        <w:tab/>
        <w:t>Charges for exceeding contracted demand</w:t>
      </w:r>
    </w:p>
    <w:p w:rsidR="00A548D7" w:rsidRPr="001D4040" w:rsidRDefault="00A548D7" w:rsidP="00A548D7">
      <w:pPr>
        <w:numPr>
          <w:ilvl w:val="2"/>
          <w:numId w:val="5"/>
        </w:numPr>
        <w:tabs>
          <w:tab w:val="clear" w:pos="1929"/>
          <w:tab w:val="num" w:pos="360"/>
          <w:tab w:val="num" w:pos="1646"/>
        </w:tabs>
        <w:spacing w:after="120"/>
        <w:ind w:left="993" w:hanging="993"/>
        <w:outlineLvl w:val="2"/>
        <w:rPr>
          <w:rFonts w:cs="Calibri"/>
        </w:rPr>
      </w:pPr>
      <w:r w:rsidRPr="001D4040">
        <w:rPr>
          <w:rFonts w:cs="Calibri"/>
          <w:iCs/>
        </w:rPr>
        <w:t xml:space="preserve">The Commission has aligned the charges for exceeding the contracted load for the domestic consumers as per the provision of Electricity Supply Code Regulations, 2005 as amended from time to time. The relevant changes </w:t>
      </w:r>
      <w:r w:rsidRPr="001D4040">
        <w:rPr>
          <w:rFonts w:cs="Calibri"/>
          <w:iCs/>
        </w:rPr>
        <w:lastRenderedPageBreak/>
        <w:t xml:space="preserve">regarding levy of </w:t>
      </w:r>
      <w:r w:rsidRPr="001D4040">
        <w:rPr>
          <w:rFonts w:cs="Calibri"/>
        </w:rPr>
        <w:t>Charges for exceeding contracted demand has been provided in rate schedule.</w:t>
      </w:r>
    </w:p>
    <w:p w:rsidR="00A548D7" w:rsidRPr="001D4040" w:rsidRDefault="00A548D7" w:rsidP="00A548D7">
      <w:pPr>
        <w:pStyle w:val="Heading3"/>
        <w:numPr>
          <w:ilvl w:val="0"/>
          <w:numId w:val="0"/>
        </w:numPr>
        <w:spacing w:before="0"/>
        <w:ind w:left="936" w:hanging="936"/>
        <w:rPr>
          <w:b/>
          <w:szCs w:val="24"/>
        </w:rPr>
      </w:pPr>
    </w:p>
    <w:p w:rsidR="00A548D7" w:rsidRPr="001D4040" w:rsidRDefault="00A548D7" w:rsidP="00A548D7">
      <w:pPr>
        <w:pStyle w:val="Heading3"/>
        <w:numPr>
          <w:ilvl w:val="0"/>
          <w:numId w:val="0"/>
        </w:numPr>
        <w:spacing w:before="0"/>
        <w:ind w:left="936" w:hanging="936"/>
        <w:rPr>
          <w:b/>
          <w:szCs w:val="24"/>
        </w:rPr>
      </w:pPr>
      <w:r w:rsidRPr="001D4040">
        <w:rPr>
          <w:b/>
          <w:szCs w:val="24"/>
        </w:rPr>
        <w:tab/>
        <w:t>Dela</w:t>
      </w:r>
      <w:r w:rsidR="00162642">
        <w:rPr>
          <w:b/>
          <w:szCs w:val="24"/>
        </w:rPr>
        <w:t>yed Payment Surcharge / Penalty</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 xml:space="preserve">To discourage the late payment of electricity bills the Commission has continued with the applicable surcharge / penalty on the late payment of bills to </w:t>
      </w:r>
      <w:r w:rsidRPr="001D4040">
        <w:rPr>
          <w:rFonts w:cstheme="minorHAnsi"/>
        </w:rPr>
        <w:t xml:space="preserve">1.25% </w:t>
      </w:r>
      <w:r w:rsidRPr="001D4040">
        <w:t>per</w:t>
      </w:r>
      <w:r w:rsidRPr="001D4040">
        <w:rPr>
          <w:rFonts w:cstheme="minorHAnsi"/>
        </w:rPr>
        <w:t xml:space="preserve"> month</w:t>
      </w:r>
      <w:r w:rsidRPr="001D4040">
        <w:t xml:space="preserve"> (based on number of days for which the payment is delayed from the due date) up to first three months. However to penalise the consumers for the delay in payment of energy bills beyond the 3 months delayed payment surcharge would be levied @ 2.00% per month as detailed in the Rate Schedule of this Order.</w:t>
      </w:r>
    </w:p>
    <w:p w:rsidR="00A548D7" w:rsidRPr="001D4040" w:rsidRDefault="00A548D7" w:rsidP="00A548D7">
      <w:pPr>
        <w:pStyle w:val="Heading3"/>
        <w:numPr>
          <w:ilvl w:val="0"/>
          <w:numId w:val="0"/>
        </w:numPr>
        <w:spacing w:before="0"/>
        <w:ind w:left="936" w:hanging="936"/>
        <w:rPr>
          <w:b/>
          <w:szCs w:val="24"/>
        </w:rPr>
      </w:pPr>
      <w:r w:rsidRPr="001D4040">
        <w:rPr>
          <w:b/>
          <w:szCs w:val="24"/>
        </w:rPr>
        <w:tab/>
      </w:r>
    </w:p>
    <w:p w:rsidR="00A548D7" w:rsidRPr="001D4040" w:rsidRDefault="00A548D7" w:rsidP="00A548D7">
      <w:pPr>
        <w:pStyle w:val="Heading3"/>
        <w:numPr>
          <w:ilvl w:val="0"/>
          <w:numId w:val="0"/>
        </w:numPr>
        <w:spacing w:before="0"/>
        <w:ind w:left="936" w:hanging="936"/>
        <w:rPr>
          <w:b/>
          <w:szCs w:val="24"/>
        </w:rPr>
      </w:pPr>
      <w:r w:rsidRPr="001D4040">
        <w:rPr>
          <w:b/>
          <w:szCs w:val="24"/>
        </w:rPr>
        <w:tab/>
        <w:t>Single point buyer</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As depicted in the Rate Schedule the Commission has decided to reduce the maximum limit to5% for the single point buyer to charge the end consumers over and above the actual Rate &amp; other applicable charges.</w:t>
      </w:r>
    </w:p>
    <w:p w:rsidR="00A548D7" w:rsidRPr="001D4040" w:rsidRDefault="00A548D7" w:rsidP="00A548D7">
      <w:pPr>
        <w:rPr>
          <w:b/>
        </w:rPr>
      </w:pPr>
      <w:r w:rsidRPr="001D4040">
        <w:rPr>
          <w:b/>
        </w:rPr>
        <w:tab/>
      </w:r>
    </w:p>
    <w:p w:rsidR="00A548D7" w:rsidRPr="001D4040" w:rsidRDefault="00A548D7" w:rsidP="00A548D7">
      <w:pPr>
        <w:ind w:firstLine="720"/>
        <w:rPr>
          <w:b/>
        </w:rPr>
      </w:pPr>
      <w:r w:rsidRPr="001D4040">
        <w:rPr>
          <w:b/>
        </w:rPr>
        <w:t>Reba</w:t>
      </w:r>
      <w:r w:rsidR="00162642">
        <w:rPr>
          <w:b/>
        </w:rPr>
        <w:t>te for using Solar Water Heater</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 xml:space="preserve">Solar Water Heater not only promotes the use of renewable energy but also a measure of Demand Side Management. In order to encourage the use of solar energy which will conserve electricity, the Commission has continued with the rebate to the consumers who installs and uses the solar water heater. </w:t>
      </w:r>
    </w:p>
    <w:p w:rsidR="00A548D7" w:rsidRPr="001D4040" w:rsidRDefault="00A548D7" w:rsidP="00A548D7">
      <w:pPr>
        <w:spacing w:after="120"/>
        <w:ind w:left="993"/>
        <w:outlineLvl w:val="2"/>
      </w:pPr>
    </w:p>
    <w:p w:rsidR="00A548D7" w:rsidRPr="001D4040" w:rsidRDefault="00A548D7" w:rsidP="00A548D7">
      <w:pPr>
        <w:pStyle w:val="ListParagraph"/>
        <w:rPr>
          <w:b/>
        </w:rPr>
      </w:pPr>
      <w:r w:rsidRPr="001D4040">
        <w:rPr>
          <w:b/>
        </w:rPr>
        <w:t>Facilitation Charge for Online Payment</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With regard to facilitation charges being levied by the Distribution Licensees on the consumers who make payment through internet, the Commission is of the view that as the Distribution Licensees are facing issues like low collection efficiency, lack of meter readers etc., levying such charges would further act as deterrent for the consumers who want to pay through internet. In this regard the Commission initiated a Suo Moto proceeding and directed the Licensee to bear the transaction charge for transaction up to Rs. 4,000.00 for payment through Debit Card or Credit Card in the Order issued on May 29, 2015. The same mechanism of Licensee to bear the transaction for transaction up to Rs. 4,000.00 for payment through Debit Card or Credit Card shall be continued.</w:t>
      </w:r>
    </w:p>
    <w:p w:rsidR="00A548D7" w:rsidRPr="001D4040" w:rsidRDefault="00A548D7" w:rsidP="00A548D7">
      <w:pPr>
        <w:pStyle w:val="ListParagraph"/>
        <w:rPr>
          <w:rFonts w:cstheme="minorHAnsi"/>
          <w:b/>
        </w:rPr>
      </w:pPr>
      <w:r w:rsidRPr="001D4040">
        <w:rPr>
          <w:rFonts w:cstheme="minorHAnsi"/>
          <w:b/>
        </w:rPr>
        <w:lastRenderedPageBreak/>
        <w:t>kVAh Tariff</w:t>
      </w:r>
    </w:p>
    <w:p w:rsidR="00A548D7" w:rsidRPr="001D4040" w:rsidRDefault="00A548D7" w:rsidP="00A548D7">
      <w:pPr>
        <w:numPr>
          <w:ilvl w:val="2"/>
          <w:numId w:val="5"/>
        </w:numPr>
        <w:tabs>
          <w:tab w:val="clear" w:pos="1929"/>
          <w:tab w:val="num" w:pos="360"/>
          <w:tab w:val="num" w:pos="1646"/>
        </w:tabs>
        <w:spacing w:after="120"/>
        <w:ind w:left="993" w:hanging="993"/>
        <w:outlineLvl w:val="2"/>
      </w:pPr>
      <w:r w:rsidRPr="001D4040">
        <w:t xml:space="preserve">Implementation of kVAh metering and kVAh tariff is seen as a commercial inducement on consumers to pay lesser electricity bill by ensuring that they do not draw reactive power It suggests that consumers must be billed as per the kVAh (apparent energy) drawl, and not as per the kWh (active energy). </w:t>
      </w:r>
    </w:p>
    <w:p w:rsidR="00A548D7" w:rsidRPr="001D4040" w:rsidRDefault="00A548D7" w:rsidP="00A548D7">
      <w:pPr>
        <w:numPr>
          <w:ilvl w:val="2"/>
          <w:numId w:val="5"/>
        </w:numPr>
        <w:tabs>
          <w:tab w:val="clear" w:pos="1929"/>
          <w:tab w:val="num" w:pos="360"/>
          <w:tab w:val="num" w:pos="1646"/>
        </w:tabs>
        <w:spacing w:after="120"/>
        <w:ind w:left="993" w:hanging="993"/>
        <w:outlineLvl w:val="2"/>
        <w:rPr>
          <w:rFonts w:cstheme="minorHAnsi"/>
          <w:shd w:val="clear" w:color="auto" w:fill="FFFFFF"/>
        </w:rPr>
      </w:pPr>
      <w:r w:rsidRPr="001D4040">
        <w:t>A change to a kVAh tariff is beneficial to non-defaulting consumer as the kVAh tariff is</w:t>
      </w:r>
      <w:r w:rsidRPr="001D4040">
        <w:rPr>
          <w:rFonts w:cstheme="minorHAnsi"/>
        </w:rPr>
        <w:t xml:space="preserve"> cheaper than the kWh tariff. The Distribution Licensee can benefit </w:t>
      </w:r>
      <w:r w:rsidRPr="001D4040">
        <w:t>through the collection of more revenue from consumers having low power</w:t>
      </w:r>
      <w:r w:rsidRPr="001D4040">
        <w:rPr>
          <w:rFonts w:cstheme="minorHAnsi"/>
        </w:rPr>
        <w:t xml:space="preserve"> factor loads. Most importantly, the tariff is environmentally friendly due to improved efficiency. This will also prompt the consumers to take the initiative in correcting the power factor, using compensating capacitors at their end. </w:t>
      </w:r>
    </w:p>
    <w:p w:rsidR="00A548D7" w:rsidRPr="001D4040" w:rsidRDefault="00A548D7" w:rsidP="00A548D7">
      <w:pPr>
        <w:rPr>
          <w:rFonts w:cstheme="minorHAnsi"/>
          <w:b/>
        </w:rPr>
      </w:pPr>
    </w:p>
    <w:p w:rsidR="00A548D7" w:rsidRPr="001D4040" w:rsidRDefault="00D555F2" w:rsidP="00A548D7">
      <w:pPr>
        <w:ind w:left="720"/>
        <w:rPr>
          <w:rFonts w:cstheme="minorHAnsi"/>
          <w:b/>
        </w:rPr>
      </w:pPr>
      <w:r>
        <w:rPr>
          <w:rFonts w:cstheme="minorHAnsi"/>
          <w:b/>
        </w:rPr>
        <w:t>Minimum Charge</w:t>
      </w:r>
      <w:r w:rsidR="00A548D7" w:rsidRPr="001D4040">
        <w:rPr>
          <w:rFonts w:cstheme="minorHAnsi"/>
          <w:b/>
        </w:rPr>
        <w:t xml:space="preserve"> </w:t>
      </w:r>
      <w:r w:rsidRPr="001D4040">
        <w:rPr>
          <w:rFonts w:cstheme="minorHAnsi"/>
          <w:b/>
        </w:rPr>
        <w:t xml:space="preserve">Payable </w:t>
      </w:r>
      <w:r w:rsidR="00A548D7" w:rsidRPr="001D4040">
        <w:rPr>
          <w:rFonts w:cstheme="minorHAnsi"/>
          <w:b/>
        </w:rPr>
        <w:t>for LMV-2(c) (Non-domestic light, Fan and Power) Category</w:t>
      </w:r>
    </w:p>
    <w:p w:rsidR="00A548D7" w:rsidRPr="001D4040" w:rsidRDefault="00A548D7" w:rsidP="00A548D7">
      <w:pPr>
        <w:numPr>
          <w:ilvl w:val="2"/>
          <w:numId w:val="5"/>
        </w:numPr>
        <w:tabs>
          <w:tab w:val="clear" w:pos="1929"/>
          <w:tab w:val="num" w:pos="360"/>
          <w:tab w:val="num" w:pos="1646"/>
        </w:tabs>
        <w:spacing w:after="120"/>
        <w:ind w:left="993" w:hanging="993"/>
        <w:outlineLvl w:val="2"/>
        <w:rPr>
          <w:rFonts w:cstheme="minorHAnsi"/>
        </w:rPr>
      </w:pPr>
      <w:r w:rsidRPr="001D4040">
        <w:rPr>
          <w:rFonts w:cstheme="minorHAnsi"/>
        </w:rPr>
        <w:t>The Commission understands that the consumption pattern of the consumers is not uniform throughout the year and varies seasonally. In view of the same appropriate minimum charges have been decided for summer and winter season as detailed in the Rate Schedule. The Commission taking into considerations the views of the stakeholders and also taking into cognizance the wide use of energy efficient equipment (like LED bulbs, etc.) in the Sta</w:t>
      </w:r>
      <w:r w:rsidR="00D555F2">
        <w:rPr>
          <w:rFonts w:cstheme="minorHAnsi"/>
        </w:rPr>
        <w:t>te, has lowered the minimum</w:t>
      </w:r>
      <w:r w:rsidRPr="001D4040">
        <w:rPr>
          <w:rFonts w:cstheme="minorHAnsi"/>
        </w:rPr>
        <w:t xml:space="preserve"> charge </w:t>
      </w:r>
      <w:r w:rsidR="00D555F2" w:rsidRPr="001D4040">
        <w:rPr>
          <w:rFonts w:cstheme="minorHAnsi"/>
        </w:rPr>
        <w:t xml:space="preserve">payable </w:t>
      </w:r>
      <w:r w:rsidRPr="001D4040">
        <w:rPr>
          <w:rFonts w:cstheme="minorHAnsi"/>
        </w:rPr>
        <w:t>for the urban LMV-2 consumers.</w:t>
      </w:r>
    </w:p>
    <w:p w:rsidR="00A548D7" w:rsidRPr="001D4040" w:rsidRDefault="00A548D7" w:rsidP="00A548D7">
      <w:pPr>
        <w:pStyle w:val="ListParagraph"/>
        <w:rPr>
          <w:rFonts w:cstheme="minorHAnsi"/>
          <w:b/>
        </w:rPr>
      </w:pPr>
    </w:p>
    <w:p w:rsidR="00A548D7" w:rsidRPr="001D4040" w:rsidRDefault="00A548D7" w:rsidP="00A548D7">
      <w:pPr>
        <w:pStyle w:val="ListParagraph"/>
        <w:rPr>
          <w:rFonts w:cstheme="minorHAnsi"/>
          <w:b/>
        </w:rPr>
      </w:pPr>
      <w:r w:rsidRPr="001D4040">
        <w:rPr>
          <w:rFonts w:cstheme="minorHAnsi"/>
          <w:b/>
        </w:rPr>
        <w:t>LMV-5-PTW Consumers</w:t>
      </w:r>
    </w:p>
    <w:p w:rsidR="00A548D7" w:rsidRPr="001D4040" w:rsidRDefault="00A548D7" w:rsidP="00A548D7">
      <w:pPr>
        <w:numPr>
          <w:ilvl w:val="2"/>
          <w:numId w:val="5"/>
        </w:numPr>
        <w:tabs>
          <w:tab w:val="clear" w:pos="1929"/>
          <w:tab w:val="num" w:pos="360"/>
          <w:tab w:val="num" w:pos="1646"/>
        </w:tabs>
        <w:spacing w:after="120"/>
        <w:ind w:left="993" w:hanging="993"/>
        <w:outlineLvl w:val="2"/>
        <w:rPr>
          <w:rFonts w:cstheme="minorHAnsi"/>
        </w:rPr>
      </w:pPr>
      <w:r w:rsidRPr="001D4040">
        <w:rPr>
          <w:rFonts w:cstheme="minorHAnsi"/>
        </w:rPr>
        <w:t>Uttar Pradesh has agrarian economy. To cope up with the growing demand of various means of irrigation for agriculture in the State, electrification of private tube wells has always been of much importance. The GoUP provides support in from of subsidy for these consumers. Under this scheme GoUP allots area wise targets for energisation of Private Tube Wells &amp; accordingly allocates fund for this purpose.</w:t>
      </w:r>
    </w:p>
    <w:p w:rsidR="00A548D7" w:rsidRPr="001D4040" w:rsidRDefault="00A548D7" w:rsidP="00A548D7">
      <w:pPr>
        <w:numPr>
          <w:ilvl w:val="2"/>
          <w:numId w:val="5"/>
        </w:numPr>
        <w:tabs>
          <w:tab w:val="clear" w:pos="1929"/>
          <w:tab w:val="num" w:pos="360"/>
          <w:tab w:val="num" w:pos="1646"/>
        </w:tabs>
        <w:spacing w:after="120"/>
        <w:ind w:left="993" w:hanging="993"/>
        <w:outlineLvl w:val="2"/>
        <w:rPr>
          <w:rFonts w:cstheme="minorHAnsi"/>
        </w:rPr>
      </w:pPr>
      <w:r w:rsidRPr="001D4040">
        <w:rPr>
          <w:rFonts w:cstheme="minorHAnsi"/>
        </w:rPr>
        <w:t xml:space="preserve">Under System Improvement initiatives the Licensee has submitted to have undertaken Rural Feeder Segregation program to ensure supply as per scheduled hours to the agriculture sector. The Distribution Licensee in its tariff proposal for FY 2016-17 to the Commission has not proposed any tariff increase for LMV-5 (a) (small power for private tube wells / pumping sets for </w:t>
      </w:r>
      <w:r w:rsidRPr="001D4040">
        <w:rPr>
          <w:rFonts w:cstheme="minorHAnsi"/>
        </w:rPr>
        <w:lastRenderedPageBreak/>
        <w:t xml:space="preserve">irrigation purposes) category. During the public hearing process various farmer and farmer associations requested the Commission not to make any tariff hike in light of the draught and unseasonal rains that have destroyed the crops. </w:t>
      </w:r>
    </w:p>
    <w:p w:rsidR="00A548D7" w:rsidRPr="001D4040" w:rsidRDefault="00A548D7" w:rsidP="00A548D7">
      <w:pPr>
        <w:numPr>
          <w:ilvl w:val="2"/>
          <w:numId w:val="5"/>
        </w:numPr>
        <w:tabs>
          <w:tab w:val="clear" w:pos="1929"/>
          <w:tab w:val="num" w:pos="360"/>
          <w:tab w:val="num" w:pos="1646"/>
        </w:tabs>
        <w:spacing w:after="120"/>
        <w:ind w:left="993" w:hanging="993"/>
        <w:outlineLvl w:val="2"/>
        <w:rPr>
          <w:rFonts w:cstheme="minorHAnsi"/>
        </w:rPr>
      </w:pPr>
      <w:r w:rsidRPr="001D4040">
        <w:rPr>
          <w:rFonts w:cstheme="minorHAnsi"/>
        </w:rPr>
        <w:t xml:space="preserve">The Commission after considering the submission made by Licensee and the </w:t>
      </w:r>
      <w:r w:rsidR="003C76AC">
        <w:rPr>
          <w:rFonts w:cstheme="minorHAnsi"/>
        </w:rPr>
        <w:t>poor</w:t>
      </w:r>
      <w:r w:rsidRPr="001D4040">
        <w:rPr>
          <w:rFonts w:cstheme="minorHAnsi"/>
        </w:rPr>
        <w:t xml:space="preserve"> condition of the farmers in the State, has decided not to increase the tariff of the consumers getting supply under rural schedule of the LMV-5 category. Further, recognizing the hardship of the farmers of Bundelkhand, the Commission has relaxed the minimum bill payable by a consumer, till installation of meter applicable to PTW consumers of Bundelkhand area located in Gram Sabha.</w:t>
      </w:r>
    </w:p>
    <w:p w:rsidR="00A548D7" w:rsidRPr="001D4040" w:rsidRDefault="00A548D7" w:rsidP="00A548D7">
      <w:pPr>
        <w:spacing w:after="120"/>
        <w:ind w:left="993"/>
        <w:outlineLvl w:val="2"/>
        <w:rPr>
          <w:rFonts w:cstheme="minorHAnsi"/>
        </w:rPr>
      </w:pPr>
    </w:p>
    <w:p w:rsidR="00A548D7" w:rsidRPr="001D4040" w:rsidRDefault="00A548D7" w:rsidP="00A548D7">
      <w:pPr>
        <w:pStyle w:val="ListParagraph"/>
        <w:rPr>
          <w:rFonts w:cstheme="minorHAnsi"/>
          <w:b/>
        </w:rPr>
      </w:pPr>
      <w:r w:rsidRPr="001D4040">
        <w:rPr>
          <w:rFonts w:cstheme="minorHAnsi"/>
          <w:b/>
        </w:rPr>
        <w:t>Tariff for Industrial consumers</w:t>
      </w:r>
    </w:p>
    <w:p w:rsidR="00A548D7" w:rsidRPr="001D4040" w:rsidRDefault="00A548D7" w:rsidP="00A548D7">
      <w:pPr>
        <w:numPr>
          <w:ilvl w:val="2"/>
          <w:numId w:val="5"/>
        </w:numPr>
        <w:tabs>
          <w:tab w:val="clear" w:pos="1929"/>
          <w:tab w:val="num" w:pos="360"/>
        </w:tabs>
        <w:spacing w:after="120"/>
        <w:ind w:left="993" w:hanging="993"/>
        <w:outlineLvl w:val="2"/>
        <w:rPr>
          <w:rFonts w:cstheme="minorHAnsi"/>
        </w:rPr>
      </w:pPr>
      <w:r w:rsidRPr="001D4040">
        <w:rPr>
          <w:rFonts w:cstheme="minorHAnsi"/>
        </w:rPr>
        <w:t>The tariff for LMV-6 category has been increased moderately in line with the commercial consumers. But no rise has been made in HV-2 category keeping in view the fact that these consumers are mainly connected on independent feeders and the line losses in their case is very low. Therefore, their cost of service is low as compared to LMV-6. Further HV-2 category consumers consume huge quantum of energy and in some cases the electricity is like a raw material therefore any increase in HV-2 category has been avoided in order to protect them from financial stress. It is also justified in view of low losses and low cost of service for this category.</w:t>
      </w:r>
    </w:p>
    <w:p w:rsidR="00A548D7" w:rsidRPr="001D4040" w:rsidRDefault="00A548D7" w:rsidP="00A548D7">
      <w:pPr>
        <w:spacing w:after="120"/>
        <w:ind w:firstLine="720"/>
        <w:outlineLvl w:val="2"/>
        <w:rPr>
          <w:rFonts w:cstheme="minorHAnsi"/>
          <w:b/>
        </w:rPr>
      </w:pPr>
    </w:p>
    <w:p w:rsidR="00A548D7" w:rsidRPr="001D4040" w:rsidRDefault="00A548D7" w:rsidP="00A548D7">
      <w:pPr>
        <w:spacing w:after="120"/>
        <w:ind w:firstLine="720"/>
        <w:outlineLvl w:val="2"/>
        <w:rPr>
          <w:rFonts w:cstheme="minorHAnsi"/>
          <w:b/>
        </w:rPr>
      </w:pPr>
      <w:r w:rsidRPr="001D4040">
        <w:rPr>
          <w:rFonts w:cstheme="minorHAnsi"/>
          <w:b/>
        </w:rPr>
        <w:t>Tariff for LMV-10 Departmental Employees</w:t>
      </w:r>
    </w:p>
    <w:p w:rsidR="00A548D7" w:rsidRPr="001D4040" w:rsidRDefault="00A548D7" w:rsidP="00A548D7">
      <w:pPr>
        <w:numPr>
          <w:ilvl w:val="2"/>
          <w:numId w:val="5"/>
        </w:numPr>
        <w:tabs>
          <w:tab w:val="clear" w:pos="1929"/>
          <w:tab w:val="num" w:pos="360"/>
        </w:tabs>
        <w:spacing w:after="120"/>
        <w:ind w:left="993" w:hanging="993"/>
        <w:outlineLvl w:val="2"/>
        <w:rPr>
          <w:rFonts w:cstheme="minorHAnsi"/>
        </w:rPr>
      </w:pPr>
      <w:r w:rsidRPr="001D4040">
        <w:rPr>
          <w:rFonts w:cstheme="minorHAnsi"/>
        </w:rPr>
        <w:t>The tariff for LMV-10 (Departmental Employees and Pensioners) category was historically approved by the Commission who were a special subsidized category. The Licensees though various submissions have informed the Commission that, they had certain commitment towards their employees at the time of unbundling of U.P. State Electricity Board, regarding supply of electricity at concessional rate.</w:t>
      </w:r>
    </w:p>
    <w:p w:rsidR="00A548D7" w:rsidRPr="001D4040" w:rsidRDefault="00A548D7" w:rsidP="00A548D7">
      <w:pPr>
        <w:numPr>
          <w:ilvl w:val="2"/>
          <w:numId w:val="5"/>
        </w:numPr>
        <w:tabs>
          <w:tab w:val="clear" w:pos="1929"/>
          <w:tab w:val="num" w:pos="360"/>
        </w:tabs>
        <w:spacing w:after="120"/>
        <w:ind w:left="993" w:hanging="993"/>
        <w:outlineLvl w:val="2"/>
        <w:rPr>
          <w:rFonts w:cstheme="minorHAnsi"/>
        </w:rPr>
      </w:pPr>
      <w:r w:rsidRPr="001D4040">
        <w:rPr>
          <w:rFonts w:cstheme="minorHAnsi"/>
        </w:rPr>
        <w:t>Section 23 (7) of Uttar Pradesh Electricity Reforms Act, 1999 provides tha</w:t>
      </w:r>
      <w:r w:rsidRPr="001D4040">
        <w:rPr>
          <w:rFonts w:cstheme="minorHAnsi"/>
          <w:i/>
        </w:rPr>
        <w:t>t “terms and condition of service of the personnel shall not be less favourable to the terms and condition which were applicable to them before the transfer”.</w:t>
      </w:r>
      <w:r w:rsidRPr="001D4040">
        <w:rPr>
          <w:rFonts w:cstheme="minorHAnsi"/>
        </w:rPr>
        <w:t xml:space="preserve">  The benefits for employees / pensioners as provided in section 12 (b) (ii) of </w:t>
      </w:r>
      <w:r w:rsidRPr="001D4040">
        <w:rPr>
          <w:rFonts w:cstheme="minorHAnsi"/>
        </w:rPr>
        <w:lastRenderedPageBreak/>
        <w:t xml:space="preserve">the Uttar Pradesh Reform Transfer Scheme, 2000provides for “concessional rate of electricity”, which means concession in rate of electricity to the extent it is not inferior to what was existing before January 14, 2000.  </w:t>
      </w:r>
    </w:p>
    <w:p w:rsidR="00A548D7" w:rsidRPr="001D4040" w:rsidRDefault="00A548D7" w:rsidP="00A548D7">
      <w:pPr>
        <w:numPr>
          <w:ilvl w:val="2"/>
          <w:numId w:val="5"/>
        </w:numPr>
        <w:tabs>
          <w:tab w:val="clear" w:pos="1929"/>
          <w:tab w:val="num" w:pos="360"/>
        </w:tabs>
        <w:spacing w:after="120"/>
        <w:ind w:left="993" w:hanging="993"/>
        <w:outlineLvl w:val="2"/>
        <w:rPr>
          <w:rFonts w:cstheme="minorHAnsi"/>
        </w:rPr>
      </w:pPr>
      <w:r w:rsidRPr="001D4040">
        <w:rPr>
          <w:rFonts w:cstheme="minorHAnsi"/>
        </w:rPr>
        <w:t>The Commission in its Tariff Order dated June 18, 2015 had directed that from January 1, 2016 onwards, the tariff for LMV-10 (Departmental Employees and Pensioners) consumers shall be same as that of “other metered consumers” under LMV-1 (Domestic Light, Fan and Power). The relevant extract has been reproduced below:</w:t>
      </w:r>
    </w:p>
    <w:p w:rsidR="00A548D7" w:rsidRPr="001D4040" w:rsidRDefault="00A548D7" w:rsidP="00A548D7">
      <w:pPr>
        <w:spacing w:line="240" w:lineRule="auto"/>
        <w:ind w:left="1440"/>
        <w:rPr>
          <w:b/>
          <w:i/>
        </w:rPr>
      </w:pPr>
      <w:r w:rsidRPr="001D4040">
        <w:rPr>
          <w:i/>
        </w:rPr>
        <w:t>“</w:t>
      </w:r>
      <w:r w:rsidRPr="001D4040">
        <w:rPr>
          <w:b/>
          <w:i/>
        </w:rPr>
        <w:t xml:space="preserve">RATE (B): (January 1, 2016 Onwards) </w:t>
      </w:r>
    </w:p>
    <w:p w:rsidR="00A548D7" w:rsidRPr="001D4040" w:rsidRDefault="00A548D7" w:rsidP="00A548D7">
      <w:pPr>
        <w:spacing w:line="240" w:lineRule="auto"/>
        <w:ind w:left="1440"/>
        <w:rPr>
          <w:i/>
        </w:rPr>
      </w:pPr>
      <w:r w:rsidRPr="001D4040">
        <w:rPr>
          <w:i/>
        </w:rPr>
        <w:t xml:space="preserve">Tariff for consumers under this category shall be same as that of “other metered consumers” under LMV-1 category. </w:t>
      </w:r>
    </w:p>
    <w:p w:rsidR="00A548D7" w:rsidRPr="001D4040" w:rsidRDefault="00A548D7" w:rsidP="00A548D7">
      <w:pPr>
        <w:spacing w:line="240" w:lineRule="auto"/>
        <w:ind w:left="1440"/>
        <w:rPr>
          <w:i/>
        </w:rPr>
      </w:pPr>
      <w:r w:rsidRPr="001D4040">
        <w:rPr>
          <w:i/>
        </w:rPr>
        <w:t>The Licensees are permitted to provide the “rebate” as it deems fit to the consumers eligible to get supply under this category.  However, the Licensees shall have to bear the burden from its own resources, if it wants to provide the “rebate” to such consumers. The amount of “rebate” given, energy billed and amount billed must be clearly  accounted  by  the  Licensees  and  shall  ensure  appropriate  modification  in  its billing software in this regard. The actual amount billed plus the rebate so recognized shall  be  considered  as  total  revenue  from  this  category  while  undertaking  the  truing up of the relevant financial year.”</w:t>
      </w:r>
    </w:p>
    <w:p w:rsidR="00A548D7" w:rsidRPr="001D4040" w:rsidRDefault="00A548D7" w:rsidP="00A548D7">
      <w:pPr>
        <w:numPr>
          <w:ilvl w:val="2"/>
          <w:numId w:val="5"/>
        </w:numPr>
        <w:tabs>
          <w:tab w:val="clear" w:pos="1929"/>
          <w:tab w:val="num" w:pos="360"/>
        </w:tabs>
        <w:spacing w:after="120"/>
        <w:ind w:left="993" w:hanging="993"/>
        <w:outlineLvl w:val="2"/>
        <w:rPr>
          <w:rFonts w:cstheme="minorHAnsi"/>
        </w:rPr>
      </w:pPr>
      <w:r w:rsidRPr="001D4040">
        <w:rPr>
          <w:rFonts w:cstheme="minorHAnsi"/>
        </w:rPr>
        <w:t>Also, the Commission after considering the representations from various stakeholders along with the submissions made in the matter of Petition Nos. 1042/2015 dated September 21, 2015 filed by Uttar Pradesh Rajya Vidyut Pensioners Parishad and 1061/2015 dated April 12, 2015 filed by Uttar Pradesh Rajya Vidyut Parishad Adhiyanta Sangh opined as follows regarding the LMV-10 consumers:</w:t>
      </w:r>
    </w:p>
    <w:p w:rsidR="00A548D7" w:rsidRPr="001D4040" w:rsidRDefault="00A548D7" w:rsidP="00A548D7">
      <w:pPr>
        <w:pStyle w:val="ListParagraph"/>
        <w:numPr>
          <w:ilvl w:val="0"/>
          <w:numId w:val="271"/>
        </w:numPr>
        <w:spacing w:before="0" w:after="200"/>
        <w:ind w:left="1701"/>
        <w:contextualSpacing/>
      </w:pPr>
      <w:r w:rsidRPr="001D4040">
        <w:t>The tariff prescribed by the Commission in its Tariff Order for FY 2015-16 does not provide any special dispensation for LMV-10 (departmental employees and pensioners) consumers of the licensee.  As  such,  they  are  like  any  other  domestic consumers  and  revenue  recognition  for  them  should  be  based  on  tariff  prescribed  for domestic  consumers i.e. LMV-1</w:t>
      </w:r>
      <w:r w:rsidRPr="001D4040">
        <w:rPr>
          <w:rFonts w:cs="Arial"/>
          <w:bCs/>
        </w:rPr>
        <w:t xml:space="preserve"> (Domestic Light, Fan and Power)</w:t>
      </w:r>
      <w:r w:rsidRPr="001D4040">
        <w:t>. The concessional supply of power to its employees will have to be borne by the licensee and cannot be allowed to devolve on other consumers.</w:t>
      </w:r>
    </w:p>
    <w:p w:rsidR="00A548D7" w:rsidRPr="001D4040" w:rsidRDefault="00A548D7" w:rsidP="00A548D7">
      <w:pPr>
        <w:pStyle w:val="ListParagraph"/>
        <w:ind w:left="1701"/>
      </w:pPr>
    </w:p>
    <w:p w:rsidR="00A548D7" w:rsidRPr="001D4040" w:rsidRDefault="00A548D7" w:rsidP="00A548D7">
      <w:pPr>
        <w:pStyle w:val="ListParagraph"/>
        <w:numPr>
          <w:ilvl w:val="0"/>
          <w:numId w:val="271"/>
        </w:numPr>
        <w:spacing w:before="0" w:after="200"/>
        <w:ind w:left="1701"/>
        <w:contextualSpacing/>
        <w:rPr>
          <w:b/>
        </w:rPr>
      </w:pPr>
      <w:r w:rsidRPr="001D4040">
        <w:t xml:space="preserve">The Commission in its Tariff Order for FY 2015-16 has already directed the Licensees to make the tariff of the said category of consumers </w:t>
      </w:r>
      <w:r w:rsidRPr="001D4040">
        <w:lastRenderedPageBreak/>
        <w:t>same as that of “other metered consumers” under LMV-1 category from January 1, 2016 onwards.</w:t>
      </w:r>
    </w:p>
    <w:p w:rsidR="00A548D7" w:rsidRPr="001D4040" w:rsidRDefault="00A548D7" w:rsidP="00A548D7">
      <w:pPr>
        <w:pStyle w:val="ListParagraph"/>
        <w:ind w:left="1701"/>
        <w:rPr>
          <w:b/>
        </w:rPr>
      </w:pPr>
    </w:p>
    <w:p w:rsidR="00A548D7" w:rsidRPr="001D4040" w:rsidRDefault="00A548D7" w:rsidP="00A548D7">
      <w:pPr>
        <w:pStyle w:val="ListParagraph"/>
        <w:numPr>
          <w:ilvl w:val="0"/>
          <w:numId w:val="271"/>
        </w:numPr>
        <w:spacing w:before="0" w:after="200"/>
        <w:ind w:left="1701"/>
        <w:contextualSpacing/>
        <w:rPr>
          <w:b/>
        </w:rPr>
      </w:pPr>
      <w:r w:rsidRPr="001D4040">
        <w:rPr>
          <w:b/>
        </w:rPr>
        <w:t xml:space="preserve">The Commission hereby directs the Licensees to charge such consumers same as that under LMV-1 </w:t>
      </w:r>
      <w:r w:rsidRPr="001D4040">
        <w:rPr>
          <w:rFonts w:cs="Arial"/>
          <w:b/>
          <w:bCs/>
        </w:rPr>
        <w:t xml:space="preserve">(Domestic Light, Fan and Power) </w:t>
      </w:r>
      <w:r w:rsidRPr="001D4040">
        <w:rPr>
          <w:b/>
        </w:rPr>
        <w:t>category. However the Licensees are authorised to provide the “rebate” as it deems fit to the consumers eligible to get supply under this category.</w:t>
      </w:r>
    </w:p>
    <w:p w:rsidR="00A548D7" w:rsidRPr="001D4040" w:rsidRDefault="00A548D7" w:rsidP="00A548D7">
      <w:pPr>
        <w:pStyle w:val="ListParagraph"/>
        <w:ind w:left="1701"/>
        <w:rPr>
          <w:b/>
        </w:rPr>
      </w:pPr>
    </w:p>
    <w:p w:rsidR="00A548D7" w:rsidRPr="001D4040" w:rsidRDefault="00A548D7" w:rsidP="00A548D7">
      <w:pPr>
        <w:pStyle w:val="ListParagraph"/>
        <w:numPr>
          <w:ilvl w:val="0"/>
          <w:numId w:val="271"/>
        </w:numPr>
        <w:spacing w:before="0" w:after="200"/>
        <w:ind w:left="1701"/>
        <w:contextualSpacing/>
      </w:pPr>
      <w:r w:rsidRPr="001D4040">
        <w:t>The Commission would again like to caution the Petitioner that any further allowance or incentives or benefits granted to its departmental employees &amp; pensioners will have to be borne by the licensee from its own resources or through increased efficiency.</w:t>
      </w:r>
    </w:p>
    <w:p w:rsidR="00A548D7" w:rsidRPr="001D4040" w:rsidRDefault="00A548D7" w:rsidP="00A548D7">
      <w:pPr>
        <w:pStyle w:val="ListParagraph"/>
        <w:ind w:left="1701"/>
      </w:pPr>
    </w:p>
    <w:p w:rsidR="00A548D7" w:rsidRPr="001D4040" w:rsidRDefault="00A548D7" w:rsidP="00A548D7">
      <w:pPr>
        <w:pStyle w:val="ListParagraph"/>
        <w:numPr>
          <w:ilvl w:val="0"/>
          <w:numId w:val="271"/>
        </w:numPr>
        <w:spacing w:before="0" w:after="200"/>
        <w:ind w:left="1701"/>
        <w:contextualSpacing/>
      </w:pPr>
      <w:r w:rsidRPr="001D4040">
        <w:t xml:space="preserve">The Licensee is hereby directed to make separate accounting field for the amount of “rebate” given, energy billed and amount billed to such category of consumers on a monthly basis and shall ensure appropriate modification in its billing software in this regard. </w:t>
      </w:r>
    </w:p>
    <w:p w:rsidR="00A548D7" w:rsidRPr="001D4040" w:rsidRDefault="00A548D7" w:rsidP="00A548D7">
      <w:pPr>
        <w:contextualSpacing/>
      </w:pPr>
    </w:p>
    <w:p w:rsidR="00A548D7" w:rsidRPr="001D4040" w:rsidRDefault="00A548D7" w:rsidP="00A548D7">
      <w:pPr>
        <w:spacing w:after="120"/>
        <w:ind w:left="720"/>
        <w:outlineLvl w:val="2"/>
        <w:rPr>
          <w:rFonts w:cstheme="minorHAnsi"/>
          <w:b/>
        </w:rPr>
      </w:pPr>
      <w:r w:rsidRPr="001D4040">
        <w:rPr>
          <w:rFonts w:cstheme="minorHAnsi"/>
          <w:b/>
        </w:rPr>
        <w:t>Introduction of Slabs for Fixed Charge</w:t>
      </w:r>
    </w:p>
    <w:p w:rsidR="00A548D7" w:rsidRPr="001D4040" w:rsidRDefault="00A548D7" w:rsidP="00A548D7">
      <w:pPr>
        <w:numPr>
          <w:ilvl w:val="2"/>
          <w:numId w:val="5"/>
        </w:numPr>
        <w:tabs>
          <w:tab w:val="clear" w:pos="1929"/>
          <w:tab w:val="num" w:pos="360"/>
        </w:tabs>
        <w:spacing w:after="120"/>
        <w:ind w:left="993" w:hanging="993"/>
        <w:outlineLvl w:val="2"/>
        <w:rPr>
          <w:rFonts w:cstheme="minorHAnsi"/>
        </w:rPr>
      </w:pPr>
      <w:r w:rsidRPr="001D4040">
        <w:rPr>
          <w:rFonts w:cstheme="minorHAnsi"/>
        </w:rPr>
        <w:t xml:space="preserve">The Petitioner in its proposal for the Rate Schedule to be applicable for FY 2016-17 has proposed different slabs for fixed charge depending on the consumption of electrical energy. The Commission understands that the slabs for the fixed / demand charges must be preferably based on load and not energy consumption. Hence, </w:t>
      </w:r>
      <w:r w:rsidRPr="001D4040">
        <w:t>the Commission is of the view that the fixed charge should be linked with contracted load rather than the energy consumed. Thus the Commission in this Tariff Order has approved fixed charge linked to the contracted load for certain categories of consumers.</w:t>
      </w:r>
    </w:p>
    <w:p w:rsidR="00A548D7" w:rsidRPr="001D4040" w:rsidRDefault="00A548D7" w:rsidP="00A548D7">
      <w:pPr>
        <w:spacing w:after="120"/>
        <w:ind w:left="720"/>
        <w:outlineLvl w:val="2"/>
        <w:rPr>
          <w:rFonts w:cstheme="minorHAnsi"/>
          <w:b/>
        </w:rPr>
      </w:pPr>
    </w:p>
    <w:p w:rsidR="00A548D7" w:rsidRPr="001D4040" w:rsidRDefault="00A548D7" w:rsidP="00A548D7">
      <w:pPr>
        <w:spacing w:after="120"/>
        <w:ind w:left="720"/>
        <w:outlineLvl w:val="2"/>
        <w:rPr>
          <w:rFonts w:cstheme="minorHAnsi"/>
          <w:b/>
        </w:rPr>
      </w:pPr>
      <w:r w:rsidRPr="001D4040">
        <w:rPr>
          <w:rFonts w:cstheme="minorHAnsi"/>
          <w:b/>
        </w:rPr>
        <w:t>Telescopic Tariff for LMV-4 (Public and</w:t>
      </w:r>
      <w:r w:rsidR="00162642">
        <w:rPr>
          <w:rFonts w:cstheme="minorHAnsi"/>
          <w:b/>
        </w:rPr>
        <w:t xml:space="preserve"> Private Institutions) Category</w:t>
      </w:r>
    </w:p>
    <w:p w:rsidR="00A548D7" w:rsidRPr="001D4040" w:rsidRDefault="00A548D7" w:rsidP="00A548D7">
      <w:pPr>
        <w:numPr>
          <w:ilvl w:val="2"/>
          <w:numId w:val="5"/>
        </w:numPr>
        <w:tabs>
          <w:tab w:val="clear" w:pos="1929"/>
          <w:tab w:val="num" w:pos="360"/>
        </w:tabs>
        <w:spacing w:after="120"/>
        <w:ind w:left="993" w:hanging="993"/>
        <w:outlineLvl w:val="2"/>
        <w:rPr>
          <w:rFonts w:cstheme="minorHAnsi"/>
        </w:rPr>
      </w:pPr>
      <w:r w:rsidRPr="001D4040">
        <w:rPr>
          <w:rFonts w:cstheme="minorHAnsi"/>
        </w:rPr>
        <w:t>The Commission in this Order has approved telescopic tariff for LMV-4 category of consumers which in turn will result in less electricity bills for consumers who consume less electricity and also help in facilitating smooth implementation of pre-paid metering.</w:t>
      </w:r>
    </w:p>
    <w:p w:rsidR="00A548D7" w:rsidRPr="001D4040" w:rsidRDefault="00A548D7" w:rsidP="00A548D7">
      <w:pPr>
        <w:pStyle w:val="ListParagraph"/>
        <w:rPr>
          <w:rFonts w:cstheme="minorHAnsi"/>
          <w:b/>
        </w:rPr>
      </w:pPr>
    </w:p>
    <w:p w:rsidR="00A548D7" w:rsidRPr="001D4040" w:rsidRDefault="00A548D7" w:rsidP="00A548D7">
      <w:pPr>
        <w:pStyle w:val="ListParagraph"/>
        <w:rPr>
          <w:rFonts w:cstheme="minorHAnsi"/>
          <w:b/>
        </w:rPr>
      </w:pPr>
      <w:r w:rsidRPr="001D4040">
        <w:rPr>
          <w:rFonts w:cstheme="minorHAnsi"/>
          <w:b/>
        </w:rPr>
        <w:lastRenderedPageBreak/>
        <w:t>Applicability o</w:t>
      </w:r>
      <w:r w:rsidR="00162642">
        <w:rPr>
          <w:rFonts w:cstheme="minorHAnsi"/>
          <w:b/>
        </w:rPr>
        <w:t>f tariff category</w:t>
      </w:r>
    </w:p>
    <w:p w:rsidR="00A548D7" w:rsidRPr="001D4040" w:rsidRDefault="00A548D7" w:rsidP="00A548D7">
      <w:pPr>
        <w:numPr>
          <w:ilvl w:val="2"/>
          <w:numId w:val="5"/>
        </w:numPr>
        <w:tabs>
          <w:tab w:val="clear" w:pos="1929"/>
          <w:tab w:val="num" w:pos="360"/>
        </w:tabs>
        <w:spacing w:after="120"/>
        <w:ind w:left="993" w:hanging="993"/>
        <w:outlineLvl w:val="2"/>
      </w:pPr>
      <w:r w:rsidRPr="001D4040">
        <w:t>The applicability, character and point of supply and other terms &amp; conditions of different consumer categories have been defined in the Rate Schedule given in Annexure 11.2</w:t>
      </w:r>
      <w:r w:rsidRPr="001D4040">
        <w:rPr>
          <w:b/>
        </w:rPr>
        <w:t xml:space="preserve">. </w:t>
      </w:r>
      <w:r w:rsidRPr="001D4040">
        <w:t>In case of any inconformity, the Rate schedule shall prevail over the details given in the various sections of this Order.</w:t>
      </w:r>
    </w:p>
    <w:p w:rsidR="00A548D7" w:rsidRPr="001D4040" w:rsidRDefault="00A548D7" w:rsidP="00A548D7">
      <w:pPr>
        <w:spacing w:after="120"/>
        <w:ind w:left="993"/>
        <w:outlineLvl w:val="2"/>
      </w:pPr>
    </w:p>
    <w:p w:rsidR="00A548D7" w:rsidRPr="001D4040" w:rsidRDefault="00A548D7" w:rsidP="00A548D7">
      <w:pPr>
        <w:pStyle w:val="ListParagraph"/>
        <w:rPr>
          <w:rFonts w:cstheme="minorHAnsi"/>
          <w:b/>
        </w:rPr>
      </w:pPr>
      <w:r w:rsidRPr="001D4040">
        <w:rPr>
          <w:rFonts w:cstheme="minorHAnsi"/>
          <w:b/>
        </w:rPr>
        <w:t>Exemption from Minimu</w:t>
      </w:r>
      <w:r w:rsidR="00162642">
        <w:rPr>
          <w:rFonts w:cstheme="minorHAnsi"/>
          <w:b/>
        </w:rPr>
        <w:t>m Charge for Using Solar Power</w:t>
      </w:r>
    </w:p>
    <w:p w:rsidR="00A548D7" w:rsidRPr="001D4040" w:rsidRDefault="00A548D7" w:rsidP="00A548D7">
      <w:pPr>
        <w:numPr>
          <w:ilvl w:val="2"/>
          <w:numId w:val="5"/>
        </w:numPr>
        <w:tabs>
          <w:tab w:val="clear" w:pos="1929"/>
          <w:tab w:val="num" w:pos="360"/>
        </w:tabs>
        <w:spacing w:after="120"/>
        <w:ind w:left="993" w:hanging="993"/>
        <w:outlineLvl w:val="2"/>
      </w:pPr>
      <w:r w:rsidRPr="001D4040">
        <w:t>The Commission in this Order has exempted payment of minimum charge for LMV-2 (Non domestic light, fan and power) consumers using solar power for meeting their requirement of electricity, towards an initiative for encouraging the use of renewable source of energy. With this facility the consumers will be motivated towards use of clean energy, with less carbon emission and the Licensees will be benefited from the reduced demand supply gap. The details of this arrangement of exemption of minimum charge for use of solar energy are provided in the rate schedule of this Order.</w:t>
      </w:r>
    </w:p>
    <w:p w:rsidR="00A548D7" w:rsidRPr="001D4040" w:rsidRDefault="00A548D7" w:rsidP="00A548D7">
      <w:pPr>
        <w:pStyle w:val="Heading3"/>
        <w:numPr>
          <w:ilvl w:val="0"/>
          <w:numId w:val="0"/>
        </w:numPr>
        <w:spacing w:before="0" w:line="312" w:lineRule="auto"/>
        <w:ind w:left="936" w:hanging="936"/>
        <w:rPr>
          <w:b/>
          <w:szCs w:val="24"/>
        </w:rPr>
      </w:pPr>
    </w:p>
    <w:p w:rsidR="00A548D7" w:rsidRPr="001D4040" w:rsidRDefault="00A548D7" w:rsidP="00A548D7">
      <w:pPr>
        <w:pStyle w:val="ListParagraph"/>
        <w:rPr>
          <w:rFonts w:cstheme="minorHAnsi"/>
          <w:b/>
        </w:rPr>
      </w:pPr>
      <w:r w:rsidRPr="001D4040">
        <w:rPr>
          <w:rFonts w:cstheme="minorHAnsi"/>
          <w:b/>
        </w:rPr>
        <w:t>Interest on Dues Payab</w:t>
      </w:r>
      <w:r w:rsidR="00162642">
        <w:rPr>
          <w:rFonts w:cstheme="minorHAnsi"/>
          <w:b/>
        </w:rPr>
        <w:t>le to consumers by the Licensee</w:t>
      </w:r>
    </w:p>
    <w:p w:rsidR="00A548D7" w:rsidRPr="001D4040" w:rsidRDefault="00A548D7" w:rsidP="00A548D7">
      <w:pPr>
        <w:numPr>
          <w:ilvl w:val="2"/>
          <w:numId w:val="5"/>
        </w:numPr>
        <w:tabs>
          <w:tab w:val="clear" w:pos="1929"/>
          <w:tab w:val="num" w:pos="360"/>
        </w:tabs>
        <w:spacing w:after="120"/>
        <w:ind w:left="993" w:hanging="993"/>
        <w:outlineLvl w:val="2"/>
      </w:pPr>
      <w:r w:rsidRPr="001D4040">
        <w:t>The Commission in this Order has introduced provision for interest on dues payable by the Licensee to the consumers, under which they will be entitled to get interest at the interest rate applicable for interest on security deposits on all the dues payable by Licensee which may arise out of rectification / adjustment / settlement of bill from the Licensee. The detail of this arrangement of interest on pending dues is provided in the rate schedule of this Order.</w:t>
      </w:r>
    </w:p>
    <w:p w:rsidR="00A548D7" w:rsidRPr="001D4040" w:rsidRDefault="00A548D7" w:rsidP="00A548D7">
      <w:pPr>
        <w:pStyle w:val="ListParagraph"/>
        <w:rPr>
          <w:rFonts w:cstheme="minorHAnsi"/>
          <w:b/>
        </w:rPr>
      </w:pPr>
    </w:p>
    <w:p w:rsidR="00A548D7" w:rsidRPr="001D4040" w:rsidRDefault="00162642" w:rsidP="00A548D7">
      <w:pPr>
        <w:pStyle w:val="ListParagraph"/>
        <w:rPr>
          <w:rFonts w:cstheme="minorHAnsi"/>
          <w:b/>
        </w:rPr>
      </w:pPr>
      <w:r>
        <w:rPr>
          <w:rFonts w:cstheme="minorHAnsi"/>
          <w:b/>
        </w:rPr>
        <w:t>System Loading Charges</w:t>
      </w:r>
    </w:p>
    <w:p w:rsidR="00D5771F" w:rsidRDefault="00A548D7">
      <w:pPr>
        <w:numPr>
          <w:ilvl w:val="2"/>
          <w:numId w:val="5"/>
        </w:numPr>
        <w:tabs>
          <w:tab w:val="clear" w:pos="1929"/>
          <w:tab w:val="num" w:pos="360"/>
        </w:tabs>
        <w:spacing w:after="120"/>
        <w:ind w:left="993" w:hanging="993"/>
        <w:outlineLvl w:val="2"/>
        <w:rPr>
          <w:rFonts w:asciiTheme="minorHAnsi" w:eastAsiaTheme="minorEastAsia" w:hAnsiTheme="minorHAnsi" w:cstheme="minorBidi"/>
          <w:lang w:val="en-IN" w:eastAsia="en-IN"/>
        </w:rPr>
      </w:pPr>
      <w:r w:rsidRPr="001D4040">
        <w:t>The Commission taking into considerations the views of the stakeholders has decided to stop the levy of the System Loading Charges from next Tariff cycle. The Licensees are advised to include the amount being collected under this head in their Capital Expenditure in the future ARR/ Tariff filings, if they so desire.</w:t>
      </w:r>
      <w:bookmarkStart w:id="1698" w:name="_Toc399312219"/>
      <w:bookmarkStart w:id="1699" w:name="_Toc399320607"/>
      <w:bookmarkEnd w:id="1693"/>
      <w:bookmarkEnd w:id="1694"/>
      <w:bookmarkEnd w:id="1698"/>
      <w:bookmarkEnd w:id="1699"/>
    </w:p>
    <w:p w:rsidR="00071195" w:rsidRDefault="00071195">
      <w:pPr>
        <w:pStyle w:val="Heading1"/>
        <w:sectPr w:rsidR="00071195" w:rsidSect="00675499">
          <w:footerReference w:type="default" r:id="rId13"/>
          <w:pgSz w:w="11909" w:h="16834"/>
          <w:pgMar w:top="1440" w:right="1440" w:bottom="1440" w:left="1800" w:header="720" w:footer="720" w:gutter="0"/>
          <w:pgNumType w:chapSep="colon"/>
          <w:cols w:space="720"/>
          <w:docGrid w:linePitch="326"/>
        </w:sectPr>
      </w:pPr>
    </w:p>
    <w:p w:rsidR="00D5771F" w:rsidRDefault="009B19CF">
      <w:pPr>
        <w:pStyle w:val="Heading1"/>
        <w:rPr>
          <w:rFonts w:asciiTheme="minorHAnsi" w:hAnsiTheme="minorHAnsi" w:cstheme="minorHAnsi"/>
        </w:rPr>
      </w:pPr>
      <w:bookmarkStart w:id="1700" w:name="_Toc455415996"/>
      <w:bookmarkStart w:id="1701" w:name="_Toc455482504"/>
      <w:bookmarkStart w:id="1702" w:name="_Toc455483219"/>
      <w:bookmarkStart w:id="1703" w:name="_Toc455483932"/>
      <w:bookmarkStart w:id="1704" w:name="_Toc455505541"/>
      <w:bookmarkStart w:id="1705" w:name="_Toc455575499"/>
      <w:bookmarkStart w:id="1706" w:name="_Toc455576213"/>
      <w:bookmarkStart w:id="1707" w:name="_Toc455576927"/>
      <w:bookmarkStart w:id="1708" w:name="_Toc455415997"/>
      <w:bookmarkStart w:id="1709" w:name="_Toc455482505"/>
      <w:bookmarkStart w:id="1710" w:name="_Toc455483220"/>
      <w:bookmarkStart w:id="1711" w:name="_Toc455483933"/>
      <w:bookmarkStart w:id="1712" w:name="_Toc455505542"/>
      <w:bookmarkStart w:id="1713" w:name="_Toc455575500"/>
      <w:bookmarkStart w:id="1714" w:name="_Toc455576214"/>
      <w:bookmarkStart w:id="1715" w:name="_Toc455576928"/>
      <w:bookmarkStart w:id="1716" w:name="_Toc455415998"/>
      <w:bookmarkStart w:id="1717" w:name="_Toc455482506"/>
      <w:bookmarkStart w:id="1718" w:name="_Toc455483221"/>
      <w:bookmarkStart w:id="1719" w:name="_Toc455483934"/>
      <w:bookmarkStart w:id="1720" w:name="_Toc455505543"/>
      <w:bookmarkStart w:id="1721" w:name="_Toc455575501"/>
      <w:bookmarkStart w:id="1722" w:name="_Toc455576215"/>
      <w:bookmarkStart w:id="1723" w:name="_Toc455576929"/>
      <w:bookmarkStart w:id="1724" w:name="_Toc455415999"/>
      <w:bookmarkStart w:id="1725" w:name="_Toc455482507"/>
      <w:bookmarkStart w:id="1726" w:name="_Toc455483222"/>
      <w:bookmarkStart w:id="1727" w:name="_Toc455483935"/>
      <w:bookmarkStart w:id="1728" w:name="_Toc455505544"/>
      <w:bookmarkStart w:id="1729" w:name="_Toc455575502"/>
      <w:bookmarkStart w:id="1730" w:name="_Toc455576216"/>
      <w:bookmarkStart w:id="1731" w:name="_Toc455576930"/>
      <w:bookmarkStart w:id="1732" w:name="_Toc455416000"/>
      <w:bookmarkStart w:id="1733" w:name="_Toc455482508"/>
      <w:bookmarkStart w:id="1734" w:name="_Toc455483223"/>
      <w:bookmarkStart w:id="1735" w:name="_Toc455483936"/>
      <w:bookmarkStart w:id="1736" w:name="_Toc455505545"/>
      <w:bookmarkStart w:id="1737" w:name="_Toc455575503"/>
      <w:bookmarkStart w:id="1738" w:name="_Toc455576217"/>
      <w:bookmarkStart w:id="1739" w:name="_Toc455576931"/>
      <w:bookmarkStart w:id="1740" w:name="_Toc455416001"/>
      <w:bookmarkStart w:id="1741" w:name="_Toc455482509"/>
      <w:bookmarkStart w:id="1742" w:name="_Toc455483224"/>
      <w:bookmarkStart w:id="1743" w:name="_Toc455483937"/>
      <w:bookmarkStart w:id="1744" w:name="_Toc455505546"/>
      <w:bookmarkStart w:id="1745" w:name="_Toc455575504"/>
      <w:bookmarkStart w:id="1746" w:name="_Toc455576218"/>
      <w:bookmarkStart w:id="1747" w:name="_Toc455576932"/>
      <w:bookmarkStart w:id="1748" w:name="_Toc336615948"/>
      <w:bookmarkStart w:id="1749" w:name="_Toc336608362"/>
      <w:bookmarkStart w:id="1750" w:name="_Toc336574921"/>
      <w:bookmarkStart w:id="1751" w:name="_Toc357345049"/>
      <w:bookmarkStart w:id="1752" w:name="_Toc357714425"/>
      <w:bookmarkStart w:id="1753" w:name="_Toc397332174"/>
      <w:bookmarkStart w:id="1754" w:name="_Toc399320602"/>
      <w:bookmarkStart w:id="1755" w:name="_Toc399623761"/>
      <w:bookmarkStart w:id="1756" w:name="_Toc422161711"/>
      <w:bookmarkStart w:id="1757" w:name="_Toc422134671"/>
      <w:bookmarkStart w:id="1758" w:name="_Toc422307102"/>
      <w:bookmarkStart w:id="1759" w:name="_Toc455311781"/>
      <w:bookmarkStart w:id="1760" w:name="_Toc457603976"/>
      <w:bookmarkStart w:id="1761" w:name="_Toc357345055"/>
      <w:bookmarkStart w:id="1762" w:name="_Toc357714431"/>
      <w:bookmarkStart w:id="1763" w:name="_Toc397332180"/>
      <w:bookmarkStart w:id="1764" w:name="_Toc397607935"/>
      <w:bookmarkStart w:id="1765" w:name="_Toc399623768"/>
      <w:bookmarkStart w:id="1766" w:name="_Toc453367644"/>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sidRPr="00CB5126">
        <w:rPr>
          <w:rFonts w:asciiTheme="minorHAnsi" w:hAnsiTheme="minorHAnsi" w:cstheme="minorHAnsi"/>
        </w:rPr>
        <w:lastRenderedPageBreak/>
        <w:t>REVENUE AT REVISED TARIFF AND REVENUE GAP:</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rsidR="009B19CF" w:rsidRPr="00CB5126" w:rsidRDefault="009B19CF" w:rsidP="009B19CF">
      <w:pPr>
        <w:pStyle w:val="Heading2"/>
        <w:keepNext/>
        <w:numPr>
          <w:ilvl w:val="0"/>
          <w:numId w:val="0"/>
        </w:numPr>
        <w:autoSpaceDE/>
        <w:autoSpaceDN/>
        <w:adjustRightInd/>
        <w:spacing w:before="0" w:line="276" w:lineRule="auto"/>
        <w:ind w:left="576"/>
        <w:contextualSpacing w:val="0"/>
      </w:pPr>
      <w:bookmarkStart w:id="1767" w:name="_Toc336615949"/>
      <w:bookmarkStart w:id="1768" w:name="_Toc336608363"/>
      <w:bookmarkStart w:id="1769" w:name="_Toc336574922"/>
      <w:bookmarkStart w:id="1770" w:name="_Toc357345050"/>
    </w:p>
    <w:p w:rsidR="009B19CF" w:rsidRPr="00CB5126" w:rsidRDefault="009B19CF" w:rsidP="009B19CF">
      <w:pPr>
        <w:pStyle w:val="Heading2"/>
        <w:numPr>
          <w:ilvl w:val="1"/>
          <w:numId w:val="27"/>
        </w:numPr>
      </w:pPr>
      <w:bookmarkStart w:id="1771" w:name="_Toc357714426"/>
      <w:bookmarkStart w:id="1772" w:name="_Toc397332175"/>
      <w:bookmarkStart w:id="1773" w:name="_Toc399320603"/>
      <w:bookmarkStart w:id="1774" w:name="_Toc399623762"/>
      <w:bookmarkStart w:id="1775" w:name="_Toc422161712"/>
      <w:bookmarkStart w:id="1776" w:name="_Toc422134672"/>
      <w:bookmarkStart w:id="1777" w:name="_Toc422307103"/>
      <w:bookmarkStart w:id="1778" w:name="_Toc455311782"/>
      <w:bookmarkStart w:id="1779" w:name="_Toc457603977"/>
      <w:r w:rsidRPr="00CB5126">
        <w:t>REVENUE FROM SALE OF POWER AT APPROVED TARIFF</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rsidR="00D5771F" w:rsidRDefault="009B19CF">
      <w:pPr>
        <w:pStyle w:val="Heading3"/>
        <w:tabs>
          <w:tab w:val="clear" w:pos="720"/>
        </w:tabs>
        <w:ind w:left="993" w:hanging="993"/>
        <w:rPr>
          <w:rFonts w:asciiTheme="minorHAnsi" w:hAnsiTheme="minorHAnsi" w:cstheme="minorHAnsi"/>
          <w:szCs w:val="24"/>
        </w:rPr>
      </w:pPr>
      <w:r w:rsidRPr="00CB5126">
        <w:t>As detailed in the previous Chapter, the Commission has revised the Tariff for different categories. The Tariff so published shall become the notified Tariff applicable in the area of supply and shall come into force after seven days from the date of such publication of the Tariff, and unless amended or revoked, shall continue to be in force till issuance of the next Tariff Order. Considering the period of applicability, the revenue at revised Tariff for FY 201</w:t>
      </w:r>
      <w:r>
        <w:t>6-17</w:t>
      </w:r>
      <w:r w:rsidRPr="00CB5126">
        <w:t xml:space="preserve"> is worked out as under:</w:t>
      </w:r>
    </w:p>
    <w:p w:rsidR="009B19CF" w:rsidRPr="00CB5126" w:rsidRDefault="009B19CF" w:rsidP="009B19CF">
      <w:pPr>
        <w:rPr>
          <w:rFonts w:cstheme="minorHAnsi"/>
        </w:rPr>
      </w:pPr>
    </w:p>
    <w:p w:rsidR="009B19CF" w:rsidRPr="00D14AAD" w:rsidRDefault="006C63AF" w:rsidP="009B19CF">
      <w:pPr>
        <w:pStyle w:val="Caption"/>
        <w:keepNext/>
        <w:spacing w:before="0" w:line="276" w:lineRule="auto"/>
        <w:rPr>
          <w:rFonts w:asciiTheme="minorHAnsi" w:hAnsiTheme="minorHAnsi" w:cstheme="minorHAnsi"/>
          <w:sz w:val="22"/>
          <w:szCs w:val="24"/>
        </w:rPr>
      </w:pPr>
      <w:bookmarkStart w:id="1780" w:name="_Toc336616147"/>
      <w:bookmarkStart w:id="1781" w:name="_Toc336608563"/>
      <w:bookmarkStart w:id="1782" w:name="_Toc336572528"/>
      <w:bookmarkStart w:id="1783" w:name="_Toc338310727"/>
      <w:bookmarkStart w:id="1784" w:name="_Toc338419556"/>
      <w:bookmarkStart w:id="1785" w:name="_Toc357719755"/>
      <w:bookmarkStart w:id="1786" w:name="_Toc397332363"/>
      <w:bookmarkStart w:id="1787" w:name="_Toc399324268"/>
      <w:bookmarkStart w:id="1788" w:name="_Toc399624142"/>
      <w:bookmarkStart w:id="1789" w:name="_Toc422161827"/>
      <w:bookmarkStart w:id="1790" w:name="_Toc422307218"/>
      <w:bookmarkStart w:id="1791" w:name="_Toc457604088"/>
      <w:r w:rsidRPr="006C63AF">
        <w:rPr>
          <w:rFonts w:asciiTheme="minorHAnsi" w:hAnsiTheme="minorHAnsi" w:cstheme="minorHAnsi"/>
          <w:sz w:val="22"/>
          <w:szCs w:val="24"/>
        </w:rPr>
        <w:t>Table 8</w:t>
      </w:r>
      <w:r w:rsidRPr="006C63AF">
        <w:rPr>
          <w:rFonts w:asciiTheme="minorHAnsi" w:hAnsiTheme="minorHAnsi" w:cstheme="minorHAnsi"/>
          <w:sz w:val="22"/>
          <w:szCs w:val="24"/>
        </w:rPr>
        <w:noBreakHyphen/>
      </w:r>
      <w:r w:rsidR="009741CA" w:rsidRPr="006C63AF">
        <w:rPr>
          <w:rFonts w:asciiTheme="minorHAnsi" w:hAnsiTheme="minorHAnsi" w:cstheme="minorHAnsi"/>
          <w:sz w:val="22"/>
          <w:szCs w:val="24"/>
        </w:rPr>
        <w:fldChar w:fldCharType="begin"/>
      </w:r>
      <w:r w:rsidRPr="006C63AF">
        <w:rPr>
          <w:rFonts w:asciiTheme="minorHAnsi" w:hAnsiTheme="minorHAnsi" w:cstheme="minorHAnsi"/>
          <w:sz w:val="22"/>
          <w:szCs w:val="24"/>
        </w:rPr>
        <w:instrText xml:space="preserve"> SEQ Table \* ARABIC \s 1 </w:instrText>
      </w:r>
      <w:r w:rsidR="009741CA" w:rsidRPr="006C63AF">
        <w:rPr>
          <w:rFonts w:asciiTheme="minorHAnsi" w:hAnsiTheme="minorHAnsi" w:cstheme="minorHAnsi"/>
          <w:sz w:val="22"/>
          <w:szCs w:val="24"/>
        </w:rPr>
        <w:fldChar w:fldCharType="separate"/>
      </w:r>
      <w:r w:rsidR="00BA08F0">
        <w:rPr>
          <w:rFonts w:asciiTheme="minorHAnsi" w:hAnsiTheme="minorHAnsi" w:cstheme="minorHAnsi"/>
          <w:noProof/>
          <w:sz w:val="22"/>
          <w:szCs w:val="24"/>
        </w:rPr>
        <w:t>1</w:t>
      </w:r>
      <w:r w:rsidR="009741CA" w:rsidRPr="006C63AF">
        <w:rPr>
          <w:rFonts w:asciiTheme="minorHAnsi" w:hAnsiTheme="minorHAnsi" w:cstheme="minorHAnsi"/>
          <w:sz w:val="22"/>
          <w:szCs w:val="24"/>
        </w:rPr>
        <w:fldChar w:fldCharType="end"/>
      </w:r>
      <w:r w:rsidRPr="006C63AF">
        <w:rPr>
          <w:rFonts w:asciiTheme="minorHAnsi" w:hAnsiTheme="minorHAnsi" w:cstheme="minorHAnsi"/>
          <w:sz w:val="22"/>
          <w:szCs w:val="24"/>
        </w:rPr>
        <w:t>: REVENUE FROM SALE OF POWER AT APPROVED TARIFF FOR FY 2016-17 FOR DVVNL (Rs. Crore)</w:t>
      </w:r>
      <w:bookmarkEnd w:id="1780"/>
      <w:bookmarkEnd w:id="1781"/>
      <w:bookmarkEnd w:id="1782"/>
      <w:bookmarkEnd w:id="1783"/>
      <w:bookmarkEnd w:id="1784"/>
      <w:bookmarkEnd w:id="1785"/>
      <w:bookmarkEnd w:id="1786"/>
      <w:bookmarkEnd w:id="1787"/>
      <w:bookmarkEnd w:id="1788"/>
      <w:bookmarkEnd w:id="1789"/>
      <w:bookmarkEnd w:id="1790"/>
      <w:bookmarkEnd w:id="1791"/>
    </w:p>
    <w:tbl>
      <w:tblPr>
        <w:tblW w:w="6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40"/>
        <w:gridCol w:w="2150"/>
      </w:tblGrid>
      <w:tr w:rsidR="009B19CF" w:rsidRPr="00CB5126" w:rsidTr="005828E5">
        <w:trPr>
          <w:trHeight w:val="143"/>
          <w:jc w:val="center"/>
        </w:trPr>
        <w:tc>
          <w:tcPr>
            <w:tcW w:w="4340" w:type="dxa"/>
            <w:shd w:val="clear" w:color="000000" w:fill="DCE6F1"/>
            <w:noWrap/>
            <w:hideMark/>
          </w:tcPr>
          <w:p w:rsidR="00337C98" w:rsidRDefault="009B19CF" w:rsidP="00337C98">
            <w:pPr>
              <w:spacing w:before="0" w:line="240" w:lineRule="auto"/>
              <w:jc w:val="center"/>
              <w:rPr>
                <w:rFonts w:cstheme="minorHAnsi"/>
                <w:b/>
                <w:bCs/>
                <w:color w:val="000000"/>
                <w:sz w:val="22"/>
                <w:szCs w:val="22"/>
              </w:rPr>
            </w:pPr>
            <w:r w:rsidRPr="00CB5126">
              <w:rPr>
                <w:rFonts w:cstheme="minorHAnsi"/>
                <w:b/>
                <w:bCs/>
                <w:color w:val="000000"/>
                <w:sz w:val="22"/>
                <w:szCs w:val="22"/>
              </w:rPr>
              <w:t>Consumer categories</w:t>
            </w:r>
          </w:p>
        </w:tc>
        <w:tc>
          <w:tcPr>
            <w:tcW w:w="2150" w:type="dxa"/>
            <w:shd w:val="clear" w:color="000000" w:fill="DCE6F1"/>
            <w:hideMark/>
          </w:tcPr>
          <w:p w:rsidR="00603835" w:rsidRDefault="009B19CF">
            <w:pPr>
              <w:spacing w:before="0" w:line="240" w:lineRule="auto"/>
              <w:jc w:val="center"/>
              <w:rPr>
                <w:rFonts w:cstheme="minorHAnsi"/>
                <w:b/>
                <w:bCs/>
                <w:color w:val="000000"/>
                <w:sz w:val="22"/>
                <w:szCs w:val="22"/>
              </w:rPr>
            </w:pPr>
            <w:r w:rsidRPr="00CB5126">
              <w:rPr>
                <w:rFonts w:cstheme="minorHAnsi"/>
                <w:b/>
                <w:bCs/>
                <w:color w:val="000000"/>
                <w:sz w:val="22"/>
                <w:szCs w:val="22"/>
              </w:rPr>
              <w:t>Approved Revenue</w:t>
            </w:r>
          </w:p>
          <w:p w:rsidR="00603835" w:rsidRDefault="009B19CF">
            <w:pPr>
              <w:spacing w:before="0" w:line="240" w:lineRule="auto"/>
              <w:jc w:val="center"/>
              <w:rPr>
                <w:rFonts w:cstheme="minorHAnsi"/>
                <w:b/>
                <w:bCs/>
                <w:color w:val="000000"/>
                <w:sz w:val="22"/>
                <w:szCs w:val="22"/>
              </w:rPr>
            </w:pPr>
            <w:r w:rsidRPr="00CB5126">
              <w:rPr>
                <w:rFonts w:cstheme="minorHAnsi"/>
                <w:b/>
                <w:bCs/>
                <w:color w:val="000000"/>
                <w:sz w:val="22"/>
                <w:szCs w:val="22"/>
              </w:rPr>
              <w:t>FY 2016</w:t>
            </w:r>
            <w:r>
              <w:rPr>
                <w:rFonts w:cstheme="minorHAnsi"/>
                <w:b/>
                <w:bCs/>
                <w:color w:val="000000"/>
                <w:sz w:val="22"/>
                <w:szCs w:val="22"/>
              </w:rPr>
              <w:t>-17</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LMV-1: Domestic</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3,249.05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LMV-2:Non-Domestic</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852.22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 xml:space="preserve">LMV-3: Public Lamps </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176.42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LMV-4: Institutions</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404.81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LMV-5: Private Tube Wells</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778.94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LMV 6: Small and Medium Power</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719.81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 xml:space="preserve">LMV-7: Public Water Works </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451.72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LMV-8: State Tube Wells</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634.27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 xml:space="preserve">LMV-9: Temporary Supply </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44.64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LMV-10: Departmental Employees</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26.95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HV-1: Non-Industrial Bulk Loads</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365.45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HV-2: Large and Heavy Power</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2,200.95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HV-3: Railway Traction</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508.86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HV-4: Lift Irrigation</w:t>
            </w:r>
          </w:p>
        </w:tc>
        <w:tc>
          <w:tcPr>
            <w:tcW w:w="2150" w:type="dxa"/>
            <w:shd w:val="clear" w:color="auto" w:fill="auto"/>
            <w:noWrap/>
            <w:vAlign w:val="center"/>
            <w:hideMark/>
          </w:tcPr>
          <w:p w:rsidR="009B19CF" w:rsidRPr="009B19CF" w:rsidRDefault="00E34329" w:rsidP="00D920F1">
            <w:pPr>
              <w:spacing w:before="0"/>
              <w:jc w:val="right"/>
              <w:rPr>
                <w:rFonts w:cs="Calibri"/>
                <w:color w:val="000000"/>
                <w:sz w:val="22"/>
                <w:szCs w:val="20"/>
              </w:rPr>
            </w:pPr>
            <w:r w:rsidRPr="00E34329">
              <w:rPr>
                <w:color w:val="000000"/>
                <w:sz w:val="22"/>
                <w:szCs w:val="20"/>
              </w:rPr>
              <w:t xml:space="preserve">                    139.15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b/>
                <w:bCs/>
                <w:color w:val="000000"/>
                <w:sz w:val="22"/>
                <w:szCs w:val="22"/>
              </w:rPr>
            </w:pPr>
            <w:r w:rsidRPr="00CB5126">
              <w:rPr>
                <w:rFonts w:cstheme="minorHAnsi"/>
                <w:b/>
                <w:bCs/>
                <w:color w:val="000000"/>
                <w:sz w:val="22"/>
                <w:szCs w:val="22"/>
              </w:rPr>
              <w:t>Sub-total</w:t>
            </w:r>
          </w:p>
        </w:tc>
        <w:tc>
          <w:tcPr>
            <w:tcW w:w="2150" w:type="dxa"/>
            <w:shd w:val="clear" w:color="auto" w:fill="auto"/>
            <w:noWrap/>
            <w:vAlign w:val="center"/>
            <w:hideMark/>
          </w:tcPr>
          <w:p w:rsidR="009B19CF" w:rsidRPr="009B19CF" w:rsidRDefault="00E34329" w:rsidP="00D920F1">
            <w:pPr>
              <w:spacing w:before="0"/>
              <w:jc w:val="right"/>
              <w:rPr>
                <w:rFonts w:cs="Calibri"/>
                <w:b/>
                <w:color w:val="000000"/>
                <w:sz w:val="22"/>
                <w:szCs w:val="20"/>
              </w:rPr>
            </w:pPr>
            <w:r w:rsidRPr="00E34329">
              <w:rPr>
                <w:b/>
                <w:color w:val="000000"/>
                <w:sz w:val="22"/>
                <w:szCs w:val="20"/>
              </w:rPr>
              <w:t xml:space="preserve">              10,553.24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Extra State &amp; Bulk</w:t>
            </w:r>
          </w:p>
        </w:tc>
        <w:tc>
          <w:tcPr>
            <w:tcW w:w="2150" w:type="dxa"/>
            <w:shd w:val="clear" w:color="auto" w:fill="auto"/>
            <w:noWrap/>
            <w:vAlign w:val="center"/>
            <w:hideMark/>
          </w:tcPr>
          <w:p w:rsidR="009B19CF" w:rsidRPr="009B19CF" w:rsidRDefault="00E34329" w:rsidP="00D920F1">
            <w:pPr>
              <w:spacing w:before="0"/>
              <w:jc w:val="right"/>
              <w:rPr>
                <w:rFonts w:cs="Calibri"/>
                <w:b/>
                <w:color w:val="000000"/>
                <w:sz w:val="22"/>
                <w:szCs w:val="20"/>
              </w:rPr>
            </w:pPr>
            <w:r w:rsidRPr="00E34329">
              <w:rPr>
                <w:b/>
                <w:color w:val="000000"/>
                <w:sz w:val="22"/>
                <w:szCs w:val="20"/>
              </w:rPr>
              <w:t xml:space="preserve">                             -   </w:t>
            </w:r>
          </w:p>
        </w:tc>
      </w:tr>
      <w:tr w:rsidR="009B19CF" w:rsidRPr="00CB5126" w:rsidTr="00D920F1">
        <w:trPr>
          <w:trHeight w:val="300"/>
          <w:jc w:val="center"/>
        </w:trPr>
        <w:tc>
          <w:tcPr>
            <w:tcW w:w="4340" w:type="dxa"/>
            <w:shd w:val="clear" w:color="auto" w:fill="auto"/>
            <w:noWrap/>
            <w:hideMark/>
          </w:tcPr>
          <w:p w:rsidR="009B19CF" w:rsidRPr="00CB5126" w:rsidRDefault="009B19CF" w:rsidP="00D920F1">
            <w:pPr>
              <w:spacing w:before="0" w:line="240" w:lineRule="auto"/>
              <w:rPr>
                <w:rFonts w:cstheme="minorHAnsi"/>
                <w:b/>
                <w:bCs/>
                <w:color w:val="000000"/>
                <w:sz w:val="22"/>
                <w:szCs w:val="22"/>
              </w:rPr>
            </w:pPr>
            <w:r w:rsidRPr="00CB5126">
              <w:rPr>
                <w:rFonts w:cstheme="minorHAnsi"/>
                <w:b/>
                <w:bCs/>
                <w:color w:val="000000"/>
                <w:sz w:val="22"/>
                <w:szCs w:val="22"/>
              </w:rPr>
              <w:t>Total</w:t>
            </w:r>
          </w:p>
        </w:tc>
        <w:tc>
          <w:tcPr>
            <w:tcW w:w="2150" w:type="dxa"/>
            <w:shd w:val="clear" w:color="auto" w:fill="auto"/>
            <w:noWrap/>
            <w:vAlign w:val="center"/>
            <w:hideMark/>
          </w:tcPr>
          <w:p w:rsidR="009B19CF" w:rsidRPr="009B19CF" w:rsidRDefault="00E34329" w:rsidP="00D920F1">
            <w:pPr>
              <w:spacing w:before="0"/>
              <w:jc w:val="right"/>
              <w:rPr>
                <w:rFonts w:cs="Calibri"/>
                <w:b/>
                <w:color w:val="000000"/>
                <w:sz w:val="22"/>
                <w:szCs w:val="20"/>
              </w:rPr>
            </w:pPr>
            <w:r w:rsidRPr="00E34329">
              <w:rPr>
                <w:b/>
                <w:color w:val="000000"/>
                <w:sz w:val="22"/>
                <w:szCs w:val="20"/>
              </w:rPr>
              <w:t xml:space="preserve">              10,553.24 </w:t>
            </w:r>
          </w:p>
        </w:tc>
      </w:tr>
    </w:tbl>
    <w:p w:rsidR="009B19CF" w:rsidRPr="00CB5126" w:rsidRDefault="009B19CF" w:rsidP="009B19CF">
      <w:pPr>
        <w:spacing w:before="0"/>
        <w:ind w:left="270"/>
        <w:jc w:val="center"/>
        <w:rPr>
          <w:rFonts w:cstheme="minorHAnsi"/>
          <w:b/>
          <w:bCs/>
        </w:rPr>
      </w:pPr>
    </w:p>
    <w:p w:rsidR="00D5771F" w:rsidRDefault="009B19CF">
      <w:pPr>
        <w:pStyle w:val="Heading3"/>
        <w:tabs>
          <w:tab w:val="clear" w:pos="720"/>
        </w:tabs>
        <w:ind w:left="993" w:hanging="993"/>
        <w:rPr>
          <w:rFonts w:asciiTheme="minorHAnsi" w:hAnsiTheme="minorHAnsi" w:cstheme="minorHAnsi"/>
          <w:bCs w:val="0"/>
          <w:szCs w:val="24"/>
        </w:rPr>
      </w:pPr>
      <w:bookmarkStart w:id="1792" w:name="_Toc336615950"/>
      <w:bookmarkStart w:id="1793" w:name="_Toc336608364"/>
      <w:bookmarkStart w:id="1794" w:name="_Toc336574923"/>
      <w:r w:rsidRPr="00CB5126">
        <w:rPr>
          <w:rFonts w:asciiTheme="minorHAnsi" w:hAnsiTheme="minorHAnsi" w:cstheme="minorHAnsi"/>
          <w:szCs w:val="24"/>
        </w:rPr>
        <w:t xml:space="preserve">The revenue increase due to revision in Tariff for </w:t>
      </w:r>
      <w:r>
        <w:rPr>
          <w:rFonts w:asciiTheme="minorHAnsi" w:hAnsiTheme="minorHAnsi" w:cstheme="minorHAnsi"/>
          <w:szCs w:val="24"/>
        </w:rPr>
        <w:t>D</w:t>
      </w:r>
      <w:r w:rsidRPr="00CB5126">
        <w:rPr>
          <w:rFonts w:asciiTheme="minorHAnsi" w:hAnsiTheme="minorHAnsi" w:cstheme="minorHAnsi"/>
          <w:szCs w:val="24"/>
        </w:rPr>
        <w:t xml:space="preserve">VVNL would be Rs. </w:t>
      </w:r>
      <w:r>
        <w:rPr>
          <w:rFonts w:asciiTheme="minorHAnsi" w:hAnsiTheme="minorHAnsi" w:cstheme="minorHAnsi"/>
          <w:szCs w:val="24"/>
        </w:rPr>
        <w:t>237.59</w:t>
      </w:r>
      <w:r w:rsidRPr="00CB5126">
        <w:rPr>
          <w:rFonts w:asciiTheme="minorHAnsi" w:hAnsiTheme="minorHAnsi" w:cstheme="minorHAnsi"/>
          <w:szCs w:val="24"/>
        </w:rPr>
        <w:t xml:space="preserve"> Crore (Rs. </w:t>
      </w:r>
      <w:r>
        <w:rPr>
          <w:rFonts w:asciiTheme="minorHAnsi" w:hAnsiTheme="minorHAnsi" w:cstheme="minorHAnsi"/>
          <w:szCs w:val="24"/>
        </w:rPr>
        <w:t>10,553.24</w:t>
      </w:r>
      <w:r w:rsidRPr="00CB5126">
        <w:rPr>
          <w:rFonts w:asciiTheme="minorHAnsi" w:hAnsiTheme="minorHAnsi" w:cstheme="minorHAnsi"/>
          <w:szCs w:val="24"/>
        </w:rPr>
        <w:t xml:space="preserve"> Crore – Rs. </w:t>
      </w:r>
      <w:r>
        <w:rPr>
          <w:rFonts w:asciiTheme="minorHAnsi" w:hAnsiTheme="minorHAnsi" w:cstheme="minorHAnsi"/>
          <w:szCs w:val="24"/>
        </w:rPr>
        <w:t>10,315.65</w:t>
      </w:r>
      <w:r w:rsidRPr="00CB5126">
        <w:rPr>
          <w:rFonts w:asciiTheme="minorHAnsi" w:hAnsiTheme="minorHAnsi" w:cstheme="minorHAnsi"/>
          <w:szCs w:val="24"/>
        </w:rPr>
        <w:t xml:space="preserve"> Crore).</w:t>
      </w:r>
    </w:p>
    <w:p w:rsidR="00D5771F" w:rsidRDefault="009B19CF">
      <w:pPr>
        <w:pStyle w:val="Heading3"/>
        <w:tabs>
          <w:tab w:val="clear" w:pos="720"/>
        </w:tabs>
        <w:ind w:left="993" w:hanging="993"/>
        <w:rPr>
          <w:rFonts w:asciiTheme="minorHAnsi" w:hAnsiTheme="minorHAnsi" w:cstheme="minorHAnsi"/>
          <w:bCs w:val="0"/>
          <w:szCs w:val="24"/>
        </w:rPr>
      </w:pPr>
      <w:r w:rsidRPr="00CB5126">
        <w:rPr>
          <w:rFonts w:asciiTheme="minorHAnsi" w:hAnsiTheme="minorHAnsi" w:cstheme="minorHAnsi"/>
          <w:szCs w:val="24"/>
        </w:rPr>
        <w:lastRenderedPageBreak/>
        <w:t>The estimated gap / surplus after incorporating impact of revised Tariff for FY 2016</w:t>
      </w:r>
      <w:r>
        <w:rPr>
          <w:rFonts w:asciiTheme="minorHAnsi" w:hAnsiTheme="minorHAnsi" w:cstheme="minorHAnsi"/>
          <w:szCs w:val="24"/>
        </w:rPr>
        <w:t>-17</w:t>
      </w:r>
      <w:r w:rsidRPr="00CB5126">
        <w:rPr>
          <w:rFonts w:asciiTheme="minorHAnsi" w:hAnsiTheme="minorHAnsi" w:cstheme="minorHAnsi"/>
          <w:szCs w:val="24"/>
        </w:rPr>
        <w:t xml:space="preserve"> for the period of </w:t>
      </w:r>
      <w:r>
        <w:rPr>
          <w:rFonts w:asciiTheme="minorHAnsi" w:hAnsiTheme="minorHAnsi" w:cstheme="minorHAnsi"/>
          <w:szCs w:val="24"/>
        </w:rPr>
        <w:t>8</w:t>
      </w:r>
      <w:r w:rsidRPr="00CB5126">
        <w:rPr>
          <w:rFonts w:asciiTheme="minorHAnsi" w:hAnsiTheme="minorHAnsi" w:cstheme="minorHAnsi"/>
          <w:szCs w:val="24"/>
        </w:rPr>
        <w:t xml:space="preserve"> months is given in the Table below:</w:t>
      </w:r>
      <w:bookmarkEnd w:id="1792"/>
      <w:bookmarkEnd w:id="1793"/>
      <w:bookmarkEnd w:id="1794"/>
    </w:p>
    <w:p w:rsidR="009B19CF" w:rsidRPr="00D14AAD" w:rsidRDefault="006C63AF" w:rsidP="009B19CF">
      <w:pPr>
        <w:pStyle w:val="Caption"/>
        <w:keepNext/>
        <w:ind w:firstLine="540"/>
        <w:rPr>
          <w:rFonts w:asciiTheme="minorHAnsi" w:hAnsiTheme="minorHAnsi" w:cstheme="minorHAnsi"/>
          <w:sz w:val="22"/>
          <w:szCs w:val="24"/>
        </w:rPr>
      </w:pPr>
      <w:bookmarkStart w:id="1795" w:name="_Toc336616148"/>
      <w:bookmarkStart w:id="1796" w:name="_Toc336608564"/>
      <w:bookmarkStart w:id="1797" w:name="_Toc336572529"/>
      <w:bookmarkStart w:id="1798" w:name="_Toc338310728"/>
      <w:bookmarkStart w:id="1799" w:name="_Toc338419557"/>
      <w:bookmarkStart w:id="1800" w:name="_Toc357719756"/>
      <w:bookmarkStart w:id="1801" w:name="_Toc397332364"/>
      <w:bookmarkStart w:id="1802" w:name="_Toc399324269"/>
      <w:bookmarkStart w:id="1803" w:name="_Toc399624143"/>
      <w:bookmarkStart w:id="1804" w:name="_Toc422161828"/>
      <w:bookmarkStart w:id="1805" w:name="_Toc422307219"/>
      <w:bookmarkStart w:id="1806" w:name="_Toc457604089"/>
      <w:r w:rsidRPr="006C63AF">
        <w:rPr>
          <w:rFonts w:asciiTheme="minorHAnsi" w:hAnsiTheme="minorHAnsi" w:cstheme="minorHAnsi"/>
          <w:sz w:val="22"/>
          <w:szCs w:val="24"/>
        </w:rPr>
        <w:t>Table 8</w:t>
      </w:r>
      <w:r w:rsidRPr="006C63AF">
        <w:rPr>
          <w:rFonts w:asciiTheme="minorHAnsi" w:hAnsiTheme="minorHAnsi" w:cstheme="minorHAnsi"/>
          <w:sz w:val="22"/>
          <w:szCs w:val="24"/>
        </w:rPr>
        <w:noBreakHyphen/>
      </w:r>
      <w:r w:rsidR="009741CA" w:rsidRPr="006C63AF">
        <w:rPr>
          <w:rFonts w:asciiTheme="minorHAnsi" w:hAnsiTheme="minorHAnsi" w:cstheme="minorHAnsi"/>
          <w:sz w:val="22"/>
          <w:szCs w:val="24"/>
        </w:rPr>
        <w:fldChar w:fldCharType="begin"/>
      </w:r>
      <w:r w:rsidRPr="006C63AF">
        <w:rPr>
          <w:rFonts w:asciiTheme="minorHAnsi" w:hAnsiTheme="minorHAnsi" w:cstheme="minorHAnsi"/>
          <w:sz w:val="22"/>
          <w:szCs w:val="24"/>
        </w:rPr>
        <w:instrText xml:space="preserve"> SEQ Table \* ARABIC \s 1 </w:instrText>
      </w:r>
      <w:r w:rsidR="009741CA" w:rsidRPr="006C63AF">
        <w:rPr>
          <w:rFonts w:asciiTheme="minorHAnsi" w:hAnsiTheme="minorHAnsi" w:cstheme="minorHAnsi"/>
          <w:sz w:val="22"/>
          <w:szCs w:val="24"/>
        </w:rPr>
        <w:fldChar w:fldCharType="separate"/>
      </w:r>
      <w:r w:rsidR="00BA08F0">
        <w:rPr>
          <w:rFonts w:asciiTheme="minorHAnsi" w:hAnsiTheme="minorHAnsi" w:cstheme="minorHAnsi"/>
          <w:noProof/>
          <w:sz w:val="22"/>
          <w:szCs w:val="24"/>
        </w:rPr>
        <w:t>2</w:t>
      </w:r>
      <w:r w:rsidR="009741CA" w:rsidRPr="006C63AF">
        <w:rPr>
          <w:rFonts w:asciiTheme="minorHAnsi" w:hAnsiTheme="minorHAnsi" w:cstheme="minorHAnsi"/>
          <w:sz w:val="22"/>
          <w:szCs w:val="24"/>
        </w:rPr>
        <w:fldChar w:fldCharType="end"/>
      </w:r>
      <w:r w:rsidRPr="006C63AF">
        <w:rPr>
          <w:rFonts w:asciiTheme="minorHAnsi" w:hAnsiTheme="minorHAnsi" w:cstheme="minorHAnsi"/>
          <w:sz w:val="22"/>
          <w:szCs w:val="24"/>
        </w:rPr>
        <w:t>: ESTIMATION OF ARR GAP/SURPLUS AT REVISED TARIFF FOR FY 2016-17 (Rs. Crore)</w:t>
      </w:r>
      <w:bookmarkEnd w:id="1795"/>
      <w:bookmarkEnd w:id="1796"/>
      <w:bookmarkEnd w:id="1797"/>
      <w:bookmarkEnd w:id="1798"/>
      <w:bookmarkEnd w:id="1799"/>
      <w:bookmarkEnd w:id="1800"/>
      <w:bookmarkEnd w:id="1801"/>
      <w:bookmarkEnd w:id="1802"/>
      <w:bookmarkEnd w:id="1803"/>
      <w:bookmarkEnd w:id="1804"/>
      <w:bookmarkEnd w:id="1805"/>
      <w:bookmarkEnd w:id="1806"/>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509"/>
        <w:gridCol w:w="1709"/>
        <w:gridCol w:w="1667"/>
      </w:tblGrid>
      <w:tr w:rsidR="009B19CF" w:rsidRPr="00CB5126" w:rsidTr="005828E5">
        <w:trPr>
          <w:trHeight w:val="311"/>
          <w:tblHeader/>
          <w:jc w:val="center"/>
        </w:trPr>
        <w:tc>
          <w:tcPr>
            <w:tcW w:w="3100" w:type="pct"/>
            <w:shd w:val="clear" w:color="000000" w:fill="DBE5F1"/>
            <w:hideMark/>
          </w:tcPr>
          <w:p w:rsidR="00603835" w:rsidRDefault="009B19CF">
            <w:pPr>
              <w:spacing w:before="0" w:line="240" w:lineRule="auto"/>
              <w:jc w:val="center"/>
              <w:rPr>
                <w:rFonts w:cstheme="minorHAnsi"/>
                <w:b/>
                <w:bCs/>
                <w:caps/>
                <w:kern w:val="32"/>
                <w:sz w:val="22"/>
                <w:szCs w:val="22"/>
              </w:rPr>
            </w:pPr>
            <w:r w:rsidRPr="00CB5126">
              <w:rPr>
                <w:rFonts w:cstheme="minorHAnsi"/>
                <w:b/>
                <w:bCs/>
                <w:color w:val="000000"/>
                <w:sz w:val="22"/>
                <w:szCs w:val="22"/>
              </w:rPr>
              <w:t>Particulars</w:t>
            </w:r>
          </w:p>
        </w:tc>
        <w:tc>
          <w:tcPr>
            <w:tcW w:w="962" w:type="pct"/>
            <w:shd w:val="clear" w:color="000000" w:fill="DBE5F1"/>
          </w:tcPr>
          <w:p w:rsidR="00603835" w:rsidRDefault="009B19CF">
            <w:pPr>
              <w:spacing w:before="0" w:line="240" w:lineRule="auto"/>
              <w:jc w:val="center"/>
              <w:rPr>
                <w:rFonts w:cstheme="minorHAnsi"/>
                <w:b/>
                <w:sz w:val="22"/>
                <w:szCs w:val="22"/>
              </w:rPr>
            </w:pPr>
            <w:r w:rsidRPr="00CB5126">
              <w:rPr>
                <w:rFonts w:cstheme="minorHAnsi"/>
                <w:b/>
                <w:bCs/>
                <w:color w:val="000000"/>
                <w:sz w:val="22"/>
                <w:szCs w:val="22"/>
              </w:rPr>
              <w:t>Petitioner</w:t>
            </w:r>
          </w:p>
        </w:tc>
        <w:tc>
          <w:tcPr>
            <w:tcW w:w="938" w:type="pct"/>
            <w:shd w:val="clear" w:color="000000" w:fill="DBE5F1"/>
            <w:hideMark/>
          </w:tcPr>
          <w:p w:rsidR="00603835" w:rsidRDefault="009B19CF">
            <w:pPr>
              <w:spacing w:before="0" w:line="240" w:lineRule="auto"/>
              <w:jc w:val="center"/>
              <w:rPr>
                <w:rFonts w:cstheme="minorHAnsi"/>
                <w:b/>
                <w:sz w:val="22"/>
                <w:szCs w:val="22"/>
              </w:rPr>
            </w:pPr>
            <w:r w:rsidRPr="00CB5126">
              <w:rPr>
                <w:rFonts w:cstheme="minorHAnsi"/>
                <w:b/>
                <w:bCs/>
                <w:color w:val="000000"/>
                <w:sz w:val="22"/>
                <w:szCs w:val="22"/>
              </w:rPr>
              <w:t>Approved</w:t>
            </w:r>
          </w:p>
        </w:tc>
      </w:tr>
      <w:tr w:rsidR="009B19CF" w:rsidRPr="00CB5126" w:rsidTr="00D920F1">
        <w:trPr>
          <w:trHeight w:val="300"/>
          <w:jc w:val="center"/>
        </w:trPr>
        <w:tc>
          <w:tcPr>
            <w:tcW w:w="3100" w:type="pct"/>
            <w:shd w:val="clear" w:color="auto" w:fill="auto"/>
            <w:vAlign w:val="center"/>
            <w:hideMark/>
          </w:tcPr>
          <w:p w:rsidR="009B19CF" w:rsidRDefault="009B19CF" w:rsidP="00D920F1">
            <w:pPr>
              <w:spacing w:before="0" w:line="240" w:lineRule="auto"/>
              <w:rPr>
                <w:rFonts w:cstheme="minorHAnsi"/>
                <w:sz w:val="22"/>
                <w:szCs w:val="22"/>
              </w:rPr>
            </w:pPr>
            <w:r w:rsidRPr="00CB5126">
              <w:rPr>
                <w:rFonts w:cstheme="minorHAnsi"/>
                <w:color w:val="000000"/>
                <w:sz w:val="22"/>
                <w:szCs w:val="22"/>
              </w:rPr>
              <w:t>Revenue Gap for FY 2013</w:t>
            </w:r>
            <w:r>
              <w:rPr>
                <w:rFonts w:cstheme="minorHAnsi"/>
                <w:color w:val="000000"/>
                <w:sz w:val="22"/>
                <w:szCs w:val="22"/>
              </w:rPr>
              <w:t>-14</w:t>
            </w:r>
          </w:p>
        </w:tc>
        <w:tc>
          <w:tcPr>
            <w:tcW w:w="962" w:type="pct"/>
            <w:vAlign w:val="center"/>
          </w:tcPr>
          <w:p w:rsidR="009B19CF" w:rsidRPr="009B19CF" w:rsidRDefault="00E34329" w:rsidP="00D920F1">
            <w:pPr>
              <w:spacing w:before="0" w:line="240" w:lineRule="auto"/>
              <w:jc w:val="right"/>
              <w:rPr>
                <w:rFonts w:cstheme="minorHAnsi"/>
                <w:color w:val="000000"/>
                <w:sz w:val="22"/>
                <w:szCs w:val="22"/>
              </w:rPr>
            </w:pPr>
            <w:r w:rsidRPr="00E34329">
              <w:rPr>
                <w:color w:val="000000"/>
                <w:sz w:val="22"/>
                <w:szCs w:val="22"/>
              </w:rPr>
              <w:t>3394.10</w:t>
            </w:r>
          </w:p>
        </w:tc>
        <w:tc>
          <w:tcPr>
            <w:tcW w:w="938" w:type="pct"/>
            <w:shd w:val="clear" w:color="auto" w:fill="auto"/>
            <w:noWrap/>
            <w:vAlign w:val="center"/>
            <w:hideMark/>
          </w:tcPr>
          <w:p w:rsidR="009B19CF" w:rsidRPr="009B19CF" w:rsidRDefault="00E34329" w:rsidP="00D920F1">
            <w:pPr>
              <w:spacing w:before="0"/>
              <w:jc w:val="right"/>
              <w:rPr>
                <w:rFonts w:cs="Calibri"/>
                <w:color w:val="000000"/>
                <w:sz w:val="22"/>
                <w:szCs w:val="22"/>
              </w:rPr>
            </w:pPr>
            <w:r w:rsidRPr="00E34329">
              <w:rPr>
                <w:color w:val="000000"/>
                <w:sz w:val="22"/>
                <w:szCs w:val="22"/>
              </w:rPr>
              <w:t>1979.03</w:t>
            </w:r>
          </w:p>
        </w:tc>
      </w:tr>
      <w:tr w:rsidR="009B19CF" w:rsidRPr="00CB5126" w:rsidTr="00D920F1">
        <w:trPr>
          <w:trHeight w:val="300"/>
          <w:jc w:val="center"/>
        </w:trPr>
        <w:tc>
          <w:tcPr>
            <w:tcW w:w="3100" w:type="pct"/>
            <w:shd w:val="clear" w:color="auto" w:fill="auto"/>
            <w:vAlign w:val="center"/>
            <w:hideMark/>
          </w:tcPr>
          <w:p w:rsidR="009B19CF" w:rsidRDefault="009B19CF" w:rsidP="00D920F1">
            <w:pPr>
              <w:spacing w:before="0" w:line="240" w:lineRule="auto"/>
              <w:jc w:val="left"/>
              <w:rPr>
                <w:rFonts w:cstheme="minorHAnsi"/>
                <w:sz w:val="22"/>
                <w:szCs w:val="22"/>
              </w:rPr>
            </w:pPr>
            <w:r w:rsidRPr="00CB5126">
              <w:rPr>
                <w:rFonts w:cstheme="minorHAnsi"/>
                <w:color w:val="000000"/>
                <w:sz w:val="22"/>
                <w:szCs w:val="22"/>
              </w:rPr>
              <w:t>Revenue Gap / (Surplus) for FY 2016</w:t>
            </w:r>
            <w:r>
              <w:rPr>
                <w:rFonts w:cstheme="minorHAnsi"/>
                <w:color w:val="000000"/>
                <w:sz w:val="22"/>
                <w:szCs w:val="22"/>
              </w:rPr>
              <w:t>-17</w:t>
            </w:r>
            <w:r w:rsidRPr="00CB5126">
              <w:rPr>
                <w:rFonts w:cstheme="minorHAnsi"/>
                <w:color w:val="000000"/>
                <w:sz w:val="22"/>
                <w:szCs w:val="22"/>
              </w:rPr>
              <w:t xml:space="preserve"> (at existing Tariff)</w:t>
            </w:r>
          </w:p>
        </w:tc>
        <w:tc>
          <w:tcPr>
            <w:tcW w:w="962" w:type="pct"/>
            <w:vAlign w:val="center"/>
          </w:tcPr>
          <w:p w:rsidR="009B19CF" w:rsidRPr="009B19CF" w:rsidRDefault="00E34329" w:rsidP="00D920F1">
            <w:pPr>
              <w:spacing w:before="0" w:line="240" w:lineRule="auto"/>
              <w:jc w:val="right"/>
              <w:rPr>
                <w:rFonts w:cstheme="minorHAnsi"/>
                <w:color w:val="000000"/>
                <w:sz w:val="22"/>
                <w:szCs w:val="22"/>
              </w:rPr>
            </w:pPr>
            <w:r w:rsidRPr="00E34329">
              <w:rPr>
                <w:color w:val="000000"/>
                <w:sz w:val="22"/>
                <w:szCs w:val="22"/>
              </w:rPr>
              <w:t>3110.29</w:t>
            </w:r>
          </w:p>
        </w:tc>
        <w:tc>
          <w:tcPr>
            <w:tcW w:w="938" w:type="pct"/>
            <w:shd w:val="clear" w:color="auto" w:fill="auto"/>
            <w:noWrap/>
            <w:vAlign w:val="center"/>
            <w:hideMark/>
          </w:tcPr>
          <w:p w:rsidR="009B19CF" w:rsidRPr="009B19CF" w:rsidRDefault="00E34329" w:rsidP="00D920F1">
            <w:pPr>
              <w:spacing w:before="0"/>
              <w:jc w:val="right"/>
              <w:rPr>
                <w:rFonts w:cs="Calibri"/>
                <w:color w:val="000000"/>
                <w:sz w:val="22"/>
                <w:szCs w:val="22"/>
              </w:rPr>
            </w:pPr>
            <w:r w:rsidRPr="00E34329">
              <w:rPr>
                <w:color w:val="000000"/>
                <w:sz w:val="22"/>
                <w:szCs w:val="22"/>
              </w:rPr>
              <w:t>1839.49</w:t>
            </w:r>
          </w:p>
        </w:tc>
      </w:tr>
      <w:tr w:rsidR="009B19CF" w:rsidRPr="00CB5126" w:rsidTr="00D920F1">
        <w:trPr>
          <w:trHeight w:val="300"/>
          <w:jc w:val="center"/>
        </w:trPr>
        <w:tc>
          <w:tcPr>
            <w:tcW w:w="3100" w:type="pct"/>
            <w:shd w:val="clear" w:color="auto" w:fill="auto"/>
            <w:vAlign w:val="bottom"/>
            <w:hideMark/>
          </w:tcPr>
          <w:p w:rsidR="009B19CF" w:rsidRPr="00CB5126" w:rsidRDefault="009B19CF" w:rsidP="00D920F1">
            <w:pPr>
              <w:spacing w:before="0" w:line="240" w:lineRule="auto"/>
              <w:rPr>
                <w:rFonts w:cstheme="minorHAnsi"/>
                <w:color w:val="000000"/>
                <w:sz w:val="22"/>
                <w:szCs w:val="22"/>
              </w:rPr>
            </w:pPr>
            <w:r w:rsidRPr="00CB5126">
              <w:rPr>
                <w:rFonts w:cstheme="minorHAnsi"/>
                <w:color w:val="000000"/>
                <w:sz w:val="22"/>
                <w:szCs w:val="22"/>
              </w:rPr>
              <w:t xml:space="preserve">Increase in Revenue due to revision in Tariff </w:t>
            </w:r>
          </w:p>
        </w:tc>
        <w:tc>
          <w:tcPr>
            <w:tcW w:w="962" w:type="pct"/>
            <w:vAlign w:val="center"/>
          </w:tcPr>
          <w:p w:rsidR="009B19CF" w:rsidRPr="009B19CF" w:rsidRDefault="00E34329" w:rsidP="00D920F1">
            <w:pPr>
              <w:spacing w:before="0" w:line="240" w:lineRule="auto"/>
              <w:jc w:val="right"/>
              <w:rPr>
                <w:rFonts w:cstheme="minorHAnsi"/>
                <w:color w:val="000000"/>
                <w:sz w:val="22"/>
                <w:szCs w:val="22"/>
              </w:rPr>
            </w:pPr>
            <w:r w:rsidRPr="00E34329">
              <w:rPr>
                <w:color w:val="000000"/>
                <w:sz w:val="22"/>
                <w:szCs w:val="22"/>
              </w:rPr>
              <w:t>454.22</w:t>
            </w:r>
          </w:p>
        </w:tc>
        <w:tc>
          <w:tcPr>
            <w:tcW w:w="938" w:type="pct"/>
            <w:shd w:val="clear" w:color="auto" w:fill="auto"/>
            <w:noWrap/>
            <w:vAlign w:val="center"/>
            <w:hideMark/>
          </w:tcPr>
          <w:p w:rsidR="009B19CF" w:rsidRPr="009B19CF" w:rsidRDefault="00E34329" w:rsidP="00D920F1">
            <w:pPr>
              <w:spacing w:before="0"/>
              <w:jc w:val="right"/>
              <w:rPr>
                <w:rFonts w:cs="Calibri"/>
                <w:color w:val="000000"/>
                <w:sz w:val="22"/>
                <w:szCs w:val="22"/>
              </w:rPr>
            </w:pPr>
            <w:r w:rsidRPr="00E34329">
              <w:rPr>
                <w:color w:val="000000"/>
                <w:sz w:val="22"/>
                <w:szCs w:val="22"/>
              </w:rPr>
              <w:t>237.59</w:t>
            </w:r>
          </w:p>
        </w:tc>
      </w:tr>
      <w:tr w:rsidR="009B19CF" w:rsidRPr="00CB5126" w:rsidTr="00D920F1">
        <w:trPr>
          <w:trHeight w:val="300"/>
          <w:jc w:val="center"/>
        </w:trPr>
        <w:tc>
          <w:tcPr>
            <w:tcW w:w="3100" w:type="pct"/>
            <w:shd w:val="clear" w:color="auto" w:fill="auto"/>
            <w:vAlign w:val="bottom"/>
            <w:hideMark/>
          </w:tcPr>
          <w:p w:rsidR="009B19CF" w:rsidRDefault="009B19CF" w:rsidP="00D920F1">
            <w:pPr>
              <w:spacing w:before="0" w:line="240" w:lineRule="auto"/>
              <w:rPr>
                <w:rFonts w:cstheme="minorHAnsi"/>
                <w:color w:val="000000"/>
                <w:sz w:val="22"/>
                <w:szCs w:val="22"/>
              </w:rPr>
            </w:pPr>
            <w:r w:rsidRPr="00CB5126">
              <w:rPr>
                <w:rFonts w:cstheme="minorHAnsi"/>
                <w:color w:val="000000"/>
                <w:sz w:val="22"/>
                <w:szCs w:val="22"/>
              </w:rPr>
              <w:t>Total</w:t>
            </w:r>
            <w:r w:rsidR="0066347E">
              <w:rPr>
                <w:rFonts w:cstheme="minorHAnsi"/>
                <w:color w:val="000000"/>
                <w:sz w:val="22"/>
                <w:szCs w:val="22"/>
              </w:rPr>
              <w:t xml:space="preserve"> R</w:t>
            </w:r>
            <w:r w:rsidRPr="00CB5126">
              <w:rPr>
                <w:rFonts w:cstheme="minorHAnsi"/>
                <w:color w:val="000000"/>
                <w:sz w:val="22"/>
                <w:szCs w:val="22"/>
              </w:rPr>
              <w:t>evenue for FY 2016</w:t>
            </w:r>
            <w:r>
              <w:rPr>
                <w:rFonts w:cstheme="minorHAnsi"/>
                <w:color w:val="000000"/>
                <w:sz w:val="22"/>
                <w:szCs w:val="22"/>
              </w:rPr>
              <w:t>-17</w:t>
            </w:r>
            <w:r w:rsidRPr="00CB5126">
              <w:rPr>
                <w:rFonts w:cstheme="minorHAnsi"/>
                <w:color w:val="000000"/>
                <w:sz w:val="22"/>
                <w:szCs w:val="22"/>
              </w:rPr>
              <w:t xml:space="preserve"> (Excluding Regulatory Surcharge)</w:t>
            </w:r>
          </w:p>
        </w:tc>
        <w:tc>
          <w:tcPr>
            <w:tcW w:w="962" w:type="pct"/>
            <w:vAlign w:val="center"/>
          </w:tcPr>
          <w:p w:rsidR="009B19CF" w:rsidRPr="009B19CF" w:rsidRDefault="00E34329" w:rsidP="00D920F1">
            <w:pPr>
              <w:spacing w:before="0" w:line="240" w:lineRule="auto"/>
              <w:jc w:val="right"/>
              <w:rPr>
                <w:rFonts w:cstheme="minorHAnsi"/>
                <w:color w:val="000000"/>
                <w:sz w:val="22"/>
                <w:szCs w:val="22"/>
              </w:rPr>
            </w:pPr>
            <w:r w:rsidRPr="00E34329">
              <w:rPr>
                <w:color w:val="000000"/>
                <w:sz w:val="22"/>
                <w:szCs w:val="22"/>
              </w:rPr>
              <w:t>10910.87</w:t>
            </w:r>
          </w:p>
        </w:tc>
        <w:tc>
          <w:tcPr>
            <w:tcW w:w="938" w:type="pct"/>
            <w:shd w:val="clear" w:color="auto" w:fill="auto"/>
            <w:noWrap/>
            <w:vAlign w:val="center"/>
            <w:hideMark/>
          </w:tcPr>
          <w:p w:rsidR="009B19CF" w:rsidRPr="009B19CF" w:rsidRDefault="00E34329" w:rsidP="00D920F1">
            <w:pPr>
              <w:spacing w:before="0"/>
              <w:jc w:val="right"/>
              <w:rPr>
                <w:rFonts w:cs="Calibri"/>
                <w:color w:val="000000"/>
                <w:sz w:val="22"/>
                <w:szCs w:val="22"/>
              </w:rPr>
            </w:pPr>
            <w:r w:rsidRPr="00E34329">
              <w:rPr>
                <w:color w:val="000000"/>
                <w:sz w:val="22"/>
                <w:szCs w:val="22"/>
              </w:rPr>
              <w:t>10553.24</w:t>
            </w:r>
          </w:p>
        </w:tc>
      </w:tr>
      <w:tr w:rsidR="009B19CF" w:rsidRPr="00CB5126" w:rsidTr="00D920F1">
        <w:trPr>
          <w:trHeight w:val="300"/>
          <w:jc w:val="center"/>
        </w:trPr>
        <w:tc>
          <w:tcPr>
            <w:tcW w:w="3100" w:type="pct"/>
            <w:shd w:val="clear" w:color="auto" w:fill="auto"/>
            <w:vAlign w:val="center"/>
            <w:hideMark/>
          </w:tcPr>
          <w:p w:rsidR="009B19CF" w:rsidRDefault="009B19CF" w:rsidP="00D920F1">
            <w:pPr>
              <w:spacing w:before="0" w:line="240" w:lineRule="auto"/>
              <w:rPr>
                <w:rFonts w:cstheme="minorHAnsi"/>
                <w:b/>
                <w:i/>
                <w:sz w:val="22"/>
                <w:szCs w:val="22"/>
              </w:rPr>
            </w:pPr>
            <w:r w:rsidRPr="00CB5126">
              <w:rPr>
                <w:rFonts w:cstheme="minorHAnsi"/>
                <w:b/>
                <w:color w:val="000000"/>
                <w:sz w:val="22"/>
                <w:szCs w:val="22"/>
              </w:rPr>
              <w:t>Net Revenue Gap for FY 2016</w:t>
            </w:r>
            <w:r>
              <w:rPr>
                <w:rFonts w:cstheme="minorHAnsi"/>
                <w:b/>
                <w:color w:val="000000"/>
                <w:sz w:val="22"/>
                <w:szCs w:val="22"/>
              </w:rPr>
              <w:t>-17</w:t>
            </w:r>
            <w:r w:rsidRPr="00CB5126">
              <w:rPr>
                <w:rFonts w:cstheme="minorHAnsi"/>
                <w:b/>
                <w:color w:val="000000"/>
                <w:sz w:val="22"/>
                <w:szCs w:val="22"/>
              </w:rPr>
              <w:t xml:space="preserve"> after tariff increase (Including gap for FY 2013</w:t>
            </w:r>
            <w:r>
              <w:rPr>
                <w:rFonts w:cstheme="minorHAnsi"/>
                <w:b/>
                <w:color w:val="000000"/>
                <w:sz w:val="22"/>
                <w:szCs w:val="22"/>
              </w:rPr>
              <w:t>-14</w:t>
            </w:r>
            <w:r w:rsidRPr="00CB5126">
              <w:rPr>
                <w:rFonts w:cstheme="minorHAnsi"/>
                <w:b/>
                <w:color w:val="000000"/>
                <w:sz w:val="22"/>
                <w:szCs w:val="22"/>
              </w:rPr>
              <w:t>)</w:t>
            </w:r>
          </w:p>
        </w:tc>
        <w:tc>
          <w:tcPr>
            <w:tcW w:w="962" w:type="pct"/>
            <w:vAlign w:val="center"/>
          </w:tcPr>
          <w:p w:rsidR="009B19CF" w:rsidRPr="009B19CF" w:rsidRDefault="00E34329" w:rsidP="00D920F1">
            <w:pPr>
              <w:spacing w:before="0" w:line="240" w:lineRule="auto"/>
              <w:jc w:val="right"/>
              <w:rPr>
                <w:rFonts w:cstheme="minorHAnsi"/>
                <w:b/>
                <w:color w:val="000000"/>
                <w:sz w:val="22"/>
                <w:szCs w:val="22"/>
              </w:rPr>
            </w:pPr>
            <w:r w:rsidRPr="00E34329">
              <w:rPr>
                <w:color w:val="000000"/>
                <w:sz w:val="22"/>
                <w:szCs w:val="22"/>
              </w:rPr>
              <w:t>6050.17</w:t>
            </w:r>
          </w:p>
        </w:tc>
        <w:tc>
          <w:tcPr>
            <w:tcW w:w="938" w:type="pct"/>
            <w:shd w:val="clear" w:color="auto" w:fill="auto"/>
            <w:noWrap/>
            <w:vAlign w:val="center"/>
            <w:hideMark/>
          </w:tcPr>
          <w:p w:rsidR="009B19CF" w:rsidRPr="009B19CF" w:rsidRDefault="00E34329" w:rsidP="00D920F1">
            <w:pPr>
              <w:spacing w:before="0"/>
              <w:jc w:val="right"/>
              <w:rPr>
                <w:rFonts w:cs="Calibri"/>
                <w:b/>
                <w:color w:val="000000"/>
                <w:sz w:val="22"/>
                <w:szCs w:val="22"/>
              </w:rPr>
            </w:pPr>
            <w:r w:rsidRPr="00E34329">
              <w:rPr>
                <w:color w:val="000000"/>
                <w:sz w:val="22"/>
                <w:szCs w:val="22"/>
              </w:rPr>
              <w:t>3580.93</w:t>
            </w:r>
          </w:p>
        </w:tc>
      </w:tr>
    </w:tbl>
    <w:p w:rsidR="009B19CF" w:rsidRPr="00CB5126" w:rsidRDefault="009B19CF" w:rsidP="009B19CF">
      <w:pPr>
        <w:spacing w:before="0"/>
        <w:rPr>
          <w:rFonts w:cstheme="minorHAnsi"/>
        </w:rPr>
      </w:pPr>
    </w:p>
    <w:p w:rsidR="009B19CF" w:rsidRPr="00CB5126" w:rsidRDefault="009B19CF" w:rsidP="009B19CF">
      <w:pPr>
        <w:pStyle w:val="Heading2"/>
        <w:keepNext/>
        <w:numPr>
          <w:ilvl w:val="0"/>
          <w:numId w:val="0"/>
        </w:numPr>
        <w:autoSpaceDE/>
        <w:autoSpaceDN/>
        <w:adjustRightInd/>
        <w:spacing w:before="0" w:line="276" w:lineRule="auto"/>
        <w:ind w:left="990"/>
        <w:contextualSpacing w:val="0"/>
      </w:pPr>
      <w:bookmarkStart w:id="1807" w:name="_Toc336615951"/>
      <w:bookmarkStart w:id="1808" w:name="_Toc336608365"/>
      <w:bookmarkStart w:id="1809" w:name="_Toc336574924"/>
      <w:bookmarkStart w:id="1810" w:name="_Toc357345051"/>
      <w:bookmarkStart w:id="1811" w:name="_Toc357714427"/>
      <w:bookmarkStart w:id="1812" w:name="_Toc397332176"/>
      <w:bookmarkStart w:id="1813" w:name="_Toc399320604"/>
      <w:bookmarkStart w:id="1814" w:name="_Toc399623763"/>
    </w:p>
    <w:p w:rsidR="00D5771F" w:rsidRDefault="009B19CF">
      <w:pPr>
        <w:pStyle w:val="Heading2"/>
        <w:keepNext/>
        <w:autoSpaceDE/>
        <w:autoSpaceDN/>
        <w:adjustRightInd/>
        <w:spacing w:before="0" w:line="276" w:lineRule="auto"/>
        <w:ind w:left="990" w:hanging="990"/>
        <w:contextualSpacing w:val="0"/>
      </w:pPr>
      <w:bookmarkStart w:id="1815" w:name="_Toc422161713"/>
      <w:bookmarkStart w:id="1816" w:name="_Toc422134673"/>
      <w:bookmarkStart w:id="1817" w:name="_Toc422307104"/>
      <w:bookmarkStart w:id="1818" w:name="_Toc455311783"/>
      <w:bookmarkStart w:id="1819" w:name="_Toc457603978"/>
      <w:r w:rsidRPr="00CB5126">
        <w:t>AVERAGE COST OF SUPPLY</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rsidR="00D5771F" w:rsidRDefault="009B19CF">
      <w:pPr>
        <w:pStyle w:val="Heading3"/>
        <w:tabs>
          <w:tab w:val="clear" w:pos="720"/>
        </w:tabs>
        <w:ind w:left="993" w:hanging="993"/>
        <w:rPr>
          <w:rFonts w:asciiTheme="minorHAnsi" w:hAnsiTheme="minorHAnsi" w:cstheme="minorHAnsi"/>
          <w:szCs w:val="24"/>
        </w:rPr>
      </w:pPr>
      <w:r w:rsidRPr="00CB5126">
        <w:rPr>
          <w:rFonts w:asciiTheme="minorHAnsi" w:hAnsiTheme="minorHAnsi" w:cstheme="minorHAnsi"/>
          <w:szCs w:val="24"/>
        </w:rPr>
        <w:t>As discussed earlier, the Commission has taken into consideration the percentage increase in Tariff with respect to Average Cost of Supply while approving the tariff. For instance during FY 2016</w:t>
      </w:r>
      <w:r>
        <w:rPr>
          <w:rFonts w:asciiTheme="minorHAnsi" w:hAnsiTheme="minorHAnsi" w:cstheme="minorHAnsi"/>
          <w:szCs w:val="24"/>
        </w:rPr>
        <w:t>-17</w:t>
      </w:r>
      <w:r w:rsidRPr="00CB5126">
        <w:rPr>
          <w:rFonts w:asciiTheme="minorHAnsi" w:hAnsiTheme="minorHAnsi" w:cstheme="minorHAnsi"/>
          <w:szCs w:val="24"/>
        </w:rPr>
        <w:t xml:space="preserve">, the average billing rate (ABR) at existing Tariff would have been Rs. </w:t>
      </w:r>
      <w:r>
        <w:rPr>
          <w:rFonts w:asciiTheme="minorHAnsi" w:hAnsiTheme="minorHAnsi" w:cstheme="minorHAnsi"/>
          <w:szCs w:val="24"/>
        </w:rPr>
        <w:t>5.29</w:t>
      </w:r>
      <w:r w:rsidRPr="00CB5126">
        <w:rPr>
          <w:rFonts w:asciiTheme="minorHAnsi" w:hAnsiTheme="minorHAnsi" w:cstheme="minorHAnsi"/>
          <w:szCs w:val="24"/>
        </w:rPr>
        <w:t xml:space="preserve"> / kWh (Consolidated for Distribution Licensees’ namely DVVNL, MVVNL, PVVNL and PuVVNL), while the average cost of supply is Rs. 6.</w:t>
      </w:r>
      <w:r>
        <w:rPr>
          <w:rFonts w:asciiTheme="minorHAnsi" w:hAnsiTheme="minorHAnsi" w:cstheme="minorHAnsi"/>
          <w:szCs w:val="24"/>
        </w:rPr>
        <w:t xml:space="preserve">35 </w:t>
      </w:r>
      <w:r w:rsidRPr="00CB5126">
        <w:rPr>
          <w:rFonts w:asciiTheme="minorHAnsi" w:hAnsiTheme="minorHAnsi" w:cstheme="minorHAnsi"/>
          <w:szCs w:val="24"/>
        </w:rPr>
        <w:t xml:space="preserve">/kWh (Consolidated for Distribution Licensees’ namely DVVNL, MVVNL, PVVNL and PuVVNL) as against the ACOS of Rs. </w:t>
      </w:r>
      <w:r>
        <w:rPr>
          <w:rFonts w:asciiTheme="minorHAnsi" w:hAnsiTheme="minorHAnsi" w:cstheme="minorHAnsi"/>
          <w:szCs w:val="24"/>
        </w:rPr>
        <w:t>6.71</w:t>
      </w:r>
      <w:r w:rsidRPr="00CB5126">
        <w:rPr>
          <w:rFonts w:asciiTheme="minorHAnsi" w:hAnsiTheme="minorHAnsi" w:cstheme="minorHAnsi"/>
          <w:szCs w:val="24"/>
        </w:rPr>
        <w:t xml:space="preserve"> / kWh projected by the Licensees. Thus, the Tariff would have been </w:t>
      </w:r>
      <w:r>
        <w:rPr>
          <w:rFonts w:asciiTheme="minorHAnsi" w:hAnsiTheme="minorHAnsi" w:cstheme="minorHAnsi"/>
          <w:szCs w:val="24"/>
        </w:rPr>
        <w:t>83.3</w:t>
      </w:r>
      <w:r w:rsidR="00E5193E">
        <w:rPr>
          <w:rFonts w:asciiTheme="minorHAnsi" w:hAnsiTheme="minorHAnsi" w:cstheme="minorHAnsi"/>
          <w:szCs w:val="24"/>
        </w:rPr>
        <w:t>1</w:t>
      </w:r>
      <w:r w:rsidRPr="00CB5126">
        <w:rPr>
          <w:rFonts w:asciiTheme="minorHAnsi" w:hAnsiTheme="minorHAnsi" w:cstheme="minorHAnsi"/>
          <w:szCs w:val="24"/>
        </w:rPr>
        <w:t xml:space="preserve"> % of ACOS approved by the Commission. After revision of the Tariff, as approved in this Order, the average billing rate (ABR) would be Rs. 5.</w:t>
      </w:r>
      <w:r>
        <w:rPr>
          <w:rFonts w:asciiTheme="minorHAnsi" w:hAnsiTheme="minorHAnsi" w:cstheme="minorHAnsi"/>
          <w:szCs w:val="24"/>
        </w:rPr>
        <w:t>55</w:t>
      </w:r>
      <w:r w:rsidRPr="00CB5126">
        <w:rPr>
          <w:rFonts w:asciiTheme="minorHAnsi" w:hAnsiTheme="minorHAnsi" w:cstheme="minorHAnsi"/>
          <w:szCs w:val="24"/>
        </w:rPr>
        <w:t xml:space="preserve"> / kWh, thus, the Tariff would be </w:t>
      </w:r>
      <w:r>
        <w:rPr>
          <w:rFonts w:asciiTheme="minorHAnsi" w:hAnsiTheme="minorHAnsi" w:cstheme="minorHAnsi"/>
          <w:szCs w:val="24"/>
        </w:rPr>
        <w:t>8</w:t>
      </w:r>
      <w:r w:rsidRPr="00CB5126">
        <w:rPr>
          <w:rFonts w:asciiTheme="minorHAnsi" w:hAnsiTheme="minorHAnsi" w:cstheme="minorHAnsi"/>
          <w:szCs w:val="24"/>
        </w:rPr>
        <w:t>7</w:t>
      </w:r>
      <w:r>
        <w:rPr>
          <w:rFonts w:asciiTheme="minorHAnsi" w:hAnsiTheme="minorHAnsi" w:cstheme="minorHAnsi"/>
          <w:szCs w:val="24"/>
        </w:rPr>
        <w:t>.</w:t>
      </w:r>
      <w:r w:rsidR="00E5193E">
        <w:rPr>
          <w:rFonts w:asciiTheme="minorHAnsi" w:hAnsiTheme="minorHAnsi" w:cstheme="minorHAnsi"/>
          <w:szCs w:val="24"/>
        </w:rPr>
        <w:t>29</w:t>
      </w:r>
      <w:r w:rsidRPr="00CB5126">
        <w:rPr>
          <w:rFonts w:asciiTheme="minorHAnsi" w:hAnsiTheme="minorHAnsi" w:cstheme="minorHAnsi"/>
          <w:szCs w:val="24"/>
        </w:rPr>
        <w:t xml:space="preserve"> % of ACOS, which is a step towards achieving / keeping the Tariff within +/- 20% of Average Cost of Supply as per the Tariff Policy.</w:t>
      </w:r>
    </w:p>
    <w:p w:rsidR="00D5771F" w:rsidRDefault="009B19CF">
      <w:pPr>
        <w:pStyle w:val="Heading3"/>
        <w:tabs>
          <w:tab w:val="clear" w:pos="720"/>
        </w:tabs>
        <w:ind w:left="993" w:hanging="993"/>
        <w:rPr>
          <w:rFonts w:asciiTheme="minorHAnsi" w:hAnsiTheme="minorHAnsi" w:cstheme="minorHAnsi"/>
          <w:szCs w:val="24"/>
        </w:rPr>
      </w:pPr>
      <w:r w:rsidRPr="00CB5126">
        <w:rPr>
          <w:rFonts w:asciiTheme="minorHAnsi" w:hAnsiTheme="minorHAnsi" w:cstheme="minorHAnsi"/>
          <w:szCs w:val="24"/>
        </w:rPr>
        <w:t xml:space="preserve">In the instant Tariff Order, the cross subsidy structure has marginally changed as the ACOS has not undergone any significant change, however, for the recovery of accumulated revenue gap the tariff has been increased to some extent. The table below summarises the per unit revenue realisation (average billing rate) as a percentage of ACOS (Consolidated for Distribution Licensees’ namely DVVNL, MVVNL, PVVNL and PuVVNL).   </w:t>
      </w:r>
    </w:p>
    <w:p w:rsidR="009B19CF" w:rsidRDefault="009B19CF" w:rsidP="009B19CF">
      <w:pPr>
        <w:pStyle w:val="Heading3"/>
        <w:numPr>
          <w:ilvl w:val="0"/>
          <w:numId w:val="0"/>
        </w:numPr>
        <w:spacing w:before="0"/>
        <w:ind w:left="720"/>
        <w:rPr>
          <w:rFonts w:asciiTheme="minorHAnsi" w:hAnsiTheme="minorHAnsi" w:cstheme="minorHAnsi"/>
          <w:szCs w:val="24"/>
        </w:rPr>
      </w:pPr>
    </w:p>
    <w:p w:rsidR="002078A1" w:rsidRPr="00CB5126" w:rsidRDefault="002078A1" w:rsidP="009B19CF">
      <w:pPr>
        <w:pStyle w:val="Heading3"/>
        <w:numPr>
          <w:ilvl w:val="0"/>
          <w:numId w:val="0"/>
        </w:numPr>
        <w:spacing w:before="0"/>
        <w:ind w:left="720"/>
        <w:rPr>
          <w:rFonts w:asciiTheme="minorHAnsi" w:hAnsiTheme="minorHAnsi" w:cstheme="minorHAnsi"/>
          <w:szCs w:val="24"/>
        </w:rPr>
      </w:pPr>
    </w:p>
    <w:p w:rsidR="009B19CF" w:rsidRPr="00D14AAD" w:rsidRDefault="006C63AF" w:rsidP="009B19CF">
      <w:pPr>
        <w:pStyle w:val="Caption"/>
        <w:keepNext/>
        <w:spacing w:line="276" w:lineRule="auto"/>
        <w:rPr>
          <w:rFonts w:asciiTheme="minorHAnsi" w:hAnsiTheme="minorHAnsi" w:cstheme="minorHAnsi"/>
          <w:sz w:val="22"/>
          <w:szCs w:val="24"/>
        </w:rPr>
      </w:pPr>
      <w:bookmarkStart w:id="1820" w:name="_Toc336616149"/>
      <w:bookmarkStart w:id="1821" w:name="_Toc336608565"/>
      <w:bookmarkStart w:id="1822" w:name="_Toc336572530"/>
      <w:bookmarkStart w:id="1823" w:name="_Toc338310729"/>
      <w:bookmarkStart w:id="1824" w:name="_Toc338419558"/>
      <w:bookmarkStart w:id="1825" w:name="_Toc357719757"/>
      <w:bookmarkStart w:id="1826" w:name="_Toc397332365"/>
      <w:bookmarkStart w:id="1827" w:name="_Toc399324270"/>
      <w:bookmarkStart w:id="1828" w:name="_Toc399624144"/>
      <w:bookmarkStart w:id="1829" w:name="_Toc422161829"/>
      <w:bookmarkStart w:id="1830" w:name="_Toc422307220"/>
      <w:bookmarkStart w:id="1831" w:name="_Toc457604090"/>
      <w:r w:rsidRPr="006C63AF">
        <w:rPr>
          <w:rFonts w:asciiTheme="minorHAnsi" w:hAnsiTheme="minorHAnsi" w:cstheme="minorHAnsi"/>
          <w:sz w:val="22"/>
          <w:szCs w:val="24"/>
        </w:rPr>
        <w:lastRenderedPageBreak/>
        <w:t>Table 8</w:t>
      </w:r>
      <w:r w:rsidRPr="006C63AF">
        <w:rPr>
          <w:rFonts w:asciiTheme="minorHAnsi" w:hAnsiTheme="minorHAnsi" w:cstheme="minorHAnsi"/>
          <w:sz w:val="22"/>
          <w:szCs w:val="24"/>
        </w:rPr>
        <w:noBreakHyphen/>
      </w:r>
      <w:r w:rsidR="009741CA" w:rsidRPr="006C63AF">
        <w:rPr>
          <w:rFonts w:asciiTheme="minorHAnsi" w:hAnsiTheme="minorHAnsi" w:cstheme="minorHAnsi"/>
          <w:sz w:val="22"/>
          <w:szCs w:val="24"/>
        </w:rPr>
        <w:fldChar w:fldCharType="begin"/>
      </w:r>
      <w:r w:rsidRPr="006C63AF">
        <w:rPr>
          <w:rFonts w:asciiTheme="minorHAnsi" w:hAnsiTheme="minorHAnsi" w:cstheme="minorHAnsi"/>
          <w:sz w:val="22"/>
          <w:szCs w:val="24"/>
        </w:rPr>
        <w:instrText xml:space="preserve"> SEQ Table \* ARABIC \s 1 </w:instrText>
      </w:r>
      <w:r w:rsidR="009741CA" w:rsidRPr="006C63AF">
        <w:rPr>
          <w:rFonts w:asciiTheme="minorHAnsi" w:hAnsiTheme="minorHAnsi" w:cstheme="minorHAnsi"/>
          <w:sz w:val="22"/>
          <w:szCs w:val="24"/>
        </w:rPr>
        <w:fldChar w:fldCharType="separate"/>
      </w:r>
      <w:r w:rsidR="00BA08F0">
        <w:rPr>
          <w:rFonts w:asciiTheme="minorHAnsi" w:hAnsiTheme="minorHAnsi" w:cstheme="minorHAnsi"/>
          <w:noProof/>
          <w:sz w:val="22"/>
          <w:szCs w:val="24"/>
        </w:rPr>
        <w:t>3</w:t>
      </w:r>
      <w:r w:rsidR="009741CA" w:rsidRPr="006C63AF">
        <w:rPr>
          <w:rFonts w:asciiTheme="minorHAnsi" w:hAnsiTheme="minorHAnsi" w:cstheme="minorHAnsi"/>
          <w:sz w:val="22"/>
          <w:szCs w:val="24"/>
        </w:rPr>
        <w:fldChar w:fldCharType="end"/>
      </w:r>
      <w:r w:rsidRPr="006C63AF">
        <w:rPr>
          <w:rFonts w:asciiTheme="minorHAnsi" w:hAnsiTheme="minorHAnsi" w:cstheme="minorHAnsi"/>
          <w:sz w:val="22"/>
          <w:szCs w:val="24"/>
        </w:rPr>
        <w:t xml:space="preserve">: </w:t>
      </w:r>
      <w:bookmarkEnd w:id="1820"/>
      <w:bookmarkEnd w:id="1821"/>
      <w:bookmarkEnd w:id="1822"/>
      <w:r w:rsidRPr="006C63AF">
        <w:rPr>
          <w:rFonts w:asciiTheme="minorHAnsi" w:hAnsiTheme="minorHAnsi" w:cstheme="minorHAnsi"/>
          <w:sz w:val="22"/>
          <w:szCs w:val="24"/>
        </w:rPr>
        <w:t>REVENUE REALIZED AS % OF ACOS</w:t>
      </w:r>
      <w:bookmarkEnd w:id="1823"/>
      <w:bookmarkEnd w:id="1824"/>
      <w:bookmarkEnd w:id="1825"/>
      <w:bookmarkEnd w:id="1826"/>
      <w:bookmarkEnd w:id="1827"/>
      <w:bookmarkEnd w:id="1828"/>
      <w:bookmarkEnd w:id="1829"/>
      <w:bookmarkEnd w:id="1830"/>
      <w:bookmarkEnd w:id="1831"/>
    </w:p>
    <w:tbl>
      <w:tblPr>
        <w:tblW w:w="8636"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43"/>
        <w:gridCol w:w="1328"/>
        <w:gridCol w:w="1515"/>
        <w:gridCol w:w="1135"/>
        <w:gridCol w:w="1515"/>
      </w:tblGrid>
      <w:tr w:rsidR="009B19CF" w:rsidRPr="00CB5126" w:rsidTr="00E5193E">
        <w:trPr>
          <w:trHeight w:val="294"/>
          <w:tblHeader/>
        </w:trPr>
        <w:tc>
          <w:tcPr>
            <w:tcW w:w="3143" w:type="dxa"/>
            <w:vMerge w:val="restart"/>
            <w:shd w:val="clear" w:color="000000" w:fill="DBE5F1"/>
            <w:hideMark/>
          </w:tcPr>
          <w:p w:rsidR="00603835" w:rsidRDefault="009B19CF">
            <w:pPr>
              <w:spacing w:before="0"/>
              <w:jc w:val="center"/>
              <w:rPr>
                <w:b/>
                <w:sz w:val="22"/>
                <w:szCs w:val="22"/>
              </w:rPr>
            </w:pPr>
            <w:r w:rsidRPr="00CB5126">
              <w:rPr>
                <w:b/>
                <w:sz w:val="22"/>
                <w:szCs w:val="22"/>
              </w:rPr>
              <w:t>Consumer Categories</w:t>
            </w:r>
          </w:p>
        </w:tc>
        <w:tc>
          <w:tcPr>
            <w:tcW w:w="2843" w:type="dxa"/>
            <w:gridSpan w:val="2"/>
            <w:shd w:val="clear" w:color="000000" w:fill="DBE5F1"/>
            <w:hideMark/>
          </w:tcPr>
          <w:p w:rsidR="00603835" w:rsidRDefault="009B19CF">
            <w:pPr>
              <w:spacing w:before="0"/>
              <w:jc w:val="center"/>
              <w:rPr>
                <w:b/>
                <w:color w:val="000000"/>
                <w:sz w:val="22"/>
                <w:szCs w:val="22"/>
              </w:rPr>
            </w:pPr>
            <w:r w:rsidRPr="00CB5126">
              <w:rPr>
                <w:b/>
                <w:color w:val="000000"/>
                <w:sz w:val="22"/>
                <w:szCs w:val="22"/>
              </w:rPr>
              <w:t>Existing Tariff</w:t>
            </w:r>
          </w:p>
        </w:tc>
        <w:tc>
          <w:tcPr>
            <w:tcW w:w="2650" w:type="dxa"/>
            <w:gridSpan w:val="2"/>
            <w:shd w:val="clear" w:color="000000" w:fill="DBE5F1"/>
            <w:hideMark/>
          </w:tcPr>
          <w:p w:rsidR="00603835" w:rsidRDefault="009B19CF">
            <w:pPr>
              <w:spacing w:before="0"/>
              <w:jc w:val="center"/>
              <w:rPr>
                <w:b/>
                <w:color w:val="000000"/>
                <w:sz w:val="22"/>
                <w:szCs w:val="22"/>
              </w:rPr>
            </w:pPr>
            <w:r w:rsidRPr="00CB5126">
              <w:rPr>
                <w:b/>
                <w:color w:val="000000"/>
                <w:sz w:val="22"/>
                <w:szCs w:val="22"/>
              </w:rPr>
              <w:t>Revised Tariff</w:t>
            </w:r>
          </w:p>
        </w:tc>
      </w:tr>
      <w:tr w:rsidR="009B19CF" w:rsidRPr="00CB5126" w:rsidTr="00E5193E">
        <w:trPr>
          <w:trHeight w:val="983"/>
          <w:tblHeader/>
        </w:trPr>
        <w:tc>
          <w:tcPr>
            <w:tcW w:w="3143" w:type="dxa"/>
            <w:vMerge/>
            <w:hideMark/>
          </w:tcPr>
          <w:p w:rsidR="00603835" w:rsidRDefault="00603835">
            <w:pPr>
              <w:spacing w:before="0"/>
              <w:jc w:val="center"/>
              <w:rPr>
                <w:rFonts w:cs="Arial"/>
                <w:b/>
                <w:bCs/>
                <w:caps/>
                <w:kern w:val="32"/>
                <w:sz w:val="22"/>
                <w:szCs w:val="22"/>
              </w:rPr>
            </w:pPr>
          </w:p>
        </w:tc>
        <w:tc>
          <w:tcPr>
            <w:tcW w:w="1328" w:type="dxa"/>
            <w:shd w:val="clear" w:color="000000" w:fill="DBE5F1"/>
            <w:hideMark/>
          </w:tcPr>
          <w:p w:rsidR="00603835" w:rsidRDefault="009B19CF">
            <w:pPr>
              <w:spacing w:before="0"/>
              <w:jc w:val="center"/>
              <w:rPr>
                <w:b/>
                <w:color w:val="000000"/>
                <w:sz w:val="22"/>
                <w:szCs w:val="22"/>
              </w:rPr>
            </w:pPr>
            <w:r w:rsidRPr="00CB5126">
              <w:rPr>
                <w:b/>
                <w:color w:val="000000"/>
                <w:sz w:val="22"/>
                <w:szCs w:val="22"/>
              </w:rPr>
              <w:t>Avg Revenue</w:t>
            </w:r>
            <w:r w:rsidRPr="00CB5126">
              <w:rPr>
                <w:b/>
                <w:color w:val="000000"/>
                <w:sz w:val="22"/>
                <w:szCs w:val="22"/>
              </w:rPr>
              <w:br/>
              <w:t>(Rs. / kWh)</w:t>
            </w:r>
          </w:p>
        </w:tc>
        <w:tc>
          <w:tcPr>
            <w:tcW w:w="1515" w:type="dxa"/>
            <w:shd w:val="clear" w:color="000000" w:fill="DBE5F1"/>
            <w:hideMark/>
          </w:tcPr>
          <w:p w:rsidR="00603835" w:rsidRDefault="009B19CF">
            <w:pPr>
              <w:spacing w:before="0"/>
              <w:jc w:val="center"/>
              <w:rPr>
                <w:b/>
                <w:color w:val="000000"/>
                <w:sz w:val="22"/>
                <w:szCs w:val="22"/>
              </w:rPr>
            </w:pPr>
            <w:r w:rsidRPr="00CB5126">
              <w:rPr>
                <w:b/>
                <w:color w:val="000000"/>
                <w:sz w:val="22"/>
                <w:szCs w:val="22"/>
              </w:rPr>
              <w:t>Avg Revenue / unit % of ACOS</w:t>
            </w:r>
          </w:p>
        </w:tc>
        <w:tc>
          <w:tcPr>
            <w:tcW w:w="1135" w:type="dxa"/>
            <w:shd w:val="clear" w:color="000000" w:fill="DBE5F1"/>
            <w:hideMark/>
          </w:tcPr>
          <w:p w:rsidR="00603835" w:rsidRDefault="009B19CF">
            <w:pPr>
              <w:spacing w:before="0"/>
              <w:jc w:val="center"/>
              <w:rPr>
                <w:b/>
                <w:color w:val="000000"/>
                <w:sz w:val="22"/>
                <w:szCs w:val="22"/>
              </w:rPr>
            </w:pPr>
            <w:r w:rsidRPr="00CB5126">
              <w:rPr>
                <w:b/>
                <w:color w:val="000000"/>
                <w:sz w:val="22"/>
                <w:szCs w:val="22"/>
              </w:rPr>
              <w:t>Avg Revenue</w:t>
            </w:r>
            <w:r w:rsidRPr="00CB5126">
              <w:rPr>
                <w:b/>
                <w:color w:val="000000"/>
                <w:sz w:val="22"/>
                <w:szCs w:val="22"/>
              </w:rPr>
              <w:br/>
              <w:t>(Rs. / kWh)</w:t>
            </w:r>
          </w:p>
        </w:tc>
        <w:tc>
          <w:tcPr>
            <w:tcW w:w="1515" w:type="dxa"/>
            <w:shd w:val="clear" w:color="000000" w:fill="DBE5F1"/>
            <w:hideMark/>
          </w:tcPr>
          <w:p w:rsidR="00603835" w:rsidRDefault="009B19CF">
            <w:pPr>
              <w:spacing w:before="0"/>
              <w:jc w:val="center"/>
              <w:rPr>
                <w:b/>
                <w:color w:val="000000"/>
                <w:sz w:val="22"/>
                <w:szCs w:val="22"/>
              </w:rPr>
            </w:pPr>
            <w:r w:rsidRPr="00CB5126">
              <w:rPr>
                <w:b/>
                <w:color w:val="000000"/>
                <w:sz w:val="22"/>
                <w:szCs w:val="22"/>
              </w:rPr>
              <w:t>Avg Revenue / unit % of ACOS</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LMV-1: Domestic</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3.92</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61.66%</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3.92</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61.66%</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LMV-2:Non-Domestic</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6.95</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109.44%</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7.67</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120.65%</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LMV-3: Public Lamps</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7.79</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122.61%</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8.84</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139.08%</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LMV-4: Institutions</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7.40</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116.42%</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7.78</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122.46%</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LMV-5: Private Tube Wells</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1.50</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23.60%</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1.50</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23.60%</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LMV 6: Small and Medium Power</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7.54</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118.69%</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7.99</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125.80%</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LMV-7: Public Water Works</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7.36</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115.88%</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8.32</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130.89%</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LMV-8: State Tube Wells</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7.65</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120.36%</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8.52</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134.10%</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LMV-9: Temporary Supply</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9.19</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144.69%</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10.51</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165.46%</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LMV-10: Departmental Employees</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2.88</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45.39%</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3.18</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50.00%</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HV-1: Non-Industrial Bulk Loads</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8.27</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130.08%</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9.23</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145.24%</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jc w:val="left"/>
              <w:rPr>
                <w:color w:val="000000"/>
                <w:sz w:val="22"/>
                <w:szCs w:val="22"/>
              </w:rPr>
            </w:pPr>
            <w:r w:rsidRPr="00CB5126">
              <w:rPr>
                <w:color w:val="000000"/>
                <w:sz w:val="22"/>
                <w:szCs w:val="22"/>
              </w:rPr>
              <w:t>HV-2: Large and Heavy Power</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7.47</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117.59%</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7.47</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117.59%</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HV-3: Railway Traction</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7.12</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112.12%</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7.86</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123.75%</w:t>
            </w:r>
          </w:p>
        </w:tc>
      </w:tr>
      <w:tr w:rsidR="00E5193E" w:rsidRPr="00CB5126" w:rsidTr="00E5193E">
        <w:trPr>
          <w:trHeight w:val="294"/>
        </w:trPr>
        <w:tc>
          <w:tcPr>
            <w:tcW w:w="3143" w:type="dxa"/>
            <w:shd w:val="clear" w:color="auto" w:fill="auto"/>
            <w:noWrap/>
            <w:vAlign w:val="center"/>
            <w:hideMark/>
          </w:tcPr>
          <w:p w:rsidR="00E5193E" w:rsidRPr="00CB5126" w:rsidRDefault="00E5193E" w:rsidP="00D920F1">
            <w:pPr>
              <w:spacing w:before="0"/>
              <w:rPr>
                <w:color w:val="000000"/>
                <w:sz w:val="22"/>
                <w:szCs w:val="22"/>
              </w:rPr>
            </w:pPr>
            <w:r w:rsidRPr="00CB5126">
              <w:rPr>
                <w:color w:val="000000"/>
                <w:sz w:val="22"/>
                <w:szCs w:val="22"/>
              </w:rPr>
              <w:t>HV-4: Lift Irrigation</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7.87</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123.79%</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8.74</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137.55%</w:t>
            </w:r>
          </w:p>
        </w:tc>
      </w:tr>
      <w:tr w:rsidR="00E5193E" w:rsidRPr="00CB5126" w:rsidTr="00E5193E">
        <w:trPr>
          <w:trHeight w:val="294"/>
        </w:trPr>
        <w:tc>
          <w:tcPr>
            <w:tcW w:w="3143" w:type="dxa"/>
            <w:shd w:val="clear" w:color="auto" w:fill="auto"/>
            <w:noWrap/>
            <w:hideMark/>
          </w:tcPr>
          <w:p w:rsidR="00E5193E" w:rsidRPr="00CB5126" w:rsidRDefault="00E5193E" w:rsidP="00D920F1">
            <w:pPr>
              <w:spacing w:before="0"/>
              <w:rPr>
                <w:b/>
                <w:color w:val="000000"/>
                <w:sz w:val="22"/>
                <w:szCs w:val="22"/>
              </w:rPr>
            </w:pPr>
            <w:r w:rsidRPr="00CB5126">
              <w:rPr>
                <w:b/>
                <w:color w:val="000000"/>
                <w:sz w:val="22"/>
                <w:szCs w:val="22"/>
              </w:rPr>
              <w:t>Sub-total</w:t>
            </w:r>
          </w:p>
        </w:tc>
        <w:tc>
          <w:tcPr>
            <w:tcW w:w="1328" w:type="dxa"/>
            <w:shd w:val="clear" w:color="auto" w:fill="auto"/>
            <w:noWrap/>
            <w:vAlign w:val="center"/>
            <w:hideMark/>
          </w:tcPr>
          <w:p w:rsidR="00E5193E" w:rsidRPr="00E5193E" w:rsidRDefault="006C63AF" w:rsidP="00D920F1">
            <w:pPr>
              <w:spacing w:before="0"/>
              <w:jc w:val="right"/>
              <w:rPr>
                <w:rFonts w:cs="Calibri"/>
                <w:b/>
                <w:bCs/>
                <w:color w:val="000000"/>
                <w:sz w:val="20"/>
                <w:szCs w:val="20"/>
              </w:rPr>
            </w:pPr>
            <w:r w:rsidRPr="006C63AF">
              <w:rPr>
                <w:b/>
                <w:color w:val="000000"/>
                <w:sz w:val="22"/>
                <w:szCs w:val="22"/>
              </w:rPr>
              <w:t>5.29</w:t>
            </w:r>
          </w:p>
        </w:tc>
        <w:tc>
          <w:tcPr>
            <w:tcW w:w="1515" w:type="dxa"/>
            <w:shd w:val="clear" w:color="auto" w:fill="auto"/>
            <w:noWrap/>
            <w:vAlign w:val="center"/>
            <w:hideMark/>
          </w:tcPr>
          <w:p w:rsidR="00E5193E" w:rsidRPr="00E5193E" w:rsidRDefault="006C63AF" w:rsidP="00D920F1">
            <w:pPr>
              <w:spacing w:before="0"/>
              <w:jc w:val="right"/>
              <w:rPr>
                <w:b/>
                <w:color w:val="000000"/>
                <w:sz w:val="22"/>
                <w:szCs w:val="22"/>
              </w:rPr>
            </w:pPr>
            <w:r w:rsidRPr="006C63AF">
              <w:rPr>
                <w:b/>
                <w:color w:val="000000"/>
                <w:sz w:val="22"/>
                <w:szCs w:val="22"/>
              </w:rPr>
              <w:t>83.32%</w:t>
            </w:r>
          </w:p>
        </w:tc>
        <w:tc>
          <w:tcPr>
            <w:tcW w:w="1135" w:type="dxa"/>
            <w:shd w:val="clear" w:color="auto" w:fill="auto"/>
            <w:noWrap/>
            <w:vAlign w:val="center"/>
            <w:hideMark/>
          </w:tcPr>
          <w:p w:rsidR="00E5193E" w:rsidRPr="00E5193E" w:rsidRDefault="006C63AF" w:rsidP="00D920F1">
            <w:pPr>
              <w:spacing w:before="0"/>
              <w:jc w:val="right"/>
              <w:rPr>
                <w:rFonts w:cs="Calibri"/>
                <w:b/>
                <w:color w:val="000000"/>
                <w:sz w:val="20"/>
                <w:szCs w:val="20"/>
              </w:rPr>
            </w:pPr>
            <w:r w:rsidRPr="006C63AF">
              <w:rPr>
                <w:b/>
                <w:color w:val="000000"/>
                <w:sz w:val="22"/>
                <w:szCs w:val="22"/>
              </w:rPr>
              <w:t>5.55</w:t>
            </w:r>
          </w:p>
        </w:tc>
        <w:tc>
          <w:tcPr>
            <w:tcW w:w="1515" w:type="dxa"/>
            <w:shd w:val="clear" w:color="auto" w:fill="auto"/>
            <w:noWrap/>
            <w:vAlign w:val="center"/>
            <w:hideMark/>
          </w:tcPr>
          <w:p w:rsidR="00E5193E" w:rsidRPr="00E5193E" w:rsidRDefault="006C63AF" w:rsidP="00D920F1">
            <w:pPr>
              <w:spacing w:before="0"/>
              <w:jc w:val="right"/>
              <w:rPr>
                <w:rFonts w:cs="Calibri"/>
                <w:b/>
                <w:color w:val="000000"/>
                <w:sz w:val="20"/>
                <w:szCs w:val="20"/>
              </w:rPr>
            </w:pPr>
            <w:r w:rsidRPr="006C63AF">
              <w:rPr>
                <w:b/>
                <w:color w:val="000000"/>
                <w:sz w:val="22"/>
                <w:szCs w:val="22"/>
              </w:rPr>
              <w:t>87.30%</w:t>
            </w:r>
          </w:p>
        </w:tc>
      </w:tr>
      <w:tr w:rsidR="00E5193E" w:rsidRPr="00CB5126" w:rsidTr="00E5193E">
        <w:trPr>
          <w:trHeight w:val="294"/>
        </w:trPr>
        <w:tc>
          <w:tcPr>
            <w:tcW w:w="3143" w:type="dxa"/>
            <w:shd w:val="clear" w:color="auto" w:fill="auto"/>
            <w:noWrap/>
            <w:hideMark/>
          </w:tcPr>
          <w:p w:rsidR="00E5193E" w:rsidRPr="00CB5126" w:rsidRDefault="00E5193E" w:rsidP="00D920F1">
            <w:pPr>
              <w:spacing w:before="0"/>
              <w:rPr>
                <w:color w:val="000000"/>
                <w:sz w:val="22"/>
                <w:szCs w:val="22"/>
              </w:rPr>
            </w:pPr>
            <w:r w:rsidRPr="00CB5126">
              <w:rPr>
                <w:color w:val="000000"/>
                <w:sz w:val="22"/>
                <w:szCs w:val="22"/>
              </w:rPr>
              <w:t>Extra state &amp; Bulk</w:t>
            </w:r>
          </w:p>
        </w:tc>
        <w:tc>
          <w:tcPr>
            <w:tcW w:w="1328"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4.20</w:t>
            </w:r>
          </w:p>
        </w:tc>
        <w:tc>
          <w:tcPr>
            <w:tcW w:w="1515" w:type="dxa"/>
            <w:shd w:val="clear" w:color="auto" w:fill="auto"/>
            <w:noWrap/>
            <w:vAlign w:val="center"/>
            <w:hideMark/>
          </w:tcPr>
          <w:p w:rsidR="00E5193E" w:rsidRPr="00CB5126" w:rsidRDefault="00E5193E" w:rsidP="00D920F1">
            <w:pPr>
              <w:spacing w:before="0"/>
              <w:jc w:val="right"/>
              <w:rPr>
                <w:color w:val="000000"/>
                <w:sz w:val="22"/>
                <w:szCs w:val="22"/>
              </w:rPr>
            </w:pPr>
            <w:r>
              <w:rPr>
                <w:color w:val="000000"/>
                <w:sz w:val="22"/>
                <w:szCs w:val="22"/>
              </w:rPr>
              <w:t>66.08%</w:t>
            </w:r>
          </w:p>
        </w:tc>
        <w:tc>
          <w:tcPr>
            <w:tcW w:w="113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4.20</w:t>
            </w:r>
          </w:p>
        </w:tc>
        <w:tc>
          <w:tcPr>
            <w:tcW w:w="1515" w:type="dxa"/>
            <w:shd w:val="clear" w:color="auto" w:fill="auto"/>
            <w:noWrap/>
            <w:vAlign w:val="center"/>
            <w:hideMark/>
          </w:tcPr>
          <w:p w:rsidR="00E5193E" w:rsidRPr="00CB5126" w:rsidRDefault="00E5193E" w:rsidP="00D920F1">
            <w:pPr>
              <w:spacing w:before="0"/>
              <w:jc w:val="right"/>
              <w:rPr>
                <w:rFonts w:cs="Calibri"/>
                <w:color w:val="000000"/>
                <w:sz w:val="20"/>
                <w:szCs w:val="20"/>
              </w:rPr>
            </w:pPr>
            <w:r>
              <w:rPr>
                <w:color w:val="000000"/>
                <w:sz w:val="22"/>
                <w:szCs w:val="22"/>
              </w:rPr>
              <w:t>66.08%</w:t>
            </w:r>
          </w:p>
        </w:tc>
      </w:tr>
      <w:tr w:rsidR="00E5193E" w:rsidRPr="00CB5126" w:rsidTr="00E5193E">
        <w:trPr>
          <w:trHeight w:val="294"/>
        </w:trPr>
        <w:tc>
          <w:tcPr>
            <w:tcW w:w="3143" w:type="dxa"/>
            <w:shd w:val="clear" w:color="auto" w:fill="auto"/>
            <w:noWrap/>
            <w:hideMark/>
          </w:tcPr>
          <w:p w:rsidR="00E5193E" w:rsidRPr="00CB5126" w:rsidRDefault="00E5193E" w:rsidP="00D920F1">
            <w:pPr>
              <w:spacing w:before="0"/>
              <w:rPr>
                <w:b/>
                <w:color w:val="000000"/>
                <w:sz w:val="22"/>
                <w:szCs w:val="22"/>
              </w:rPr>
            </w:pPr>
            <w:r w:rsidRPr="00CB5126">
              <w:rPr>
                <w:b/>
                <w:color w:val="000000"/>
                <w:sz w:val="22"/>
                <w:szCs w:val="22"/>
              </w:rPr>
              <w:t>Total</w:t>
            </w:r>
          </w:p>
        </w:tc>
        <w:tc>
          <w:tcPr>
            <w:tcW w:w="1328" w:type="dxa"/>
            <w:shd w:val="clear" w:color="auto" w:fill="auto"/>
            <w:noWrap/>
            <w:vAlign w:val="center"/>
            <w:hideMark/>
          </w:tcPr>
          <w:p w:rsidR="00E5193E" w:rsidRPr="00E5193E" w:rsidRDefault="006C63AF" w:rsidP="00D920F1">
            <w:pPr>
              <w:spacing w:before="0"/>
              <w:jc w:val="right"/>
              <w:rPr>
                <w:rFonts w:cs="Calibri"/>
                <w:b/>
                <w:bCs/>
                <w:color w:val="000000"/>
                <w:sz w:val="20"/>
                <w:szCs w:val="20"/>
              </w:rPr>
            </w:pPr>
            <w:r w:rsidRPr="006C63AF">
              <w:rPr>
                <w:b/>
                <w:color w:val="000000"/>
                <w:sz w:val="22"/>
                <w:szCs w:val="22"/>
              </w:rPr>
              <w:t>5.29</w:t>
            </w:r>
          </w:p>
        </w:tc>
        <w:tc>
          <w:tcPr>
            <w:tcW w:w="1515" w:type="dxa"/>
            <w:shd w:val="clear" w:color="auto" w:fill="auto"/>
            <w:noWrap/>
            <w:vAlign w:val="center"/>
            <w:hideMark/>
          </w:tcPr>
          <w:p w:rsidR="00E5193E" w:rsidRPr="00E5193E" w:rsidRDefault="006C63AF" w:rsidP="00D920F1">
            <w:pPr>
              <w:spacing w:before="0"/>
              <w:jc w:val="right"/>
              <w:rPr>
                <w:b/>
                <w:color w:val="000000"/>
                <w:sz w:val="22"/>
                <w:szCs w:val="22"/>
              </w:rPr>
            </w:pPr>
            <w:r w:rsidRPr="006C63AF">
              <w:rPr>
                <w:b/>
                <w:color w:val="000000"/>
                <w:sz w:val="22"/>
                <w:szCs w:val="22"/>
              </w:rPr>
              <w:t>83.31%</w:t>
            </w:r>
          </w:p>
        </w:tc>
        <w:tc>
          <w:tcPr>
            <w:tcW w:w="1135" w:type="dxa"/>
            <w:shd w:val="clear" w:color="auto" w:fill="auto"/>
            <w:noWrap/>
            <w:vAlign w:val="center"/>
            <w:hideMark/>
          </w:tcPr>
          <w:p w:rsidR="00E5193E" w:rsidRPr="00E5193E" w:rsidRDefault="006C63AF" w:rsidP="00D920F1">
            <w:pPr>
              <w:spacing w:before="0"/>
              <w:jc w:val="right"/>
              <w:rPr>
                <w:rFonts w:cs="Calibri"/>
                <w:b/>
                <w:color w:val="000000"/>
                <w:sz w:val="20"/>
                <w:szCs w:val="20"/>
              </w:rPr>
            </w:pPr>
            <w:r w:rsidRPr="006C63AF">
              <w:rPr>
                <w:b/>
                <w:color w:val="000000"/>
                <w:sz w:val="22"/>
                <w:szCs w:val="22"/>
              </w:rPr>
              <w:t>5.55</w:t>
            </w:r>
          </w:p>
        </w:tc>
        <w:tc>
          <w:tcPr>
            <w:tcW w:w="1515" w:type="dxa"/>
            <w:shd w:val="clear" w:color="auto" w:fill="auto"/>
            <w:noWrap/>
            <w:vAlign w:val="center"/>
            <w:hideMark/>
          </w:tcPr>
          <w:p w:rsidR="00E5193E" w:rsidRPr="00E5193E" w:rsidRDefault="006C63AF" w:rsidP="00D920F1">
            <w:pPr>
              <w:spacing w:before="0"/>
              <w:jc w:val="right"/>
              <w:rPr>
                <w:rFonts w:cs="Calibri"/>
                <w:b/>
                <w:color w:val="000000"/>
                <w:sz w:val="20"/>
                <w:szCs w:val="20"/>
              </w:rPr>
            </w:pPr>
            <w:r w:rsidRPr="006C63AF">
              <w:rPr>
                <w:b/>
                <w:color w:val="000000"/>
                <w:sz w:val="22"/>
                <w:szCs w:val="22"/>
              </w:rPr>
              <w:t>87.29%</w:t>
            </w:r>
          </w:p>
        </w:tc>
      </w:tr>
    </w:tbl>
    <w:p w:rsidR="00D5771F" w:rsidRDefault="00D5771F">
      <w:pPr>
        <w:pStyle w:val="Heading2"/>
        <w:numPr>
          <w:ilvl w:val="0"/>
          <w:numId w:val="0"/>
        </w:numPr>
        <w:ind w:left="990"/>
      </w:pPr>
      <w:bookmarkStart w:id="1832" w:name="_Toc422161714"/>
      <w:bookmarkStart w:id="1833" w:name="_Toc422134674"/>
      <w:bookmarkStart w:id="1834" w:name="_Toc422307105"/>
      <w:bookmarkStart w:id="1835" w:name="_Toc455311784"/>
    </w:p>
    <w:p w:rsidR="00337C98" w:rsidRPr="00337C98" w:rsidRDefault="00337C98" w:rsidP="00337C98">
      <w:pPr>
        <w:pStyle w:val="Heading3"/>
        <w:tabs>
          <w:tab w:val="clear" w:pos="720"/>
        </w:tabs>
        <w:ind w:left="993" w:hanging="993"/>
      </w:pPr>
      <w:r w:rsidRPr="00337C98">
        <w:rPr>
          <w:b/>
          <w:szCs w:val="24"/>
        </w:rPr>
        <w:t xml:space="preserve">The </w:t>
      </w:r>
      <w:r w:rsidRPr="00B10706">
        <w:rPr>
          <w:b/>
          <w:szCs w:val="24"/>
        </w:rPr>
        <w:t>Licensee should ensure that they must at least achieve &amp; maintain the category wise ABR</w:t>
      </w:r>
      <w:r w:rsidRPr="00B10706">
        <w:rPr>
          <w:rFonts w:asciiTheme="minorHAnsi" w:eastAsiaTheme="minorHAnsi" w:hAnsiTheme="minorHAnsi" w:cstheme="minorBidi"/>
          <w:b/>
          <w:bCs w:val="0"/>
          <w:szCs w:val="24"/>
        </w:rPr>
        <w:t>s</w:t>
      </w:r>
      <w:r w:rsidRPr="00B10706">
        <w:rPr>
          <w:b/>
          <w:szCs w:val="24"/>
        </w:rPr>
        <w:t xml:space="preserve"> approved, fa</w:t>
      </w:r>
      <w:r w:rsidRPr="00B10706">
        <w:rPr>
          <w:rFonts w:asciiTheme="minorHAnsi" w:eastAsiaTheme="minorHAnsi" w:hAnsiTheme="minorHAnsi" w:cstheme="minorBidi"/>
          <w:b/>
          <w:bCs w:val="0"/>
          <w:szCs w:val="24"/>
        </w:rPr>
        <w:t>i</w:t>
      </w:r>
      <w:r w:rsidRPr="00B10706">
        <w:rPr>
          <w:b/>
          <w:szCs w:val="24"/>
        </w:rPr>
        <w:t>ling which the Commission may take an appropriate view and necessary action.</w:t>
      </w:r>
    </w:p>
    <w:p w:rsidR="004B2DEE" w:rsidRDefault="004B2DEE">
      <w:pPr>
        <w:pStyle w:val="Heading2"/>
        <w:numPr>
          <w:ilvl w:val="0"/>
          <w:numId w:val="0"/>
        </w:numPr>
        <w:ind w:left="990"/>
      </w:pPr>
    </w:p>
    <w:p w:rsidR="006C63AF" w:rsidRPr="006C63AF" w:rsidRDefault="009B19CF" w:rsidP="006C63AF">
      <w:pPr>
        <w:pStyle w:val="Heading2"/>
        <w:ind w:left="994" w:hanging="994"/>
        <w:contextualSpacing w:val="0"/>
      </w:pPr>
      <w:bookmarkStart w:id="1836" w:name="_Toc457603979"/>
      <w:bookmarkStart w:id="1837" w:name="_GoBack"/>
      <w:r w:rsidRPr="00CB5126">
        <w:t>REGULATORY SURCHARGE</w:t>
      </w:r>
      <w:bookmarkEnd w:id="1832"/>
      <w:bookmarkEnd w:id="1833"/>
      <w:bookmarkEnd w:id="1834"/>
      <w:bookmarkEnd w:id="1835"/>
      <w:bookmarkEnd w:id="1836"/>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 xml:space="preserve">The  Commission,  in  its  Suo-Moto Tariff  Order  dated  May  31,  2013,  had allowed  the  Regulatory  Surcharge  for  liquidation  of  part  Regulatory  Assets admitted by the Commission in its Order dated May 21, 2013 at 3.71% of Rate of charge, which was applicable till end of FY 2013-14. The Commission, in the above  mentioned  Order,  had  allowed  recovery  of  50%  </w:t>
      </w:r>
      <w:r w:rsidRPr="00E34329">
        <w:rPr>
          <w:rFonts w:asciiTheme="minorHAnsi" w:hAnsiTheme="minorHAnsi" w:cstheme="minorHAnsi"/>
          <w:szCs w:val="24"/>
        </w:rPr>
        <w:lastRenderedPageBreak/>
        <w:t xml:space="preserve">of  the  total  revenue gap approved by the Commission vide Order dated May 21, 2013 for truing up of ARR for FY 2000-01 to FY 2007-08. </w:t>
      </w:r>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 xml:space="preserve">The  Commission,  on  a  separate  Petition  filed  by  the  Distribution  Licensees, issued an Order on June 6, 2014 for extension of the Regulatory Surcharge for the  recovery  of  balance  50%  of  admitted  Regulatory  Asset  in  which  the performance  linked  regulatory  surcharge  of  2.84%  was  approved  by  the Commission  to  recover  the  regulatory  asset  within  2  years.  The relevant extract of the same is reproduced below: </w:t>
      </w:r>
    </w:p>
    <w:p w:rsidR="009B19CF" w:rsidRDefault="009B19CF" w:rsidP="009B19CF">
      <w:pPr>
        <w:ind w:left="1440"/>
        <w:rPr>
          <w:i/>
          <w:sz w:val="20"/>
        </w:rPr>
      </w:pPr>
      <w:r w:rsidRPr="00C25A9B">
        <w:rPr>
          <w:i/>
        </w:rPr>
        <w:t xml:space="preserve">“In view of the above, the applicable Regulatory Surcharge for FY 2014-15 </w:t>
      </w:r>
      <w:r>
        <w:rPr>
          <w:i/>
        </w:rPr>
        <w:t xml:space="preserve">shall be </w:t>
      </w:r>
      <w:r w:rsidRPr="00C25A9B">
        <w:rPr>
          <w:i/>
        </w:rPr>
        <w:t xml:space="preserve">2.84%.  However,  the  Regulatory  Surcharge  for  FY  2015-16  (i.e. from  1st  April,  2015  to 31st March,  2016)  shall  be  linked  with  the  actual performance  of  FY 2014-15.  That  is  in case  the Distribution  Licensees  fail to  achieve  the  target  Distribution  Losses  of  FY  2014-15,  the  Regulatory Surcharge  for  FY  2015-16  shall  be  reduced  in  proportion  to  the  losses under-achieved  by  the  Licensees  as  compared  to  the  target  losses  for  FY 2014-15. The performance of the Distribution Licensee shall be measured from  the  actual  distribution  losses  as  submitted  by  the  Licensee  for  FY 2012-13 in its Tariff Petition for FY 2014-15.” </w:t>
      </w:r>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 xml:space="preserve">The Commission in its Tariff Order for FY 2014-15 dated October 1, 2014  had allowed  a  separate  regulatory  surcharge  of  2.38%  for  liquidation  of  the Regulatory  asset  as  approved  in  the  aforesaid  Order  which  was  made applicable  in  the  supply  areas  of  DVVNL,  MVVNL,  PVVNL  and  PuVVNL.  The relevant extract of the same has been reproduced below: </w:t>
      </w:r>
    </w:p>
    <w:p w:rsidR="009B19CF" w:rsidRDefault="009B19CF" w:rsidP="009B19CF">
      <w:pPr>
        <w:ind w:left="1440"/>
        <w:rPr>
          <w:i/>
        </w:rPr>
      </w:pPr>
      <w:r w:rsidRPr="00C25A9B">
        <w:rPr>
          <w:i/>
        </w:rPr>
        <w:t xml:space="preserve">“It may be observed that even after a considerable increase in Tariff allowed by the Commission in this Order, there is still a large accumulated revenue gap of Rs.  11940.38 Crore (consolidated for 4 </w:t>
      </w:r>
      <w:r>
        <w:rPr>
          <w:i/>
        </w:rPr>
        <w:t>state</w:t>
      </w:r>
      <w:r w:rsidRPr="00C25A9B">
        <w:rPr>
          <w:i/>
        </w:rPr>
        <w:t xml:space="preserve">owned Distribution Licensees). The huge and ever increasing cumulative revenue gap to be recovered from the consumers is a matter of great concern for the Commission as well as the Licensees. The  consumers  on  the  other hand  are  aggrieved  with  the  poor  quality  of  supply  and  services  being rendered by the Licensees and the constantly rising tariff. The Commission issued  an  In-house  paper  on  recovery  of  the  cumulative  revenue  gap  in which  it  was  stated  that  the  recovery  of  the  accumulated  revenue  gap  if allowed  to  be  recovered  in  less  than  three  years  may  result  in  a  massive tariff shock for the consumers. In </w:t>
      </w:r>
      <w:r w:rsidRPr="00C25A9B">
        <w:rPr>
          <w:i/>
        </w:rPr>
        <w:lastRenderedPageBreak/>
        <w:t xml:space="preserve">view of the same and considering such a huge  amount  of  accumulated  revenue  gap  /  regulatory  asset,  the Commission  in  its  In-House  paper  proposed  the  recovery  of  the  same  in more than 3  years to avoid any tariff shock to the consumers. The above methodology  may  however  be  in  variation  with  the  provisions  of  the Distribution Tariff Regulations, 2006 and the findings of the Hon’ble  ATE in  its  Judgment  in  OP  No.  1  of  2011  but  would  be  the  most  appropriate way  for  recovering  the  gap  in  the  current  scenario  of  large  accumulated revenue  gap.  However,  the  Licensees  submitted  that  the  recovery  of  the accumulated  revenue  gap  /  regulatory  asset  may  be  allowed  in  a  period not exceeding 3 years at the most and preferably within the control period which is line with the findings of the Hon’ble ATE. </w:t>
      </w:r>
    </w:p>
    <w:p w:rsidR="009B19CF" w:rsidRDefault="009B19CF" w:rsidP="009B19CF">
      <w:pPr>
        <w:ind w:left="1440"/>
        <w:rPr>
          <w:i/>
        </w:rPr>
      </w:pPr>
      <w:r w:rsidRPr="00C25A9B">
        <w:rPr>
          <w:i/>
        </w:rPr>
        <w:t xml:space="preserve">It may be noted that the total accumulated revenue gap / regulatory asset </w:t>
      </w:r>
      <w:r>
        <w:rPr>
          <w:i/>
        </w:rPr>
        <w:t xml:space="preserve">of </w:t>
      </w:r>
      <w:r w:rsidRPr="00C25A9B">
        <w:rPr>
          <w:i/>
        </w:rPr>
        <w:t xml:space="preserve">Rs.  11940.38  Crore  if  allowed  to  be  recovered  within  3  years  would result  in  an  additional  regulatory  surcharge  of  around  16%.  It  may  be noted  that  along  with  other  reasons  the  major  reasons  which  have resulted  in  such  a  huge  accumulated  revenue  gap  /  regulatory  asset  are (a)  Not  filling  the  FPPPCA  Petition  and  (b)  Late  filing  of  the  True-up Petitions.  If  the  Licensees  would  have  filed  the  FPPPCA  and  True-up Petitions  on  time  the  accumulated  revenue  gap  /  regulatory  asset  would have been much lower. And in such a case the recovery of the same could </w:t>
      </w:r>
      <w:r>
        <w:rPr>
          <w:i/>
        </w:rPr>
        <w:t>have been allowed within 3 year of</w:t>
      </w:r>
      <w:r w:rsidRPr="00C25A9B">
        <w:rPr>
          <w:i/>
        </w:rPr>
        <w:t xml:space="preserve"> time.  However,  in  the  current scenario  it  would  not  be  appropriate  to  give  a  huge  tariff  shock  to  the consumers. Also the Hon’ble ATE in its various Judgments has ruled that the increase in Tariff should not result in tariff shock for the consumers. A relevant extract of the Hon’ble ATE’s Judgment in Appeal No.10 of 2013 &amp;</w:t>
      </w:r>
      <w:r>
        <w:rPr>
          <w:i/>
        </w:rPr>
        <w:t xml:space="preserve">I.A. </w:t>
      </w:r>
      <w:r w:rsidRPr="00C25A9B">
        <w:rPr>
          <w:i/>
        </w:rPr>
        <w:t xml:space="preserve">Nos.  29  &amp;  30  of  2013  dated  25th  October,  2013  in  matter  of Association  of  Approved  &amp;  Classified  Hotels  vs  Kerala  State  Electricity Regulatory  Commission  and  Kerala  State  Electricity  Board  is  reproduced below: </w:t>
      </w:r>
    </w:p>
    <w:p w:rsidR="009B19CF" w:rsidRDefault="009B19CF" w:rsidP="009B19CF">
      <w:pPr>
        <w:ind w:left="2160"/>
        <w:rPr>
          <w:b/>
          <w:i/>
          <w:u w:val="single"/>
        </w:rPr>
      </w:pPr>
      <w:r w:rsidRPr="00F5095D">
        <w:rPr>
          <w:b/>
          <w:i/>
          <w:u w:val="single"/>
        </w:rPr>
        <w:t xml:space="preserve">“21. Summary of our findings </w:t>
      </w:r>
    </w:p>
    <w:p w:rsidR="009B19CF" w:rsidRDefault="009B19CF" w:rsidP="009B19CF">
      <w:pPr>
        <w:ind w:left="2160"/>
        <w:rPr>
          <w:i/>
        </w:rPr>
      </w:pPr>
      <w:r w:rsidRPr="00C25A9B">
        <w:rPr>
          <w:i/>
        </w:rPr>
        <w:t xml:space="preserve">The  tariff  determined  by  the  State  Commission  for  HT  IV Commercial Category is inconsistent with the  provisions of Act and Tariff  Policy  and  the  dictum  held  </w:t>
      </w:r>
      <w:r>
        <w:rPr>
          <w:i/>
        </w:rPr>
        <w:t>by  this  Tribunal  in  various</w:t>
      </w:r>
      <w:r w:rsidRPr="00C25A9B">
        <w:rPr>
          <w:i/>
        </w:rPr>
        <w:t xml:space="preserve"> judgments.  The  tariff  of  consumers  of  this  category  has  been increased  exorbitantly  giving  them  tariff  shock.  Accordingly, </w:t>
      </w:r>
      <w:r w:rsidRPr="00C25A9B">
        <w:rPr>
          <w:i/>
        </w:rPr>
        <w:lastRenderedPageBreak/>
        <w:t xml:space="preserve">the tariff fixed by the State Commission for HT IV Commercial Category is set aside and they will be charged at the tariff as proposed by the Electricity Board in their petition to the State Commission i.e. fixed </w:t>
      </w:r>
      <w:r>
        <w:rPr>
          <w:i/>
        </w:rPr>
        <w:t xml:space="preserve">charges  of  Rs.  400 per kVA per month and energy </w:t>
      </w:r>
      <w:r w:rsidRPr="00C25A9B">
        <w:rPr>
          <w:i/>
        </w:rPr>
        <w:t xml:space="preserve">charges  of  Rs. 5.50 per kWh…” </w:t>
      </w:r>
    </w:p>
    <w:p w:rsidR="009B19CF" w:rsidRDefault="009B19CF" w:rsidP="009B19CF">
      <w:pPr>
        <w:ind w:left="1440"/>
        <w:rPr>
          <w:b/>
          <w:i/>
        </w:rPr>
      </w:pPr>
      <w:r w:rsidRPr="00C25A9B">
        <w:rPr>
          <w:i/>
        </w:rPr>
        <w:t xml:space="preserve">Giving  due  consideration  to the view of the Hon’ble ATE it may not be appropriate to allow the recovery of the entire accumulated revenue gap / regulatory asset within 3 years of time which may result in Tariff shock to the  consumers.  Having  considered  the  existing  Regulatory  surcharge  as per  Commission’s  Order  dated  6th  June,  2014,  the  Commission  for liquidation of the Regulatory asset as approved in this Order has decided to  introduce  a  separate  regulatory  surcharge  of  2.38%  applicable  on </w:t>
      </w:r>
      <w:r w:rsidRPr="00F5095D">
        <w:rPr>
          <w:b/>
          <w:i/>
        </w:rPr>
        <w:t>“RATE”</w:t>
      </w:r>
      <w:r w:rsidRPr="00C25A9B">
        <w:rPr>
          <w:i/>
        </w:rPr>
        <w:t xml:space="preserve">  as  defined  in  the  Rate  Schedule  for  FY  2014-15.  </w:t>
      </w:r>
      <w:r w:rsidRPr="00C25A9B">
        <w:rPr>
          <w:b/>
          <w:i/>
        </w:rPr>
        <w:t xml:space="preserve">Such  surcharge would  be  applicable in the  supply  areas  of  DVVNL,  MVVNL,  PVVNL  and PuVVNL”. </w:t>
      </w:r>
    </w:p>
    <w:p w:rsidR="009B19CF" w:rsidRDefault="009B19CF" w:rsidP="009B19CF">
      <w:pPr>
        <w:ind w:left="1440"/>
        <w:rPr>
          <w:b/>
        </w:rPr>
      </w:pPr>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 xml:space="preserve">Further, in the Tariff Order for FY 2014-15, the Commission had also linked the Regulatory Surcharge  for  FY  2015-16  with  the  actual  performance  of  the Licensees  in  FY  2014-15.  The relevant extract of the same has been reproduced below:  </w:t>
      </w:r>
    </w:p>
    <w:p w:rsidR="009B19CF" w:rsidRDefault="009B19CF" w:rsidP="009B19CF">
      <w:pPr>
        <w:ind w:left="1440"/>
        <w:rPr>
          <w:i/>
        </w:rPr>
      </w:pPr>
      <w:r w:rsidRPr="00C25A9B">
        <w:rPr>
          <w:i/>
        </w:rPr>
        <w:t>“In view of the above, the applicable Regulatory Surcharge for FY 2014-15 shall</w:t>
      </w:r>
      <w:r>
        <w:rPr>
          <w:i/>
        </w:rPr>
        <w:t xml:space="preserve"> be</w:t>
      </w:r>
      <w:r w:rsidRPr="00C25A9B">
        <w:rPr>
          <w:i/>
        </w:rPr>
        <w:t xml:space="preserve"> 2.38%.  However,  the  Regulatory  Surcharge  for  subsequent  year shall  be  linked  with  the  actual  performance  of  the  Licensees  in  previous year  i.e.  the  regulatory  surcharge  for  FY  2015-16  will  depend  on  the performance  of  the  Licensees  in  FY  2014-15.  In  case  the  Distribution Licensees  fail  to  achieve  the  target  consumer  addition  or  the  target distribution losses in FY 2014-15, the regulatory surcharge for subsequent year  i.e.  FY  2015-16  shall  be  reduced  by  10%  over  the  applicable regulatory  surcharge  for  </w:t>
      </w:r>
      <w:r>
        <w:rPr>
          <w:i/>
        </w:rPr>
        <w:t xml:space="preserve">the  previous  year  (i.e.  FY </w:t>
      </w:r>
      <w:r w:rsidRPr="00C25A9B">
        <w:rPr>
          <w:i/>
        </w:rPr>
        <w:t xml:space="preserve">2014-15).  The </w:t>
      </w:r>
      <w:r>
        <w:rPr>
          <w:i/>
        </w:rPr>
        <w:t>Commission at the end of FY 2015-16 shall again review the</w:t>
      </w:r>
      <w:r w:rsidRPr="00C25A9B">
        <w:rPr>
          <w:i/>
        </w:rPr>
        <w:t xml:space="preserve"> applicability of the regulatory surcharge for future years i.e. beyond 2015-16 based on the actual performance of Licensee in the past years. </w:t>
      </w:r>
    </w:p>
    <w:p w:rsidR="009B19CF" w:rsidRDefault="009B19CF" w:rsidP="009B19CF">
      <w:pPr>
        <w:ind w:left="1440"/>
        <w:rPr>
          <w:i/>
        </w:rPr>
      </w:pPr>
      <w:r w:rsidRPr="00C25A9B">
        <w:rPr>
          <w:i/>
        </w:rPr>
        <w:t xml:space="preserve"> It  may  be  clarified  that  the  Regulatory  Surcharge  reduced  on  account  of the  under-achieved  performance  targets  shall  be  considered  as  deemed recovery.  The  Commission  after  accounting  the  actual  recovery  and  the deemed  recovery  shall  true-up  the  over  /  </w:t>
      </w:r>
      <w:r w:rsidRPr="00C25A9B">
        <w:rPr>
          <w:i/>
        </w:rPr>
        <w:lastRenderedPageBreak/>
        <w:t xml:space="preserve">under  recovery  of  the accumulated Regulatory Surcharge while undertaking the Truing up of the relevant year. </w:t>
      </w:r>
    </w:p>
    <w:p w:rsidR="009B19CF" w:rsidRDefault="009B19CF" w:rsidP="009B19CF">
      <w:pPr>
        <w:ind w:left="1440"/>
        <w:rPr>
          <w:i/>
        </w:rPr>
      </w:pPr>
      <w:r w:rsidRPr="00C25A9B">
        <w:rPr>
          <w:i/>
        </w:rPr>
        <w:t xml:space="preserve"> The  Licensees  are  directed  to  depict  the  Regulatory  Surcharge  separately and  distinctly  in  the  electricity  bills  of  the  consumers.  The  Commission directs  the  Licensee  to  maintain  separate  accounting  fields  for  both  the regulatory surcharges approved vis-a vis the Commission’s Order dated 6th June, 2014 and that approved in this Order, and capture the two different amounts  collected  as  Regulatory  Surcharges  in  both  of  its  financial  and commercial statements. This would enable the Licensee to correctly report the amounts collected towards Regulatory Surcharges. </w:t>
      </w:r>
    </w:p>
    <w:p w:rsidR="009B19CF" w:rsidRDefault="009B19CF" w:rsidP="009B19CF">
      <w:pPr>
        <w:ind w:left="1440"/>
        <w:rPr>
          <w:i/>
        </w:rPr>
      </w:pPr>
      <w:r w:rsidRPr="00C25A9B">
        <w:rPr>
          <w:i/>
        </w:rPr>
        <w:t xml:space="preserve"> The  Distribution  Licensees  are  directed  to  submit  the  actual  Regulatory Surcharge  recovered  in  FY  2014-15  on  account  of  the  Revenue  Gap  / Regulatory Asset admitted by the Commission in this Order along with the actual  Distribution  Losses  achieved  in  FY  2014-15  and  additional  target consumers added in FY 2014-15 by 15th April, 2015. </w:t>
      </w:r>
    </w:p>
    <w:p w:rsidR="009B19CF" w:rsidRDefault="009B19CF" w:rsidP="009B19CF">
      <w:pPr>
        <w:ind w:left="1440"/>
        <w:rPr>
          <w:b/>
        </w:rPr>
      </w:pPr>
      <w:r w:rsidRPr="00C25A9B">
        <w:rPr>
          <w:b/>
          <w:i/>
        </w:rPr>
        <w:t>Based  on  the  achievement  or  under-achievement  of  target  Distribution Losses  and  consumer  addition  target  the  Regulatory  Surcharge  for subsequent  financial year i.e. FY 2015-16  shall be revised as detailed in Para  above and the same shall be applicable for FY 2015-16.”(Emphasis added)</w:t>
      </w:r>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 xml:space="preserve">With regard to above, the Commission passed an Order on April 22, 2015 in the matter of “Applicability of Regulatory Surcharges for State Distribution Licensees  for  FY  2015-16  as  per  Commissions  Orders  dated  June  6,  2014  and October 1, 2014”. The relevant extract of the aforesaid Order regarding applicability of Regulatory Surcharge-1 (i.e.  for  recovery  of  the  balance revenue  gap  consequent  to  True  up  Orders  dated  May  21,  2013  and  Tariff Orders May 31, 2013) for FY 2015-16 has been reproduced below: </w:t>
      </w:r>
    </w:p>
    <w:p w:rsidR="009B19CF" w:rsidRDefault="009B19CF" w:rsidP="009B19CF">
      <w:pPr>
        <w:ind w:left="1440"/>
        <w:rPr>
          <w:i/>
        </w:rPr>
      </w:pPr>
      <w:r w:rsidRPr="00C25A9B">
        <w:rPr>
          <w:i/>
        </w:rPr>
        <w:t xml:space="preserve">“The  Commission  is  of  the  view  that  since  the  actual  Distribution  Losses for FY 2014-15 have not yet been submitted by the Distribution Licensees and  there  have  been  various  submission  of  the  licensees  reporting different loss  figures in various forums, hence taking these into view, the Commission  has  worked  out  the  Regulatory  Surcharge  applicable  for  FY 2015-16  based  on  the  estimated  Distribution  Losses  submitted  by  the Licensees.  The  applicable  Regulatory  Surcharge  for  </w:t>
      </w:r>
      <w:r w:rsidRPr="00C25A9B">
        <w:rPr>
          <w:i/>
        </w:rPr>
        <w:lastRenderedPageBreak/>
        <w:t>FY  2015-16  for recovery of the balance revenue gap consequent to True up Orders dated May 21, 2013 and Tariff Orders May 31, 2013 i.e. Rs. 1243.96 Crore as per the formula prescribed in Order dated June 6, 2014 is shown in the Table below:</w:t>
      </w:r>
    </w:p>
    <w:p w:rsidR="00CB6460" w:rsidRDefault="00CB6460" w:rsidP="009B19CF">
      <w:pPr>
        <w:ind w:left="1440"/>
        <w:rPr>
          <w:i/>
          <w:sz w:val="20"/>
        </w:rPr>
      </w:pPr>
    </w:p>
    <w:p w:rsidR="009B19CF" w:rsidRPr="00CB6460" w:rsidRDefault="005525A4" w:rsidP="00CB6460">
      <w:pPr>
        <w:pStyle w:val="Heading3"/>
        <w:numPr>
          <w:ilvl w:val="0"/>
          <w:numId w:val="0"/>
        </w:numPr>
        <w:tabs>
          <w:tab w:val="clear" w:pos="720"/>
        </w:tabs>
        <w:spacing w:before="0" w:line="240" w:lineRule="auto"/>
        <w:jc w:val="center"/>
        <w:rPr>
          <w:rFonts w:cstheme="minorHAnsi"/>
          <w:b/>
          <w:sz w:val="22"/>
          <w:szCs w:val="22"/>
        </w:rPr>
      </w:pPr>
      <w:r w:rsidRPr="00CB6460">
        <w:rPr>
          <w:rFonts w:asciiTheme="minorHAnsi" w:hAnsiTheme="minorHAnsi" w:cstheme="minorHAnsi"/>
          <w:b/>
          <w:sz w:val="22"/>
          <w:szCs w:val="22"/>
        </w:rPr>
        <w:t>Table</w:t>
      </w:r>
      <w:r w:rsidR="00CB6460" w:rsidRPr="00CB6460">
        <w:rPr>
          <w:rFonts w:asciiTheme="minorHAnsi" w:hAnsiTheme="minorHAnsi" w:cstheme="minorHAnsi"/>
          <w:b/>
          <w:sz w:val="22"/>
          <w:szCs w:val="22"/>
        </w:rPr>
        <w:t xml:space="preserve"> 3</w:t>
      </w:r>
      <w:r w:rsidRPr="00CB6460">
        <w:rPr>
          <w:rFonts w:asciiTheme="minorHAnsi" w:hAnsiTheme="minorHAnsi" w:cstheme="minorHAnsi"/>
          <w:b/>
          <w:sz w:val="22"/>
          <w:szCs w:val="22"/>
        </w:rPr>
        <w:t xml:space="preserve">: </w:t>
      </w:r>
      <w:r w:rsidR="009B19CF" w:rsidRPr="00CB6460">
        <w:rPr>
          <w:rFonts w:asciiTheme="minorHAnsi" w:hAnsiTheme="minorHAnsi" w:cstheme="minorHAnsi"/>
          <w:b/>
          <w:sz w:val="22"/>
          <w:szCs w:val="22"/>
        </w:rPr>
        <w:t>Applicable Regulatory Surcharge for Recovery of the balance revenue gap consequent to True Up Order dated May 21, 2013 and Tariff Order  May 31, 2013 i.e. Rs 1243.96</w:t>
      </w:r>
      <w:r w:rsidR="00CB6460" w:rsidRPr="00CB6460">
        <w:rPr>
          <w:rFonts w:asciiTheme="minorHAnsi" w:hAnsiTheme="minorHAnsi" w:cstheme="minorHAnsi"/>
          <w:b/>
          <w:sz w:val="22"/>
          <w:szCs w:val="22"/>
        </w:rPr>
        <w:t xml:space="preserve"> Crore</w:t>
      </w:r>
    </w:p>
    <w:tbl>
      <w:tblPr>
        <w:tblW w:w="495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441"/>
        <w:gridCol w:w="1068"/>
        <w:gridCol w:w="1075"/>
        <w:gridCol w:w="1075"/>
        <w:gridCol w:w="1073"/>
        <w:gridCol w:w="1064"/>
      </w:tblGrid>
      <w:tr w:rsidR="009B19CF" w:rsidRPr="00E8229C" w:rsidTr="00A8391B">
        <w:trPr>
          <w:trHeight w:val="314"/>
          <w:tblHeader/>
        </w:trPr>
        <w:tc>
          <w:tcPr>
            <w:tcW w:w="1956" w:type="pct"/>
            <w:shd w:val="clear" w:color="000000" w:fill="DBE5F1"/>
            <w:hideMark/>
          </w:tcPr>
          <w:p w:rsidR="007B00DC" w:rsidRDefault="00E34329">
            <w:pPr>
              <w:spacing w:before="0" w:line="240" w:lineRule="auto"/>
              <w:jc w:val="center"/>
              <w:rPr>
                <w:rFonts w:cs="Arial"/>
                <w:b/>
                <w:bCs/>
                <w:color w:val="333399"/>
                <w:kern w:val="32"/>
                <w:sz w:val="22"/>
                <w:szCs w:val="22"/>
              </w:rPr>
            </w:pPr>
            <w:r w:rsidRPr="00E34329">
              <w:rPr>
                <w:b/>
                <w:bCs/>
                <w:sz w:val="22"/>
                <w:szCs w:val="22"/>
              </w:rPr>
              <w:t>Particulars</w:t>
            </w:r>
          </w:p>
        </w:tc>
        <w:tc>
          <w:tcPr>
            <w:tcW w:w="607" w:type="pct"/>
            <w:shd w:val="clear" w:color="000000" w:fill="DBE5F1"/>
            <w:hideMark/>
          </w:tcPr>
          <w:p w:rsidR="007B00DC" w:rsidRDefault="00E34329">
            <w:pPr>
              <w:spacing w:before="0" w:line="240" w:lineRule="auto"/>
              <w:jc w:val="center"/>
              <w:rPr>
                <w:rFonts w:cs="Arial"/>
                <w:b/>
                <w:bCs/>
                <w:color w:val="333399"/>
                <w:kern w:val="32"/>
                <w:sz w:val="22"/>
                <w:szCs w:val="22"/>
              </w:rPr>
            </w:pPr>
            <w:r w:rsidRPr="00E34329">
              <w:rPr>
                <w:b/>
                <w:bCs/>
                <w:sz w:val="22"/>
                <w:szCs w:val="22"/>
              </w:rPr>
              <w:t>Formula</w:t>
            </w:r>
          </w:p>
        </w:tc>
        <w:tc>
          <w:tcPr>
            <w:tcW w:w="611" w:type="pct"/>
            <w:shd w:val="clear" w:color="000000" w:fill="DBE5F1"/>
            <w:hideMark/>
          </w:tcPr>
          <w:p w:rsidR="007B00DC" w:rsidRDefault="00E34329">
            <w:pPr>
              <w:spacing w:before="0" w:line="240" w:lineRule="auto"/>
              <w:jc w:val="center"/>
              <w:rPr>
                <w:rFonts w:cs="Arial"/>
                <w:b/>
                <w:bCs/>
                <w:color w:val="333399"/>
                <w:kern w:val="32"/>
                <w:sz w:val="22"/>
                <w:szCs w:val="22"/>
              </w:rPr>
            </w:pPr>
            <w:r w:rsidRPr="00E34329">
              <w:rPr>
                <w:b/>
                <w:bCs/>
                <w:sz w:val="22"/>
                <w:szCs w:val="22"/>
              </w:rPr>
              <w:t>DVVNL</w:t>
            </w:r>
          </w:p>
        </w:tc>
        <w:tc>
          <w:tcPr>
            <w:tcW w:w="611" w:type="pct"/>
            <w:shd w:val="clear" w:color="000000" w:fill="DBE5F1"/>
            <w:hideMark/>
          </w:tcPr>
          <w:p w:rsidR="007B00DC" w:rsidRDefault="00E34329">
            <w:pPr>
              <w:spacing w:before="0" w:line="240" w:lineRule="auto"/>
              <w:jc w:val="center"/>
              <w:rPr>
                <w:rFonts w:cs="Arial"/>
                <w:b/>
                <w:bCs/>
                <w:color w:val="333399"/>
                <w:kern w:val="32"/>
                <w:sz w:val="22"/>
                <w:szCs w:val="22"/>
              </w:rPr>
            </w:pPr>
            <w:r w:rsidRPr="00E34329">
              <w:rPr>
                <w:b/>
                <w:bCs/>
                <w:sz w:val="22"/>
                <w:szCs w:val="22"/>
              </w:rPr>
              <w:t>MVVNL</w:t>
            </w:r>
          </w:p>
        </w:tc>
        <w:tc>
          <w:tcPr>
            <w:tcW w:w="610" w:type="pct"/>
            <w:shd w:val="clear" w:color="000000" w:fill="DBE5F1"/>
            <w:hideMark/>
          </w:tcPr>
          <w:p w:rsidR="007B00DC" w:rsidRDefault="00E34329">
            <w:pPr>
              <w:spacing w:before="0" w:line="240" w:lineRule="auto"/>
              <w:jc w:val="center"/>
              <w:rPr>
                <w:rFonts w:cs="Arial"/>
                <w:b/>
                <w:bCs/>
                <w:color w:val="333399"/>
                <w:kern w:val="32"/>
                <w:sz w:val="22"/>
                <w:szCs w:val="22"/>
              </w:rPr>
            </w:pPr>
            <w:r w:rsidRPr="00E34329">
              <w:rPr>
                <w:b/>
                <w:bCs/>
                <w:sz w:val="22"/>
                <w:szCs w:val="22"/>
              </w:rPr>
              <w:t>PVVNL</w:t>
            </w:r>
          </w:p>
        </w:tc>
        <w:tc>
          <w:tcPr>
            <w:tcW w:w="605" w:type="pct"/>
            <w:shd w:val="clear" w:color="000000" w:fill="DBE5F1"/>
            <w:hideMark/>
          </w:tcPr>
          <w:p w:rsidR="007B00DC" w:rsidRDefault="00E34329">
            <w:pPr>
              <w:spacing w:before="0" w:line="240" w:lineRule="auto"/>
              <w:jc w:val="center"/>
              <w:rPr>
                <w:rFonts w:cs="Arial"/>
                <w:b/>
                <w:bCs/>
                <w:color w:val="333399"/>
                <w:kern w:val="32"/>
                <w:sz w:val="22"/>
                <w:szCs w:val="22"/>
              </w:rPr>
            </w:pPr>
            <w:r w:rsidRPr="00E34329">
              <w:rPr>
                <w:b/>
                <w:bCs/>
                <w:sz w:val="22"/>
                <w:szCs w:val="22"/>
              </w:rPr>
              <w:t>PuVVNL</w:t>
            </w:r>
          </w:p>
        </w:tc>
      </w:tr>
      <w:tr w:rsidR="009B19CF" w:rsidRPr="00E8229C" w:rsidTr="00D920F1">
        <w:trPr>
          <w:trHeight w:val="300"/>
        </w:trPr>
        <w:tc>
          <w:tcPr>
            <w:tcW w:w="1956" w:type="pct"/>
            <w:shd w:val="clear" w:color="auto" w:fill="auto"/>
            <w:vAlign w:val="center"/>
            <w:hideMark/>
          </w:tcPr>
          <w:p w:rsidR="00D5771F" w:rsidRDefault="00E34329">
            <w:pPr>
              <w:spacing w:before="0" w:line="240" w:lineRule="auto"/>
              <w:rPr>
                <w:sz w:val="22"/>
                <w:szCs w:val="22"/>
              </w:rPr>
            </w:pPr>
            <w:r w:rsidRPr="00E34329">
              <w:rPr>
                <w:i/>
                <w:color w:val="000000"/>
                <w:sz w:val="22"/>
                <w:szCs w:val="22"/>
              </w:rPr>
              <w:t>Target Distribution Losses for FY 2014-15 as approved in Tariff Orders for FY 2014-15</w:t>
            </w:r>
          </w:p>
        </w:tc>
        <w:tc>
          <w:tcPr>
            <w:tcW w:w="607" w:type="pct"/>
            <w:shd w:val="clear" w:color="auto" w:fill="auto"/>
            <w:vAlign w:val="center"/>
            <w:hideMark/>
          </w:tcPr>
          <w:p w:rsidR="00D5771F" w:rsidRDefault="00E34329">
            <w:pPr>
              <w:spacing w:before="0" w:line="240" w:lineRule="auto"/>
              <w:jc w:val="center"/>
              <w:rPr>
                <w:sz w:val="22"/>
                <w:szCs w:val="22"/>
              </w:rPr>
            </w:pPr>
            <w:r w:rsidRPr="00E34329">
              <w:rPr>
                <w:i/>
                <w:color w:val="000000"/>
                <w:sz w:val="22"/>
                <w:szCs w:val="22"/>
              </w:rPr>
              <w:t>A</w:t>
            </w:r>
          </w:p>
        </w:tc>
        <w:tc>
          <w:tcPr>
            <w:tcW w:w="611"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28.00%</w:t>
            </w:r>
          </w:p>
        </w:tc>
        <w:tc>
          <w:tcPr>
            <w:tcW w:w="611"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21.03%</w:t>
            </w:r>
          </w:p>
        </w:tc>
        <w:tc>
          <w:tcPr>
            <w:tcW w:w="610"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23.00%</w:t>
            </w:r>
          </w:p>
        </w:tc>
        <w:tc>
          <w:tcPr>
            <w:tcW w:w="605"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21.72%</w:t>
            </w:r>
          </w:p>
        </w:tc>
      </w:tr>
      <w:tr w:rsidR="009B19CF" w:rsidRPr="00E8229C" w:rsidTr="00D920F1">
        <w:trPr>
          <w:trHeight w:val="300"/>
        </w:trPr>
        <w:tc>
          <w:tcPr>
            <w:tcW w:w="1956" w:type="pct"/>
            <w:shd w:val="clear" w:color="auto" w:fill="auto"/>
            <w:vAlign w:val="center"/>
            <w:hideMark/>
          </w:tcPr>
          <w:p w:rsidR="00D5771F" w:rsidRDefault="00E34329">
            <w:pPr>
              <w:spacing w:before="0" w:line="240" w:lineRule="auto"/>
              <w:rPr>
                <w:sz w:val="22"/>
                <w:szCs w:val="22"/>
              </w:rPr>
            </w:pPr>
            <w:r w:rsidRPr="00E34329">
              <w:rPr>
                <w:i/>
                <w:color w:val="000000"/>
                <w:sz w:val="22"/>
                <w:szCs w:val="22"/>
              </w:rPr>
              <w:t>Distribution Losses achieved in FY 2014-15</w:t>
            </w:r>
          </w:p>
        </w:tc>
        <w:tc>
          <w:tcPr>
            <w:tcW w:w="607" w:type="pct"/>
            <w:shd w:val="clear" w:color="auto" w:fill="auto"/>
            <w:vAlign w:val="center"/>
            <w:hideMark/>
          </w:tcPr>
          <w:p w:rsidR="00D5771F" w:rsidRDefault="00E34329">
            <w:pPr>
              <w:spacing w:before="0" w:line="240" w:lineRule="auto"/>
              <w:jc w:val="center"/>
              <w:rPr>
                <w:sz w:val="22"/>
                <w:szCs w:val="22"/>
              </w:rPr>
            </w:pPr>
            <w:r w:rsidRPr="00E34329">
              <w:rPr>
                <w:i/>
                <w:color w:val="000000"/>
                <w:sz w:val="22"/>
                <w:szCs w:val="22"/>
              </w:rPr>
              <w:t>B</w:t>
            </w:r>
          </w:p>
        </w:tc>
        <w:tc>
          <w:tcPr>
            <w:tcW w:w="611"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33.13%</w:t>
            </w:r>
          </w:p>
        </w:tc>
        <w:tc>
          <w:tcPr>
            <w:tcW w:w="611"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23.86%</w:t>
            </w:r>
          </w:p>
        </w:tc>
        <w:tc>
          <w:tcPr>
            <w:tcW w:w="610"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22.60%</w:t>
            </w:r>
          </w:p>
        </w:tc>
        <w:tc>
          <w:tcPr>
            <w:tcW w:w="605"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24.23%</w:t>
            </w:r>
          </w:p>
        </w:tc>
      </w:tr>
      <w:tr w:rsidR="009B19CF" w:rsidRPr="00E8229C" w:rsidTr="00D920F1">
        <w:trPr>
          <w:trHeight w:val="300"/>
        </w:trPr>
        <w:tc>
          <w:tcPr>
            <w:tcW w:w="1956" w:type="pct"/>
            <w:shd w:val="clear" w:color="auto" w:fill="auto"/>
            <w:vAlign w:val="center"/>
            <w:hideMark/>
          </w:tcPr>
          <w:p w:rsidR="00D5771F" w:rsidRDefault="00E34329">
            <w:pPr>
              <w:spacing w:before="0" w:line="240" w:lineRule="auto"/>
              <w:rPr>
                <w:sz w:val="22"/>
                <w:szCs w:val="22"/>
              </w:rPr>
            </w:pPr>
            <w:r w:rsidRPr="00E34329">
              <w:rPr>
                <w:i/>
                <w:color w:val="000000"/>
                <w:sz w:val="22"/>
                <w:szCs w:val="22"/>
              </w:rPr>
              <w:t>Actual Distribution Losses FY 2012-13 (As Submitted by the Licensee, which is considered as base)</w:t>
            </w:r>
          </w:p>
        </w:tc>
        <w:tc>
          <w:tcPr>
            <w:tcW w:w="607" w:type="pct"/>
            <w:shd w:val="clear" w:color="auto" w:fill="auto"/>
            <w:vAlign w:val="center"/>
            <w:hideMark/>
          </w:tcPr>
          <w:p w:rsidR="00D5771F" w:rsidRDefault="00E34329">
            <w:pPr>
              <w:spacing w:before="0" w:line="240" w:lineRule="auto"/>
              <w:jc w:val="center"/>
              <w:rPr>
                <w:sz w:val="22"/>
                <w:szCs w:val="22"/>
              </w:rPr>
            </w:pPr>
            <w:r w:rsidRPr="00E34329">
              <w:rPr>
                <w:i/>
                <w:color w:val="000000"/>
                <w:sz w:val="22"/>
                <w:szCs w:val="22"/>
              </w:rPr>
              <w:t>C</w:t>
            </w:r>
          </w:p>
        </w:tc>
        <w:tc>
          <w:tcPr>
            <w:tcW w:w="611"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36.56%</w:t>
            </w:r>
          </w:p>
        </w:tc>
        <w:tc>
          <w:tcPr>
            <w:tcW w:w="611"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24.84%</w:t>
            </w:r>
          </w:p>
        </w:tc>
        <w:tc>
          <w:tcPr>
            <w:tcW w:w="610"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28.16%</w:t>
            </w:r>
          </w:p>
        </w:tc>
        <w:tc>
          <w:tcPr>
            <w:tcW w:w="605" w:type="pct"/>
            <w:shd w:val="clear" w:color="auto" w:fill="auto"/>
            <w:vAlign w:val="center"/>
            <w:hideMark/>
          </w:tcPr>
          <w:p w:rsidR="00D5771F" w:rsidRDefault="00E34329">
            <w:pPr>
              <w:spacing w:before="0" w:line="240" w:lineRule="auto"/>
              <w:jc w:val="right"/>
              <w:rPr>
                <w:sz w:val="22"/>
                <w:szCs w:val="22"/>
              </w:rPr>
            </w:pPr>
            <w:r w:rsidRPr="00E34329">
              <w:rPr>
                <w:i/>
                <w:color w:val="000000"/>
                <w:sz w:val="22"/>
                <w:szCs w:val="22"/>
              </w:rPr>
              <w:t>25.66%</w:t>
            </w:r>
          </w:p>
        </w:tc>
      </w:tr>
      <w:tr w:rsidR="009B19CF" w:rsidRPr="00E8229C" w:rsidTr="00D920F1">
        <w:trPr>
          <w:trHeight w:val="300"/>
        </w:trPr>
        <w:tc>
          <w:tcPr>
            <w:tcW w:w="1956" w:type="pct"/>
            <w:shd w:val="clear" w:color="auto" w:fill="auto"/>
            <w:vAlign w:val="center"/>
            <w:hideMark/>
          </w:tcPr>
          <w:p w:rsidR="00D5771F" w:rsidRDefault="00E34329">
            <w:pPr>
              <w:spacing w:before="0" w:line="240" w:lineRule="auto"/>
              <w:rPr>
                <w:b/>
                <w:bCs/>
                <w:sz w:val="22"/>
                <w:szCs w:val="22"/>
              </w:rPr>
            </w:pPr>
            <w:r w:rsidRPr="00E34329">
              <w:rPr>
                <w:i/>
                <w:color w:val="000000"/>
                <w:sz w:val="22"/>
                <w:szCs w:val="22"/>
              </w:rPr>
              <w:t>Regulatory Surcharge applicable for FY 2014-15</w:t>
            </w:r>
          </w:p>
        </w:tc>
        <w:tc>
          <w:tcPr>
            <w:tcW w:w="607" w:type="pct"/>
            <w:shd w:val="clear" w:color="auto" w:fill="auto"/>
            <w:vAlign w:val="center"/>
            <w:hideMark/>
          </w:tcPr>
          <w:p w:rsidR="00D5771F" w:rsidRDefault="00E34329">
            <w:pPr>
              <w:spacing w:before="0" w:line="240" w:lineRule="auto"/>
              <w:jc w:val="center"/>
              <w:rPr>
                <w:b/>
                <w:bCs/>
                <w:sz w:val="22"/>
                <w:szCs w:val="22"/>
              </w:rPr>
            </w:pPr>
            <w:r w:rsidRPr="00E34329">
              <w:rPr>
                <w:i/>
                <w:color w:val="000000"/>
                <w:sz w:val="22"/>
                <w:szCs w:val="22"/>
              </w:rPr>
              <w:t>D</w:t>
            </w:r>
          </w:p>
        </w:tc>
        <w:tc>
          <w:tcPr>
            <w:tcW w:w="611" w:type="pct"/>
            <w:shd w:val="clear" w:color="auto" w:fill="auto"/>
            <w:vAlign w:val="center"/>
            <w:hideMark/>
          </w:tcPr>
          <w:p w:rsidR="00D5771F" w:rsidRDefault="00E34329">
            <w:pPr>
              <w:spacing w:before="0" w:line="240" w:lineRule="auto"/>
              <w:jc w:val="right"/>
              <w:rPr>
                <w:b/>
                <w:bCs/>
                <w:sz w:val="22"/>
                <w:szCs w:val="22"/>
              </w:rPr>
            </w:pPr>
            <w:r w:rsidRPr="00E34329">
              <w:rPr>
                <w:i/>
                <w:color w:val="000000"/>
                <w:sz w:val="22"/>
                <w:szCs w:val="22"/>
              </w:rPr>
              <w:t>2.84%</w:t>
            </w:r>
          </w:p>
        </w:tc>
        <w:tc>
          <w:tcPr>
            <w:tcW w:w="611" w:type="pct"/>
            <w:shd w:val="clear" w:color="auto" w:fill="auto"/>
            <w:vAlign w:val="center"/>
            <w:hideMark/>
          </w:tcPr>
          <w:p w:rsidR="00D5771F" w:rsidRDefault="00E34329">
            <w:pPr>
              <w:spacing w:before="0" w:line="240" w:lineRule="auto"/>
              <w:jc w:val="right"/>
              <w:rPr>
                <w:b/>
                <w:bCs/>
                <w:sz w:val="22"/>
                <w:szCs w:val="22"/>
              </w:rPr>
            </w:pPr>
            <w:r w:rsidRPr="00E34329">
              <w:rPr>
                <w:i/>
                <w:color w:val="000000"/>
                <w:sz w:val="22"/>
                <w:szCs w:val="22"/>
              </w:rPr>
              <w:t>2.84%</w:t>
            </w:r>
          </w:p>
        </w:tc>
        <w:tc>
          <w:tcPr>
            <w:tcW w:w="610" w:type="pct"/>
            <w:shd w:val="clear" w:color="auto" w:fill="auto"/>
            <w:vAlign w:val="center"/>
            <w:hideMark/>
          </w:tcPr>
          <w:p w:rsidR="00D5771F" w:rsidRDefault="00E34329">
            <w:pPr>
              <w:spacing w:before="0" w:line="240" w:lineRule="auto"/>
              <w:jc w:val="right"/>
              <w:rPr>
                <w:b/>
                <w:bCs/>
                <w:sz w:val="22"/>
                <w:szCs w:val="22"/>
              </w:rPr>
            </w:pPr>
            <w:r w:rsidRPr="00E34329">
              <w:rPr>
                <w:i/>
                <w:color w:val="000000"/>
                <w:sz w:val="22"/>
                <w:szCs w:val="22"/>
              </w:rPr>
              <w:t>2.84%</w:t>
            </w:r>
          </w:p>
        </w:tc>
        <w:tc>
          <w:tcPr>
            <w:tcW w:w="605" w:type="pct"/>
            <w:shd w:val="clear" w:color="auto" w:fill="auto"/>
            <w:vAlign w:val="center"/>
            <w:hideMark/>
          </w:tcPr>
          <w:p w:rsidR="00D5771F" w:rsidRDefault="00E34329">
            <w:pPr>
              <w:spacing w:before="0" w:line="240" w:lineRule="auto"/>
              <w:jc w:val="right"/>
              <w:rPr>
                <w:b/>
                <w:bCs/>
                <w:sz w:val="22"/>
                <w:szCs w:val="22"/>
              </w:rPr>
            </w:pPr>
            <w:r w:rsidRPr="00E34329">
              <w:rPr>
                <w:i/>
                <w:color w:val="000000"/>
                <w:sz w:val="22"/>
                <w:szCs w:val="22"/>
              </w:rPr>
              <w:t>2.84%</w:t>
            </w:r>
          </w:p>
        </w:tc>
      </w:tr>
      <w:tr w:rsidR="009B19CF" w:rsidRPr="00E8229C" w:rsidTr="00D920F1">
        <w:trPr>
          <w:trHeight w:val="510"/>
        </w:trPr>
        <w:tc>
          <w:tcPr>
            <w:tcW w:w="1956" w:type="pct"/>
            <w:shd w:val="clear" w:color="auto" w:fill="auto"/>
            <w:vAlign w:val="center"/>
            <w:hideMark/>
          </w:tcPr>
          <w:p w:rsidR="00D5771F" w:rsidRDefault="00E34329">
            <w:pPr>
              <w:spacing w:before="0" w:line="240" w:lineRule="auto"/>
              <w:rPr>
                <w:sz w:val="22"/>
                <w:szCs w:val="22"/>
              </w:rPr>
            </w:pPr>
            <w:r w:rsidRPr="00E34329">
              <w:rPr>
                <w:b/>
                <w:bCs/>
                <w:i/>
                <w:color w:val="000000"/>
                <w:sz w:val="22"/>
                <w:szCs w:val="22"/>
              </w:rPr>
              <w:t>Regulatory Surcharge applicable for FY 2015-16 (Max of 2.84%)</w:t>
            </w:r>
          </w:p>
        </w:tc>
        <w:tc>
          <w:tcPr>
            <w:tcW w:w="607" w:type="pct"/>
            <w:shd w:val="clear" w:color="auto" w:fill="auto"/>
            <w:vAlign w:val="center"/>
            <w:hideMark/>
          </w:tcPr>
          <w:p w:rsidR="00D5771F" w:rsidRDefault="00E34329">
            <w:pPr>
              <w:spacing w:before="0" w:line="240" w:lineRule="auto"/>
              <w:jc w:val="center"/>
              <w:rPr>
                <w:sz w:val="22"/>
                <w:szCs w:val="22"/>
              </w:rPr>
            </w:pPr>
            <w:r w:rsidRPr="00E34329">
              <w:rPr>
                <w:b/>
                <w:bCs/>
                <w:i/>
                <w:color w:val="000000"/>
                <w:sz w:val="22"/>
                <w:szCs w:val="22"/>
              </w:rPr>
              <w:t>E = D x (C-B) / (C-A)</w:t>
            </w:r>
          </w:p>
        </w:tc>
        <w:tc>
          <w:tcPr>
            <w:tcW w:w="611" w:type="pct"/>
            <w:shd w:val="clear" w:color="auto" w:fill="auto"/>
            <w:vAlign w:val="center"/>
            <w:hideMark/>
          </w:tcPr>
          <w:p w:rsidR="00D5771F" w:rsidRDefault="00E34329">
            <w:pPr>
              <w:spacing w:before="0" w:line="240" w:lineRule="auto"/>
              <w:jc w:val="right"/>
              <w:rPr>
                <w:sz w:val="22"/>
                <w:szCs w:val="22"/>
              </w:rPr>
            </w:pPr>
            <w:r w:rsidRPr="00E34329">
              <w:rPr>
                <w:b/>
                <w:bCs/>
                <w:i/>
                <w:color w:val="000000"/>
                <w:sz w:val="22"/>
                <w:szCs w:val="22"/>
              </w:rPr>
              <w:t>1.14%</w:t>
            </w:r>
          </w:p>
        </w:tc>
        <w:tc>
          <w:tcPr>
            <w:tcW w:w="611" w:type="pct"/>
            <w:shd w:val="clear" w:color="auto" w:fill="auto"/>
            <w:vAlign w:val="center"/>
            <w:hideMark/>
          </w:tcPr>
          <w:p w:rsidR="00D5771F" w:rsidRDefault="00E34329">
            <w:pPr>
              <w:spacing w:before="0" w:line="240" w:lineRule="auto"/>
              <w:jc w:val="right"/>
              <w:rPr>
                <w:sz w:val="22"/>
                <w:szCs w:val="22"/>
              </w:rPr>
            </w:pPr>
            <w:r w:rsidRPr="00E34329">
              <w:rPr>
                <w:b/>
                <w:bCs/>
                <w:i/>
                <w:color w:val="000000"/>
                <w:sz w:val="22"/>
                <w:szCs w:val="22"/>
              </w:rPr>
              <w:t>0.73%</w:t>
            </w:r>
          </w:p>
        </w:tc>
        <w:tc>
          <w:tcPr>
            <w:tcW w:w="610" w:type="pct"/>
            <w:shd w:val="clear" w:color="auto" w:fill="auto"/>
            <w:vAlign w:val="center"/>
            <w:hideMark/>
          </w:tcPr>
          <w:p w:rsidR="00D5771F" w:rsidRDefault="00E34329">
            <w:pPr>
              <w:spacing w:before="0" w:line="240" w:lineRule="auto"/>
              <w:jc w:val="right"/>
              <w:rPr>
                <w:sz w:val="22"/>
                <w:szCs w:val="22"/>
              </w:rPr>
            </w:pPr>
            <w:r w:rsidRPr="00E34329">
              <w:rPr>
                <w:b/>
                <w:bCs/>
                <w:i/>
                <w:color w:val="000000"/>
                <w:sz w:val="22"/>
                <w:szCs w:val="22"/>
              </w:rPr>
              <w:t>2.84%</w:t>
            </w:r>
          </w:p>
        </w:tc>
        <w:tc>
          <w:tcPr>
            <w:tcW w:w="605" w:type="pct"/>
            <w:shd w:val="clear" w:color="auto" w:fill="auto"/>
            <w:vAlign w:val="center"/>
            <w:hideMark/>
          </w:tcPr>
          <w:p w:rsidR="00D5771F" w:rsidRDefault="00E34329">
            <w:pPr>
              <w:spacing w:before="0" w:line="240" w:lineRule="auto"/>
              <w:jc w:val="right"/>
              <w:rPr>
                <w:sz w:val="22"/>
                <w:szCs w:val="22"/>
              </w:rPr>
            </w:pPr>
            <w:r w:rsidRPr="00E34329">
              <w:rPr>
                <w:b/>
                <w:bCs/>
                <w:i/>
                <w:color w:val="000000"/>
                <w:sz w:val="22"/>
                <w:szCs w:val="22"/>
              </w:rPr>
              <w:t>1.03%</w:t>
            </w:r>
          </w:p>
        </w:tc>
      </w:tr>
    </w:tbl>
    <w:p w:rsidR="00D5771F" w:rsidRDefault="00D5771F">
      <w:pPr>
        <w:spacing w:before="0" w:line="240" w:lineRule="auto"/>
        <w:ind w:left="720"/>
        <w:rPr>
          <w:i/>
        </w:rPr>
      </w:pPr>
    </w:p>
    <w:p w:rsidR="009B19CF" w:rsidRDefault="009B19CF" w:rsidP="009B19CF">
      <w:pPr>
        <w:spacing w:line="240" w:lineRule="auto"/>
        <w:ind w:left="720"/>
        <w:rPr>
          <w:i/>
        </w:rPr>
      </w:pPr>
      <w:r w:rsidRPr="0027249C">
        <w:rPr>
          <w:i/>
        </w:rPr>
        <w:t>The summary of the Regulatory Surcharge -1 applicable for FY 2014-15 and FY 2015-16 is shown in the Table below:</w:t>
      </w:r>
    </w:p>
    <w:p w:rsidR="009B19CF" w:rsidRPr="00D14AAD" w:rsidRDefault="006C63AF" w:rsidP="009B19CF">
      <w:pPr>
        <w:spacing w:line="300" w:lineRule="auto"/>
        <w:jc w:val="center"/>
        <w:rPr>
          <w:b/>
          <w:i/>
          <w:sz w:val="22"/>
        </w:rPr>
      </w:pPr>
      <w:r w:rsidRPr="006C63AF">
        <w:rPr>
          <w:rFonts w:asciiTheme="minorHAnsi" w:hAnsiTheme="minorHAnsi" w:cstheme="minorHAnsi"/>
          <w:b/>
          <w:sz w:val="22"/>
        </w:rPr>
        <w:t xml:space="preserve">Table 4: </w:t>
      </w:r>
      <w:r w:rsidRPr="006C63AF">
        <w:rPr>
          <w:b/>
          <w:i/>
          <w:sz w:val="22"/>
        </w:rPr>
        <w:t>Summary of the Regulatory Surcharge - 1 applicable for FY 2014-15 and FY 2015-16 is shown in the Table below:</w:t>
      </w:r>
    </w:p>
    <w:tbl>
      <w:tblPr>
        <w:tblW w:w="4523" w:type="pct"/>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45"/>
        <w:gridCol w:w="3760"/>
        <w:gridCol w:w="2932"/>
      </w:tblGrid>
      <w:tr w:rsidR="009B19CF" w:rsidRPr="00E8229C" w:rsidTr="00A8391B">
        <w:trPr>
          <w:trHeight w:val="510"/>
          <w:tblHeader/>
        </w:trPr>
        <w:tc>
          <w:tcPr>
            <w:tcW w:w="837" w:type="pct"/>
            <w:shd w:val="clear" w:color="000000" w:fill="DBE5F1"/>
            <w:hideMark/>
          </w:tcPr>
          <w:p w:rsidR="00337C98" w:rsidRDefault="00E34329" w:rsidP="00337C98">
            <w:pPr>
              <w:spacing w:before="0" w:line="240" w:lineRule="auto"/>
              <w:jc w:val="center"/>
              <w:rPr>
                <w:rFonts w:cs="Arial"/>
                <w:b/>
                <w:bCs/>
                <w:color w:val="333399"/>
                <w:kern w:val="32"/>
                <w:sz w:val="22"/>
                <w:szCs w:val="22"/>
              </w:rPr>
            </w:pPr>
            <w:r w:rsidRPr="00E34329">
              <w:rPr>
                <w:b/>
                <w:bCs/>
                <w:i/>
                <w:color w:val="000000"/>
                <w:sz w:val="22"/>
                <w:szCs w:val="22"/>
              </w:rPr>
              <w:t>Distribution Licensee</w:t>
            </w:r>
          </w:p>
        </w:tc>
        <w:tc>
          <w:tcPr>
            <w:tcW w:w="2339" w:type="pct"/>
            <w:shd w:val="clear" w:color="000000" w:fill="DBE5F1"/>
            <w:hideMark/>
          </w:tcPr>
          <w:p w:rsidR="007B00DC" w:rsidRDefault="00E34329">
            <w:pPr>
              <w:spacing w:before="0" w:line="240" w:lineRule="auto"/>
              <w:jc w:val="center"/>
              <w:rPr>
                <w:rFonts w:cs="Arial"/>
                <w:b/>
                <w:bCs/>
                <w:color w:val="333399"/>
                <w:kern w:val="32"/>
                <w:sz w:val="22"/>
                <w:szCs w:val="22"/>
              </w:rPr>
            </w:pPr>
            <w:r w:rsidRPr="00E34329">
              <w:rPr>
                <w:b/>
                <w:bCs/>
                <w:i/>
                <w:color w:val="000000"/>
                <w:sz w:val="22"/>
                <w:szCs w:val="22"/>
              </w:rPr>
              <w:t>Regulatory Surcharge - 1 (Applicable for FY 2014-15) (As approved in Order dated June 6, 2014)</w:t>
            </w:r>
          </w:p>
        </w:tc>
        <w:tc>
          <w:tcPr>
            <w:tcW w:w="1824" w:type="pct"/>
            <w:shd w:val="clear" w:color="000000" w:fill="DBE5F1"/>
            <w:hideMark/>
          </w:tcPr>
          <w:p w:rsidR="007B00DC" w:rsidRDefault="00E34329">
            <w:pPr>
              <w:spacing w:before="0" w:line="240" w:lineRule="auto"/>
              <w:jc w:val="center"/>
              <w:rPr>
                <w:rFonts w:cs="Arial"/>
                <w:b/>
                <w:bCs/>
                <w:color w:val="333399"/>
                <w:kern w:val="32"/>
                <w:sz w:val="22"/>
                <w:szCs w:val="22"/>
              </w:rPr>
            </w:pPr>
            <w:r w:rsidRPr="00E34329">
              <w:rPr>
                <w:b/>
                <w:bCs/>
                <w:i/>
                <w:color w:val="000000"/>
                <w:sz w:val="22"/>
                <w:szCs w:val="22"/>
              </w:rPr>
              <w:t>Regulatory Surcharge - 1 (Applicable for FY 2015-16) (As approved in this Order)</w:t>
            </w:r>
          </w:p>
        </w:tc>
      </w:tr>
      <w:tr w:rsidR="009B19CF" w:rsidRPr="00E8229C" w:rsidTr="00D920F1">
        <w:trPr>
          <w:trHeight w:val="300"/>
        </w:trPr>
        <w:tc>
          <w:tcPr>
            <w:tcW w:w="837" w:type="pct"/>
            <w:shd w:val="clear" w:color="auto" w:fill="auto"/>
            <w:vAlign w:val="bottom"/>
            <w:hideMark/>
          </w:tcPr>
          <w:p w:rsidR="00D5771F" w:rsidRDefault="00E34329">
            <w:pPr>
              <w:spacing w:before="0" w:line="240" w:lineRule="auto"/>
              <w:rPr>
                <w:sz w:val="22"/>
                <w:szCs w:val="22"/>
              </w:rPr>
            </w:pPr>
            <w:r w:rsidRPr="00E34329">
              <w:rPr>
                <w:b/>
                <w:i/>
                <w:color w:val="000000"/>
                <w:sz w:val="22"/>
                <w:szCs w:val="22"/>
              </w:rPr>
              <w:t>DVVNL</w:t>
            </w:r>
          </w:p>
        </w:tc>
        <w:tc>
          <w:tcPr>
            <w:tcW w:w="2339" w:type="pct"/>
            <w:shd w:val="clear" w:color="auto" w:fill="auto"/>
            <w:vAlign w:val="bottom"/>
            <w:hideMark/>
          </w:tcPr>
          <w:p w:rsidR="00D5771F" w:rsidRDefault="00E34329">
            <w:pPr>
              <w:spacing w:before="0" w:line="240" w:lineRule="auto"/>
              <w:jc w:val="center"/>
              <w:rPr>
                <w:sz w:val="22"/>
                <w:szCs w:val="22"/>
              </w:rPr>
            </w:pPr>
            <w:r w:rsidRPr="00E34329">
              <w:rPr>
                <w:i/>
                <w:color w:val="000000"/>
                <w:sz w:val="22"/>
                <w:szCs w:val="22"/>
              </w:rPr>
              <w:t>2.84%</w:t>
            </w:r>
          </w:p>
        </w:tc>
        <w:tc>
          <w:tcPr>
            <w:tcW w:w="1824" w:type="pct"/>
            <w:shd w:val="clear" w:color="auto" w:fill="auto"/>
            <w:vAlign w:val="bottom"/>
            <w:hideMark/>
          </w:tcPr>
          <w:p w:rsidR="00D5771F" w:rsidRDefault="00E34329">
            <w:pPr>
              <w:spacing w:before="0" w:line="240" w:lineRule="auto"/>
              <w:jc w:val="right"/>
              <w:rPr>
                <w:sz w:val="22"/>
                <w:szCs w:val="22"/>
              </w:rPr>
            </w:pPr>
            <w:r w:rsidRPr="00E34329">
              <w:rPr>
                <w:rFonts w:cs="Arial"/>
                <w:i/>
                <w:color w:val="000000"/>
                <w:sz w:val="22"/>
                <w:szCs w:val="22"/>
              </w:rPr>
              <w:t>1.14%</w:t>
            </w:r>
          </w:p>
        </w:tc>
      </w:tr>
      <w:tr w:rsidR="009B19CF" w:rsidRPr="00E8229C" w:rsidTr="00D920F1">
        <w:trPr>
          <w:trHeight w:val="300"/>
        </w:trPr>
        <w:tc>
          <w:tcPr>
            <w:tcW w:w="837" w:type="pct"/>
            <w:shd w:val="clear" w:color="auto" w:fill="auto"/>
            <w:vAlign w:val="bottom"/>
            <w:hideMark/>
          </w:tcPr>
          <w:p w:rsidR="00D5771F" w:rsidRDefault="00E34329">
            <w:pPr>
              <w:spacing w:before="0" w:line="240" w:lineRule="auto"/>
              <w:rPr>
                <w:sz w:val="22"/>
                <w:szCs w:val="22"/>
              </w:rPr>
            </w:pPr>
            <w:r w:rsidRPr="00E34329">
              <w:rPr>
                <w:b/>
                <w:i/>
                <w:color w:val="000000"/>
                <w:sz w:val="22"/>
                <w:szCs w:val="22"/>
              </w:rPr>
              <w:t>MVVNL</w:t>
            </w:r>
          </w:p>
        </w:tc>
        <w:tc>
          <w:tcPr>
            <w:tcW w:w="2339" w:type="pct"/>
            <w:shd w:val="clear" w:color="auto" w:fill="auto"/>
            <w:vAlign w:val="bottom"/>
            <w:hideMark/>
          </w:tcPr>
          <w:p w:rsidR="00D5771F" w:rsidRDefault="00E34329">
            <w:pPr>
              <w:spacing w:before="0" w:line="240" w:lineRule="auto"/>
              <w:jc w:val="center"/>
              <w:rPr>
                <w:sz w:val="22"/>
                <w:szCs w:val="22"/>
              </w:rPr>
            </w:pPr>
            <w:r w:rsidRPr="00E34329">
              <w:rPr>
                <w:i/>
                <w:color w:val="000000"/>
                <w:sz w:val="22"/>
                <w:szCs w:val="22"/>
              </w:rPr>
              <w:t>2.84%</w:t>
            </w:r>
          </w:p>
        </w:tc>
        <w:tc>
          <w:tcPr>
            <w:tcW w:w="1824" w:type="pct"/>
            <w:shd w:val="clear" w:color="auto" w:fill="auto"/>
            <w:vAlign w:val="bottom"/>
            <w:hideMark/>
          </w:tcPr>
          <w:p w:rsidR="00D5771F" w:rsidRDefault="00E34329">
            <w:pPr>
              <w:spacing w:before="0" w:line="240" w:lineRule="auto"/>
              <w:jc w:val="right"/>
              <w:rPr>
                <w:sz w:val="22"/>
                <w:szCs w:val="22"/>
              </w:rPr>
            </w:pPr>
            <w:r w:rsidRPr="00E34329">
              <w:rPr>
                <w:rFonts w:cs="Arial"/>
                <w:i/>
                <w:color w:val="000000"/>
                <w:sz w:val="22"/>
                <w:szCs w:val="22"/>
              </w:rPr>
              <w:t>0.73%</w:t>
            </w:r>
          </w:p>
        </w:tc>
      </w:tr>
      <w:tr w:rsidR="009B19CF" w:rsidRPr="00E8229C" w:rsidTr="00D920F1">
        <w:trPr>
          <w:trHeight w:val="300"/>
        </w:trPr>
        <w:tc>
          <w:tcPr>
            <w:tcW w:w="837" w:type="pct"/>
            <w:shd w:val="clear" w:color="auto" w:fill="auto"/>
            <w:vAlign w:val="bottom"/>
          </w:tcPr>
          <w:p w:rsidR="00D5771F" w:rsidRDefault="00E34329">
            <w:pPr>
              <w:spacing w:before="0" w:line="240" w:lineRule="auto"/>
              <w:rPr>
                <w:i/>
                <w:color w:val="000000"/>
                <w:sz w:val="22"/>
                <w:szCs w:val="22"/>
              </w:rPr>
            </w:pPr>
            <w:r w:rsidRPr="00E34329">
              <w:rPr>
                <w:b/>
                <w:i/>
                <w:color w:val="000000"/>
                <w:sz w:val="22"/>
                <w:szCs w:val="22"/>
              </w:rPr>
              <w:t>PVVNL</w:t>
            </w:r>
          </w:p>
        </w:tc>
        <w:tc>
          <w:tcPr>
            <w:tcW w:w="2339" w:type="pct"/>
            <w:shd w:val="clear" w:color="auto" w:fill="auto"/>
            <w:vAlign w:val="bottom"/>
          </w:tcPr>
          <w:p w:rsidR="00D5771F" w:rsidRDefault="00E34329">
            <w:pPr>
              <w:spacing w:before="0" w:line="240" w:lineRule="auto"/>
              <w:jc w:val="center"/>
              <w:rPr>
                <w:i/>
                <w:color w:val="000000"/>
                <w:sz w:val="22"/>
                <w:szCs w:val="22"/>
              </w:rPr>
            </w:pPr>
            <w:r w:rsidRPr="00E34329">
              <w:rPr>
                <w:i/>
                <w:color w:val="000000"/>
                <w:sz w:val="22"/>
                <w:szCs w:val="22"/>
              </w:rPr>
              <w:t>2.84%</w:t>
            </w:r>
          </w:p>
        </w:tc>
        <w:tc>
          <w:tcPr>
            <w:tcW w:w="1824" w:type="pct"/>
            <w:shd w:val="clear" w:color="auto" w:fill="auto"/>
            <w:vAlign w:val="bottom"/>
          </w:tcPr>
          <w:p w:rsidR="00D5771F" w:rsidRDefault="00E34329">
            <w:pPr>
              <w:spacing w:before="0" w:line="240" w:lineRule="auto"/>
              <w:jc w:val="right"/>
              <w:rPr>
                <w:i/>
                <w:color w:val="000000"/>
                <w:sz w:val="22"/>
                <w:szCs w:val="22"/>
              </w:rPr>
            </w:pPr>
            <w:r w:rsidRPr="00E34329">
              <w:rPr>
                <w:rFonts w:cs="Arial"/>
                <w:i/>
                <w:color w:val="000000"/>
                <w:sz w:val="22"/>
                <w:szCs w:val="22"/>
              </w:rPr>
              <w:t>2.84%</w:t>
            </w:r>
          </w:p>
        </w:tc>
      </w:tr>
      <w:tr w:rsidR="009B19CF" w:rsidRPr="00E8229C" w:rsidTr="00D920F1">
        <w:trPr>
          <w:trHeight w:val="300"/>
        </w:trPr>
        <w:tc>
          <w:tcPr>
            <w:tcW w:w="837" w:type="pct"/>
            <w:shd w:val="clear" w:color="auto" w:fill="auto"/>
            <w:vAlign w:val="bottom"/>
          </w:tcPr>
          <w:p w:rsidR="00D5771F" w:rsidRDefault="00E34329">
            <w:pPr>
              <w:spacing w:before="0" w:line="240" w:lineRule="auto"/>
              <w:rPr>
                <w:i/>
                <w:color w:val="000000"/>
                <w:sz w:val="22"/>
                <w:szCs w:val="22"/>
              </w:rPr>
            </w:pPr>
            <w:r w:rsidRPr="00E34329">
              <w:rPr>
                <w:b/>
                <w:i/>
                <w:color w:val="000000"/>
                <w:sz w:val="22"/>
                <w:szCs w:val="22"/>
              </w:rPr>
              <w:t>PuVVNL</w:t>
            </w:r>
          </w:p>
        </w:tc>
        <w:tc>
          <w:tcPr>
            <w:tcW w:w="2339" w:type="pct"/>
            <w:shd w:val="clear" w:color="auto" w:fill="auto"/>
            <w:vAlign w:val="bottom"/>
          </w:tcPr>
          <w:p w:rsidR="00D5771F" w:rsidRDefault="00E34329">
            <w:pPr>
              <w:spacing w:before="0" w:line="240" w:lineRule="auto"/>
              <w:jc w:val="center"/>
              <w:rPr>
                <w:i/>
                <w:color w:val="000000"/>
                <w:sz w:val="22"/>
                <w:szCs w:val="22"/>
              </w:rPr>
            </w:pPr>
            <w:r w:rsidRPr="00E34329">
              <w:rPr>
                <w:i/>
                <w:color w:val="000000"/>
                <w:sz w:val="22"/>
                <w:szCs w:val="22"/>
              </w:rPr>
              <w:t>2.84%</w:t>
            </w:r>
          </w:p>
        </w:tc>
        <w:tc>
          <w:tcPr>
            <w:tcW w:w="1824" w:type="pct"/>
            <w:shd w:val="clear" w:color="auto" w:fill="auto"/>
            <w:vAlign w:val="bottom"/>
          </w:tcPr>
          <w:p w:rsidR="00D5771F" w:rsidRDefault="00E34329">
            <w:pPr>
              <w:spacing w:before="0" w:line="240" w:lineRule="auto"/>
              <w:jc w:val="right"/>
              <w:rPr>
                <w:i/>
                <w:color w:val="000000"/>
                <w:sz w:val="22"/>
                <w:szCs w:val="22"/>
              </w:rPr>
            </w:pPr>
            <w:r w:rsidRPr="00E34329">
              <w:rPr>
                <w:rFonts w:cs="Arial"/>
                <w:i/>
                <w:color w:val="000000"/>
                <w:sz w:val="22"/>
                <w:szCs w:val="22"/>
              </w:rPr>
              <w:t>1.03%</w:t>
            </w:r>
          </w:p>
        </w:tc>
      </w:tr>
      <w:tr w:rsidR="009B19CF" w:rsidRPr="00E8229C" w:rsidTr="00D920F1">
        <w:trPr>
          <w:trHeight w:val="300"/>
        </w:trPr>
        <w:tc>
          <w:tcPr>
            <w:tcW w:w="837" w:type="pct"/>
            <w:shd w:val="clear" w:color="auto" w:fill="auto"/>
            <w:vAlign w:val="bottom"/>
          </w:tcPr>
          <w:p w:rsidR="00D5771F" w:rsidRDefault="00E34329">
            <w:pPr>
              <w:spacing w:before="0" w:line="240" w:lineRule="auto"/>
              <w:rPr>
                <w:i/>
                <w:color w:val="000000"/>
                <w:sz w:val="22"/>
                <w:szCs w:val="22"/>
              </w:rPr>
            </w:pPr>
            <w:r w:rsidRPr="00E34329">
              <w:rPr>
                <w:b/>
                <w:i/>
                <w:color w:val="000000"/>
                <w:sz w:val="22"/>
                <w:szCs w:val="22"/>
              </w:rPr>
              <w:t>KESCO</w:t>
            </w:r>
          </w:p>
        </w:tc>
        <w:tc>
          <w:tcPr>
            <w:tcW w:w="2339" w:type="pct"/>
            <w:shd w:val="clear" w:color="auto" w:fill="auto"/>
            <w:vAlign w:val="bottom"/>
          </w:tcPr>
          <w:p w:rsidR="00D5771F" w:rsidRDefault="00E34329">
            <w:pPr>
              <w:spacing w:before="0" w:line="240" w:lineRule="auto"/>
              <w:jc w:val="center"/>
              <w:rPr>
                <w:i/>
                <w:color w:val="000000"/>
                <w:sz w:val="22"/>
                <w:szCs w:val="22"/>
              </w:rPr>
            </w:pPr>
            <w:r w:rsidRPr="00E34329">
              <w:rPr>
                <w:i/>
                <w:color w:val="000000"/>
                <w:sz w:val="22"/>
                <w:szCs w:val="22"/>
              </w:rPr>
              <w:t>0.00%</w:t>
            </w:r>
          </w:p>
        </w:tc>
        <w:tc>
          <w:tcPr>
            <w:tcW w:w="1824" w:type="pct"/>
            <w:shd w:val="clear" w:color="auto" w:fill="auto"/>
            <w:vAlign w:val="bottom"/>
          </w:tcPr>
          <w:p w:rsidR="00D5771F" w:rsidRDefault="00E34329">
            <w:pPr>
              <w:spacing w:before="0" w:line="240" w:lineRule="auto"/>
              <w:jc w:val="right"/>
              <w:rPr>
                <w:i/>
                <w:color w:val="000000"/>
                <w:sz w:val="22"/>
                <w:szCs w:val="22"/>
              </w:rPr>
            </w:pPr>
            <w:r w:rsidRPr="00E34329">
              <w:rPr>
                <w:rFonts w:cs="Arial"/>
                <w:i/>
                <w:color w:val="000000"/>
                <w:sz w:val="22"/>
                <w:szCs w:val="22"/>
              </w:rPr>
              <w:t>0.00%</w:t>
            </w:r>
          </w:p>
        </w:tc>
      </w:tr>
    </w:tbl>
    <w:p w:rsidR="00D5771F" w:rsidRPr="00F67978" w:rsidRDefault="006C63AF">
      <w:pPr>
        <w:spacing w:before="0"/>
        <w:ind w:left="720"/>
        <w:rPr>
          <w:i/>
          <w:sz w:val="22"/>
        </w:rPr>
      </w:pPr>
      <w:r w:rsidRPr="006C63AF">
        <w:rPr>
          <w:i/>
          <w:sz w:val="22"/>
        </w:rPr>
        <w:t>Note:The  Regulatory  Surcharge  for  FY  2015-16  as  approved  in  this  Order  would  be effective from 1</w:t>
      </w:r>
      <w:r w:rsidRPr="006C63AF">
        <w:rPr>
          <w:i/>
          <w:sz w:val="22"/>
          <w:vertAlign w:val="superscript"/>
        </w:rPr>
        <w:t>st</w:t>
      </w:r>
      <w:r w:rsidRPr="006C63AF">
        <w:rPr>
          <w:i/>
          <w:sz w:val="22"/>
        </w:rPr>
        <w:t xml:space="preserve">  April, 2015”</w:t>
      </w:r>
    </w:p>
    <w:p w:rsidR="009B19CF" w:rsidRDefault="009B19CF" w:rsidP="009B19CF">
      <w:pPr>
        <w:ind w:left="720"/>
        <w:rPr>
          <w:i/>
        </w:rPr>
      </w:pPr>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 xml:space="preserve">The  relevant  extract  of  the  aforesaid  Order  regarding  applicability  of Regulatory  Surcharge-2  (i.e.  for  the  recovery  of  approved  Revenue  Gap  </w:t>
      </w:r>
      <w:r w:rsidRPr="00E34329">
        <w:rPr>
          <w:rFonts w:asciiTheme="minorHAnsi" w:hAnsiTheme="minorHAnsi" w:cstheme="minorHAnsi"/>
          <w:szCs w:val="24"/>
        </w:rPr>
        <w:lastRenderedPageBreak/>
        <w:t xml:space="preserve">on account  of  True-up  of  ARRs  for  FY  2008-09  to  FY  2011-12)  for  FY  2015-16  has been reproduced below: </w:t>
      </w:r>
    </w:p>
    <w:p w:rsidR="009B19CF" w:rsidRDefault="009B19CF" w:rsidP="009B19CF">
      <w:pPr>
        <w:ind w:left="1440"/>
        <w:rPr>
          <w:i/>
        </w:rPr>
      </w:pPr>
      <w:r w:rsidRPr="00893763">
        <w:rPr>
          <w:i/>
        </w:rPr>
        <w:t xml:space="preserve">“With regard to above, the Commission is of the view that the Distribution Licensees  have  shown  its  sincere  efforts  to  the  direction  given  by  the Commission.  As  detailed  above,  the  Distribution  Licensees  have undertaken  various  initiatives  such  as  new  connection  drive,  feeder  wise loss  reduction  drive,  OTS  and  regularization  of  connection,  etc.  In  this regard, it is to be noted that the Commission has given consumer addition target  of  35.96  lakh  for  FY  2014-15  to  the  Distribution  Licensees,  in compliance to which the Distribution Licensees has added around 24 lakh consumers  in  time  period  of  only  two  months.  Thus,  considering  the remarkable  achievement  of  the  Licensees  with  regard  to  the  consumer addition  target,  the  Commission  approves  the  Regulatory  Surcharges  for FY 2015-16 at the same level as approved in the Tariff Orders for FY 2014-15  dated  October  1,  2014  for  the  Distribution  Licensees  namely  DVVNL, PVVNL, PuVVNL &amp; MVVNL. </w:t>
      </w:r>
    </w:p>
    <w:p w:rsidR="00D5771F" w:rsidRDefault="009B19CF">
      <w:pPr>
        <w:ind w:left="1440"/>
        <w:rPr>
          <w:i/>
        </w:rPr>
      </w:pPr>
      <w:r w:rsidRPr="006432D8">
        <w:rPr>
          <w:i/>
        </w:rPr>
        <w:t>The  summary  of  the  Regulatory  Surcharge-2  applicable  for  FY  2014-15  and FY 2015-16 is shown in the Table below:</w:t>
      </w:r>
    </w:p>
    <w:p w:rsidR="009B19CF" w:rsidRDefault="009B19CF" w:rsidP="009B19CF">
      <w:pPr>
        <w:ind w:left="720"/>
        <w:rPr>
          <w:i/>
        </w:rPr>
      </w:pPr>
    </w:p>
    <w:p w:rsidR="009B19CF" w:rsidRPr="00F67978" w:rsidRDefault="006C63AF" w:rsidP="009B19CF">
      <w:pPr>
        <w:spacing w:line="300" w:lineRule="auto"/>
        <w:jc w:val="center"/>
        <w:rPr>
          <w:b/>
          <w:i/>
          <w:sz w:val="22"/>
        </w:rPr>
      </w:pPr>
      <w:r w:rsidRPr="006C63AF">
        <w:rPr>
          <w:rFonts w:asciiTheme="minorHAnsi" w:hAnsiTheme="minorHAnsi" w:cstheme="minorHAnsi"/>
          <w:b/>
          <w:sz w:val="22"/>
        </w:rPr>
        <w:t xml:space="preserve">Table 5: </w:t>
      </w:r>
      <w:r w:rsidRPr="006C63AF">
        <w:rPr>
          <w:b/>
          <w:i/>
          <w:sz w:val="22"/>
        </w:rPr>
        <w:t>Summary of the Regulatory Surcharge - 1 applicable for FY 2014-15 and FY 2015-16 is shown in the Table below:</w:t>
      </w:r>
    </w:p>
    <w:tbl>
      <w:tblPr>
        <w:tblW w:w="495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104"/>
        <w:gridCol w:w="3759"/>
        <w:gridCol w:w="2933"/>
      </w:tblGrid>
      <w:tr w:rsidR="009B19CF" w:rsidRPr="00E8229C" w:rsidTr="00A8391B">
        <w:trPr>
          <w:trHeight w:val="510"/>
          <w:tblHeader/>
        </w:trPr>
        <w:tc>
          <w:tcPr>
            <w:tcW w:w="1196" w:type="pct"/>
            <w:shd w:val="clear" w:color="000000" w:fill="DBE5F1"/>
            <w:hideMark/>
          </w:tcPr>
          <w:p w:rsidR="00337C98" w:rsidRDefault="00E34329" w:rsidP="00337C98">
            <w:pPr>
              <w:spacing w:before="0" w:line="240" w:lineRule="auto"/>
              <w:jc w:val="center"/>
              <w:rPr>
                <w:rFonts w:cs="Arial"/>
                <w:b/>
                <w:bCs/>
                <w:color w:val="333399"/>
                <w:kern w:val="32"/>
                <w:sz w:val="22"/>
              </w:rPr>
            </w:pPr>
            <w:r w:rsidRPr="00E34329">
              <w:rPr>
                <w:b/>
                <w:bCs/>
                <w:i/>
                <w:color w:val="000000"/>
                <w:sz w:val="22"/>
              </w:rPr>
              <w:t>Distribution Licensee</w:t>
            </w:r>
          </w:p>
        </w:tc>
        <w:tc>
          <w:tcPr>
            <w:tcW w:w="2137" w:type="pct"/>
            <w:shd w:val="clear" w:color="000000" w:fill="DBE5F1"/>
            <w:hideMark/>
          </w:tcPr>
          <w:p w:rsidR="007B00DC" w:rsidRDefault="00E34329">
            <w:pPr>
              <w:spacing w:before="0" w:line="240" w:lineRule="auto"/>
              <w:jc w:val="center"/>
              <w:rPr>
                <w:rFonts w:cs="Arial"/>
                <w:b/>
                <w:bCs/>
                <w:color w:val="333399"/>
                <w:kern w:val="32"/>
                <w:sz w:val="22"/>
              </w:rPr>
            </w:pPr>
            <w:r w:rsidRPr="00E34329">
              <w:rPr>
                <w:b/>
                <w:bCs/>
                <w:i/>
                <w:color w:val="000000"/>
                <w:sz w:val="22"/>
              </w:rPr>
              <w:t>Regulatory Surcharge - 2 (Applicable for FY 2014-15) (As approved in Order dated Oct 1, 2014)</w:t>
            </w:r>
          </w:p>
        </w:tc>
        <w:tc>
          <w:tcPr>
            <w:tcW w:w="1667" w:type="pct"/>
            <w:shd w:val="clear" w:color="000000" w:fill="DBE5F1"/>
            <w:hideMark/>
          </w:tcPr>
          <w:p w:rsidR="007B00DC" w:rsidRDefault="00E34329">
            <w:pPr>
              <w:spacing w:before="0" w:line="240" w:lineRule="auto"/>
              <w:jc w:val="center"/>
              <w:rPr>
                <w:rFonts w:cs="Arial"/>
                <w:b/>
                <w:bCs/>
                <w:color w:val="333399"/>
                <w:kern w:val="32"/>
                <w:sz w:val="22"/>
              </w:rPr>
            </w:pPr>
            <w:r w:rsidRPr="00E34329">
              <w:rPr>
                <w:b/>
                <w:bCs/>
                <w:i/>
                <w:color w:val="000000"/>
                <w:sz w:val="22"/>
              </w:rPr>
              <w:t>Regulatory Surcharge - 2 (Applicable for FY 2015-16) (As approved in this Order)</w:t>
            </w:r>
          </w:p>
        </w:tc>
      </w:tr>
      <w:tr w:rsidR="009B19CF" w:rsidRPr="00E8229C" w:rsidTr="00D920F1">
        <w:trPr>
          <w:trHeight w:val="300"/>
        </w:trPr>
        <w:tc>
          <w:tcPr>
            <w:tcW w:w="1196" w:type="pct"/>
            <w:shd w:val="clear" w:color="auto" w:fill="auto"/>
            <w:vAlign w:val="bottom"/>
            <w:hideMark/>
          </w:tcPr>
          <w:p w:rsidR="00D5771F" w:rsidRDefault="00E34329">
            <w:pPr>
              <w:spacing w:before="0" w:line="240" w:lineRule="auto"/>
              <w:rPr>
                <w:sz w:val="22"/>
              </w:rPr>
            </w:pPr>
            <w:r w:rsidRPr="00E34329">
              <w:rPr>
                <w:b/>
                <w:i/>
                <w:color w:val="000000"/>
                <w:sz w:val="22"/>
              </w:rPr>
              <w:t>DVVNL</w:t>
            </w:r>
          </w:p>
        </w:tc>
        <w:tc>
          <w:tcPr>
            <w:tcW w:w="2137" w:type="pct"/>
            <w:shd w:val="clear" w:color="auto" w:fill="auto"/>
            <w:hideMark/>
          </w:tcPr>
          <w:p w:rsidR="00D5771F" w:rsidRDefault="00E34329">
            <w:pPr>
              <w:spacing w:before="0" w:line="240" w:lineRule="auto"/>
              <w:jc w:val="center"/>
              <w:rPr>
                <w:sz w:val="22"/>
              </w:rPr>
            </w:pPr>
            <w:r w:rsidRPr="00E34329">
              <w:rPr>
                <w:i/>
                <w:color w:val="000000"/>
                <w:sz w:val="22"/>
              </w:rPr>
              <w:t>2.38%</w:t>
            </w:r>
          </w:p>
        </w:tc>
        <w:tc>
          <w:tcPr>
            <w:tcW w:w="1667" w:type="pct"/>
            <w:shd w:val="clear" w:color="auto" w:fill="auto"/>
            <w:hideMark/>
          </w:tcPr>
          <w:p w:rsidR="00D5771F" w:rsidRDefault="00E34329">
            <w:pPr>
              <w:spacing w:before="0" w:line="240" w:lineRule="auto"/>
              <w:jc w:val="right"/>
              <w:rPr>
                <w:sz w:val="22"/>
              </w:rPr>
            </w:pPr>
            <w:r w:rsidRPr="00E34329">
              <w:rPr>
                <w:i/>
                <w:color w:val="000000"/>
                <w:sz w:val="22"/>
              </w:rPr>
              <w:t>2.38%</w:t>
            </w:r>
          </w:p>
        </w:tc>
      </w:tr>
      <w:tr w:rsidR="009B19CF" w:rsidRPr="00E8229C" w:rsidTr="00D920F1">
        <w:trPr>
          <w:trHeight w:val="300"/>
        </w:trPr>
        <w:tc>
          <w:tcPr>
            <w:tcW w:w="1196" w:type="pct"/>
            <w:shd w:val="clear" w:color="auto" w:fill="auto"/>
            <w:vAlign w:val="bottom"/>
            <w:hideMark/>
          </w:tcPr>
          <w:p w:rsidR="00D5771F" w:rsidRDefault="00E34329">
            <w:pPr>
              <w:spacing w:before="0" w:line="240" w:lineRule="auto"/>
              <w:rPr>
                <w:sz w:val="22"/>
              </w:rPr>
            </w:pPr>
            <w:r w:rsidRPr="00E34329">
              <w:rPr>
                <w:b/>
                <w:i/>
                <w:color w:val="000000"/>
                <w:sz w:val="22"/>
              </w:rPr>
              <w:t>MVVNL</w:t>
            </w:r>
          </w:p>
        </w:tc>
        <w:tc>
          <w:tcPr>
            <w:tcW w:w="2137" w:type="pct"/>
            <w:shd w:val="clear" w:color="auto" w:fill="auto"/>
            <w:hideMark/>
          </w:tcPr>
          <w:p w:rsidR="00D5771F" w:rsidRDefault="00E34329">
            <w:pPr>
              <w:spacing w:before="0" w:line="240" w:lineRule="auto"/>
              <w:jc w:val="center"/>
              <w:rPr>
                <w:sz w:val="22"/>
              </w:rPr>
            </w:pPr>
            <w:r w:rsidRPr="00E34329">
              <w:rPr>
                <w:i/>
                <w:color w:val="000000"/>
                <w:sz w:val="22"/>
              </w:rPr>
              <w:t>2.38%</w:t>
            </w:r>
          </w:p>
        </w:tc>
        <w:tc>
          <w:tcPr>
            <w:tcW w:w="1667" w:type="pct"/>
            <w:shd w:val="clear" w:color="auto" w:fill="auto"/>
            <w:hideMark/>
          </w:tcPr>
          <w:p w:rsidR="00D5771F" w:rsidRDefault="00E34329">
            <w:pPr>
              <w:spacing w:before="0" w:line="240" w:lineRule="auto"/>
              <w:jc w:val="right"/>
              <w:rPr>
                <w:sz w:val="22"/>
              </w:rPr>
            </w:pPr>
            <w:r w:rsidRPr="00E34329">
              <w:rPr>
                <w:i/>
                <w:color w:val="000000"/>
                <w:sz w:val="22"/>
              </w:rPr>
              <w:t>2.38%</w:t>
            </w:r>
          </w:p>
        </w:tc>
      </w:tr>
      <w:tr w:rsidR="009B19CF" w:rsidRPr="00E8229C" w:rsidTr="00D920F1">
        <w:trPr>
          <w:trHeight w:val="300"/>
        </w:trPr>
        <w:tc>
          <w:tcPr>
            <w:tcW w:w="1196" w:type="pct"/>
            <w:shd w:val="clear" w:color="auto" w:fill="auto"/>
            <w:vAlign w:val="bottom"/>
          </w:tcPr>
          <w:p w:rsidR="00D5771F" w:rsidRDefault="00E34329">
            <w:pPr>
              <w:spacing w:before="0" w:line="240" w:lineRule="auto"/>
              <w:rPr>
                <w:i/>
                <w:color w:val="000000"/>
                <w:sz w:val="22"/>
              </w:rPr>
            </w:pPr>
            <w:r w:rsidRPr="00E34329">
              <w:rPr>
                <w:b/>
                <w:i/>
                <w:color w:val="000000"/>
                <w:sz w:val="22"/>
              </w:rPr>
              <w:t>PVVNL</w:t>
            </w:r>
          </w:p>
        </w:tc>
        <w:tc>
          <w:tcPr>
            <w:tcW w:w="2137" w:type="pct"/>
            <w:shd w:val="clear" w:color="auto" w:fill="auto"/>
          </w:tcPr>
          <w:p w:rsidR="00D5771F" w:rsidRDefault="00E34329">
            <w:pPr>
              <w:spacing w:before="0" w:line="240" w:lineRule="auto"/>
              <w:jc w:val="center"/>
              <w:rPr>
                <w:i/>
                <w:color w:val="000000"/>
                <w:sz w:val="22"/>
              </w:rPr>
            </w:pPr>
            <w:r w:rsidRPr="00E34329">
              <w:rPr>
                <w:i/>
                <w:color w:val="000000"/>
                <w:sz w:val="22"/>
              </w:rPr>
              <w:t>2.38%</w:t>
            </w:r>
          </w:p>
        </w:tc>
        <w:tc>
          <w:tcPr>
            <w:tcW w:w="1667" w:type="pct"/>
            <w:shd w:val="clear" w:color="auto" w:fill="auto"/>
          </w:tcPr>
          <w:p w:rsidR="00D5771F" w:rsidRDefault="00E34329">
            <w:pPr>
              <w:spacing w:before="0" w:line="240" w:lineRule="auto"/>
              <w:jc w:val="right"/>
              <w:rPr>
                <w:i/>
                <w:color w:val="000000"/>
                <w:sz w:val="22"/>
              </w:rPr>
            </w:pPr>
            <w:r w:rsidRPr="00E34329">
              <w:rPr>
                <w:i/>
                <w:color w:val="000000"/>
                <w:sz w:val="22"/>
              </w:rPr>
              <w:t>2.38%</w:t>
            </w:r>
          </w:p>
        </w:tc>
      </w:tr>
      <w:tr w:rsidR="009B19CF" w:rsidRPr="00E8229C" w:rsidTr="00D920F1">
        <w:trPr>
          <w:trHeight w:val="300"/>
        </w:trPr>
        <w:tc>
          <w:tcPr>
            <w:tcW w:w="1196" w:type="pct"/>
            <w:shd w:val="clear" w:color="auto" w:fill="auto"/>
            <w:vAlign w:val="bottom"/>
          </w:tcPr>
          <w:p w:rsidR="00D5771F" w:rsidRDefault="00E34329">
            <w:pPr>
              <w:spacing w:before="0" w:line="240" w:lineRule="auto"/>
              <w:rPr>
                <w:i/>
                <w:color w:val="000000"/>
                <w:sz w:val="22"/>
              </w:rPr>
            </w:pPr>
            <w:r w:rsidRPr="00E34329">
              <w:rPr>
                <w:b/>
                <w:i/>
                <w:color w:val="000000"/>
                <w:sz w:val="22"/>
              </w:rPr>
              <w:t>PuVVNL</w:t>
            </w:r>
          </w:p>
        </w:tc>
        <w:tc>
          <w:tcPr>
            <w:tcW w:w="2137" w:type="pct"/>
            <w:shd w:val="clear" w:color="auto" w:fill="auto"/>
          </w:tcPr>
          <w:p w:rsidR="00D5771F" w:rsidRDefault="00E34329">
            <w:pPr>
              <w:spacing w:before="0" w:line="240" w:lineRule="auto"/>
              <w:jc w:val="center"/>
              <w:rPr>
                <w:i/>
                <w:color w:val="000000"/>
                <w:sz w:val="22"/>
              </w:rPr>
            </w:pPr>
            <w:r w:rsidRPr="00E34329">
              <w:rPr>
                <w:i/>
                <w:color w:val="000000"/>
                <w:sz w:val="22"/>
              </w:rPr>
              <w:t>2.38%</w:t>
            </w:r>
          </w:p>
        </w:tc>
        <w:tc>
          <w:tcPr>
            <w:tcW w:w="1667" w:type="pct"/>
            <w:shd w:val="clear" w:color="auto" w:fill="auto"/>
          </w:tcPr>
          <w:p w:rsidR="00D5771F" w:rsidRDefault="00E34329">
            <w:pPr>
              <w:spacing w:before="0" w:line="240" w:lineRule="auto"/>
              <w:jc w:val="right"/>
              <w:rPr>
                <w:i/>
                <w:color w:val="000000"/>
                <w:sz w:val="22"/>
              </w:rPr>
            </w:pPr>
            <w:r w:rsidRPr="00E34329">
              <w:rPr>
                <w:i/>
                <w:color w:val="000000"/>
                <w:sz w:val="22"/>
              </w:rPr>
              <w:t>2.38%</w:t>
            </w:r>
          </w:p>
        </w:tc>
      </w:tr>
      <w:tr w:rsidR="009B19CF" w:rsidRPr="00E8229C" w:rsidTr="00D920F1">
        <w:trPr>
          <w:trHeight w:val="300"/>
        </w:trPr>
        <w:tc>
          <w:tcPr>
            <w:tcW w:w="1196" w:type="pct"/>
            <w:shd w:val="clear" w:color="auto" w:fill="auto"/>
            <w:vAlign w:val="bottom"/>
          </w:tcPr>
          <w:p w:rsidR="00D5771F" w:rsidRDefault="00E34329">
            <w:pPr>
              <w:spacing w:before="0" w:line="240" w:lineRule="auto"/>
              <w:rPr>
                <w:i/>
                <w:color w:val="000000"/>
                <w:sz w:val="22"/>
              </w:rPr>
            </w:pPr>
            <w:r w:rsidRPr="00E34329">
              <w:rPr>
                <w:b/>
                <w:i/>
                <w:color w:val="000000"/>
                <w:sz w:val="22"/>
              </w:rPr>
              <w:t>KESCO</w:t>
            </w:r>
          </w:p>
        </w:tc>
        <w:tc>
          <w:tcPr>
            <w:tcW w:w="2137" w:type="pct"/>
            <w:shd w:val="clear" w:color="auto" w:fill="auto"/>
            <w:vAlign w:val="bottom"/>
          </w:tcPr>
          <w:p w:rsidR="00D5771F" w:rsidRDefault="00E34329">
            <w:pPr>
              <w:spacing w:before="0" w:line="240" w:lineRule="auto"/>
              <w:jc w:val="center"/>
              <w:rPr>
                <w:i/>
                <w:color w:val="000000"/>
                <w:sz w:val="22"/>
              </w:rPr>
            </w:pPr>
            <w:r w:rsidRPr="00E34329">
              <w:rPr>
                <w:i/>
                <w:color w:val="000000"/>
                <w:sz w:val="22"/>
              </w:rPr>
              <w:t>2.23%</w:t>
            </w:r>
          </w:p>
        </w:tc>
        <w:tc>
          <w:tcPr>
            <w:tcW w:w="1667" w:type="pct"/>
            <w:shd w:val="clear" w:color="auto" w:fill="auto"/>
            <w:vAlign w:val="bottom"/>
          </w:tcPr>
          <w:p w:rsidR="00D5771F" w:rsidRDefault="00E34329">
            <w:pPr>
              <w:spacing w:before="0" w:line="240" w:lineRule="auto"/>
              <w:jc w:val="right"/>
              <w:rPr>
                <w:i/>
                <w:color w:val="000000"/>
                <w:sz w:val="22"/>
              </w:rPr>
            </w:pPr>
            <w:r w:rsidRPr="00E34329">
              <w:rPr>
                <w:rFonts w:cs="Arial"/>
                <w:i/>
                <w:color w:val="000000"/>
                <w:sz w:val="22"/>
              </w:rPr>
              <w:t>2.01%</w:t>
            </w:r>
          </w:p>
        </w:tc>
      </w:tr>
    </w:tbl>
    <w:p w:rsidR="00D5771F" w:rsidRPr="00F67978" w:rsidRDefault="006C63AF">
      <w:pPr>
        <w:spacing w:before="0"/>
        <w:rPr>
          <w:sz w:val="22"/>
        </w:rPr>
      </w:pPr>
      <w:r w:rsidRPr="006C63AF">
        <w:rPr>
          <w:sz w:val="22"/>
        </w:rPr>
        <w:t>Note: The Regulatory Surcharge for FY 2015-16 as approved in this Order would be effective from 1</w:t>
      </w:r>
      <w:r w:rsidRPr="006C63AF">
        <w:rPr>
          <w:sz w:val="22"/>
          <w:vertAlign w:val="superscript"/>
        </w:rPr>
        <w:t>st</w:t>
      </w:r>
      <w:r w:rsidRPr="006C63AF">
        <w:rPr>
          <w:sz w:val="22"/>
        </w:rPr>
        <w:t xml:space="preserve"> April, 2015</w:t>
      </w:r>
    </w:p>
    <w:p w:rsidR="009B19CF" w:rsidRDefault="009B19CF" w:rsidP="009B19CF">
      <w:pPr>
        <w:ind w:left="1440"/>
        <w:rPr>
          <w:i/>
        </w:rPr>
      </w:pPr>
      <w:r w:rsidRPr="009356F2">
        <w:rPr>
          <w:i/>
        </w:rPr>
        <w:t xml:space="preserve">…….As detailed in by the Commission in its Orders dated June 6, 2014 and October  1,  2014,  the  Regulatory  Surcharges  reduced  on  account  of  the under-achieved  performance  targets  shall  be  considered  as  deemed recovery.  The  Commission  after  accounting  the  actual  recovery  and  the deemed  recovery  shall  true-up  the  over  /  under  </w:t>
      </w:r>
      <w:r w:rsidRPr="009356F2">
        <w:rPr>
          <w:i/>
        </w:rPr>
        <w:lastRenderedPageBreak/>
        <w:t xml:space="preserve">recovery  of  the accumulated  Regulatory  Surcharges  while  undertaking  the  Truing  up  of the relevant year.  </w:t>
      </w:r>
    </w:p>
    <w:p w:rsidR="009B19CF" w:rsidRDefault="009B19CF" w:rsidP="009B19CF">
      <w:pPr>
        <w:ind w:left="1440"/>
        <w:rPr>
          <w:i/>
        </w:rPr>
      </w:pPr>
      <w:r w:rsidRPr="009356F2">
        <w:rPr>
          <w:i/>
        </w:rPr>
        <w:t>The  Licensees  are  directed  to  depict  the  Regulatory  Surcharges  distinctly in  the  electricity  bills  of  the  consumers.  The  Commission  directs  the Licensee  to  maintain  separate  accounting  fields  to  capture  the  amounts collected as Regulatory Surcharges in both of its financial and comm</w:t>
      </w:r>
      <w:r w:rsidR="00CD3B76">
        <w:rPr>
          <w:i/>
        </w:rPr>
        <w:t xml:space="preserve">ercial statements.  This would </w:t>
      </w:r>
      <w:r w:rsidRPr="009356F2">
        <w:rPr>
          <w:i/>
        </w:rPr>
        <w:t xml:space="preserve">enable the Licensee to  correctly  report  the amounts collected towards Regulatory Surcharges. </w:t>
      </w:r>
    </w:p>
    <w:p w:rsidR="009B19CF" w:rsidRDefault="009B19CF" w:rsidP="009B19CF">
      <w:pPr>
        <w:ind w:left="1440"/>
        <w:rPr>
          <w:i/>
        </w:rPr>
      </w:pPr>
      <w:r w:rsidRPr="009356F2">
        <w:rPr>
          <w:i/>
        </w:rPr>
        <w:t xml:space="preserve">Further as in the absence of the actual distribution losses the Commission for  the  purpose  of  this  Order  has  considered  the  estimated  Distribution Losses for FY 2014-15 as provided in its ARR / Tariff Petitions for FY 2015-16, the applicable Regulatory Surcharges for FY 2015-16 as worked out in this  Order  are  provisional  and  subject  to  change  based  on  the  actual additional  consumer  addition  and  the  actual  distribution  losses  for  FY 2014-15. The Distribution Licensees are directed to submit the same at the earliest. </w:t>
      </w:r>
    </w:p>
    <w:p w:rsidR="009B19CF" w:rsidRDefault="009B19CF" w:rsidP="009B19CF">
      <w:pPr>
        <w:ind w:left="1440"/>
      </w:pPr>
      <w:r w:rsidRPr="009356F2">
        <w:rPr>
          <w:i/>
        </w:rPr>
        <w:t xml:space="preserve">It  is to  be  noted  that  as the  efforts for  reduction  in  line  losses  have  been mostly  directed  at  the  domestic  and  agriculture  consumers,  the  revised Regulatory  Surcharge-1  &amp;  Regulatory  Surcharge-2  for  FY  2015-16  as approved in this order, would only be applicable for the consumer of LMV-1 &amp; LMV-5 categories only.” </w:t>
      </w:r>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 xml:space="preserve">With regard to above, it must be noted that the Regulatory Surcharge-1 was to be levied as per the Commission’s Order dated April 22, 2015 @ 2.84% on the “Rate” to all categories of consumers except LMV-1 &amp; LMV-5 categories  in  the  supply  area  of  DVVNL,  MVVNL,  PVVNL  and  PuVVNL  (except KESCO  supply  area).  The  consumers  of  LMV-1  &amp;  LMV-5  categories  was to be levied  Regulatory  Surcharge-1  at  1.14%  for  DVVNL,  0.73%  for  MVVNL,  2.84% for PVVNL and 1.03% for PuVVNL on the “Rate” during FY 2015-16. </w:t>
      </w:r>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The Commission in its Tariff Order for FY 2015-16 dated June 18, 2015  had revised  levy of Regulatory  Surcharge (RS)- 2  @  4.28%  for  liquidation  of  the regulatory  asset  which  was  made applicable  in  the  supply  areas  of  DVVNL,  MVVNL,  PVVNL  and  PuVVNL.  The relevant extract of the same is reproduced below:</w:t>
      </w:r>
    </w:p>
    <w:p w:rsidR="009B19CF" w:rsidRPr="00E8229C" w:rsidRDefault="00E34329" w:rsidP="009B19CF">
      <w:pPr>
        <w:pStyle w:val="Heading3"/>
        <w:numPr>
          <w:ilvl w:val="0"/>
          <w:numId w:val="0"/>
        </w:numPr>
        <w:tabs>
          <w:tab w:val="clear" w:pos="720"/>
        </w:tabs>
        <w:spacing w:line="240" w:lineRule="auto"/>
        <w:ind w:left="1440"/>
        <w:rPr>
          <w:rFonts w:asciiTheme="minorHAnsi" w:hAnsiTheme="minorHAnsi" w:cstheme="minorHAnsi"/>
          <w:i/>
          <w:sz w:val="28"/>
          <w:szCs w:val="24"/>
        </w:rPr>
      </w:pPr>
      <w:r w:rsidRPr="00E34329">
        <w:rPr>
          <w:rFonts w:cstheme="minorHAnsi"/>
          <w:bCs w:val="0"/>
          <w:i/>
          <w:szCs w:val="24"/>
        </w:rPr>
        <w:t>“8.4.11</w:t>
      </w:r>
      <w:r w:rsidR="00F67978">
        <w:rPr>
          <w:rFonts w:cstheme="minorHAnsi"/>
          <w:bCs w:val="0"/>
          <w:i/>
          <w:szCs w:val="24"/>
        </w:rPr>
        <w:t xml:space="preserve"> </w:t>
      </w:r>
      <w:r w:rsidRPr="00E34329">
        <w:rPr>
          <w:rFonts w:cstheme="minorHAnsi"/>
          <w:b/>
          <w:i/>
          <w:szCs w:val="24"/>
        </w:rPr>
        <w:t>Thus, the applicable Regulatory Surcharge-2 for FY 2015-16 shall be 4.28%.</w:t>
      </w:r>
      <w:r w:rsidRPr="00E34329">
        <w:rPr>
          <w:rFonts w:cstheme="minorHAnsi"/>
          <w:bCs w:val="0"/>
          <w:i/>
          <w:szCs w:val="24"/>
        </w:rPr>
        <w:t xml:space="preserve"> However, the Regulatory Surcharge for subsequent year shall </w:t>
      </w:r>
      <w:r w:rsidRPr="00E34329">
        <w:rPr>
          <w:rFonts w:cstheme="minorHAnsi"/>
          <w:bCs w:val="0"/>
          <w:i/>
          <w:szCs w:val="24"/>
        </w:rPr>
        <w:lastRenderedPageBreak/>
        <w:t>be linked with the actual performance of the Licensees in previous year i.e. the regulatory surcharge for FY 2016-17 will depend on the performance of the Licensees in FY 2015-16. In case the Distribution Licensees fail to achieve the consumer addition target, metering target and the Distribution loss target in FY 2015-16 as specified in the Table below, the regulatory surcharge for subsequent year i.e. FY 2016-17 shall be reduced by 10% over the applicable regulatory surcharge for the previous year (i.e. FY 2015-16). “</w:t>
      </w:r>
    </w:p>
    <w:p w:rsidR="006C63AF" w:rsidRDefault="00E34329" w:rsidP="006C63AF">
      <w:pPr>
        <w:pStyle w:val="Heading3"/>
        <w:tabs>
          <w:tab w:val="clear" w:pos="720"/>
        </w:tabs>
        <w:ind w:left="993" w:hanging="993"/>
        <w:rPr>
          <w:rFonts w:asciiTheme="minorHAnsi" w:hAnsiTheme="minorHAnsi" w:cstheme="minorHAnsi"/>
          <w:szCs w:val="24"/>
        </w:rPr>
      </w:pPr>
      <w:r w:rsidRPr="00E34329">
        <w:rPr>
          <w:rFonts w:asciiTheme="minorHAnsi" w:hAnsiTheme="minorHAnsi" w:cstheme="minorHAnsi"/>
          <w:szCs w:val="24"/>
        </w:rPr>
        <w:t xml:space="preserve">Further, in the Tariff Order for FY 2015-16, the Commission had also linked the Regulatory  Surcharge  for  FY  2016-17 with  the  actual  performance  of  the Licensees  in  FY  2015-16.  The relevant extract of the Order is reproduced below:  </w:t>
      </w:r>
    </w:p>
    <w:p w:rsidR="009B19CF" w:rsidRPr="00E8229C" w:rsidRDefault="00E34329" w:rsidP="009B19CF">
      <w:pPr>
        <w:pStyle w:val="Heading3"/>
        <w:numPr>
          <w:ilvl w:val="0"/>
          <w:numId w:val="0"/>
        </w:numPr>
        <w:tabs>
          <w:tab w:val="clear" w:pos="720"/>
        </w:tabs>
        <w:spacing w:line="240" w:lineRule="auto"/>
        <w:ind w:left="1440"/>
        <w:rPr>
          <w:rFonts w:asciiTheme="minorHAnsi" w:hAnsiTheme="minorHAnsi" w:cstheme="minorHAnsi"/>
          <w:i/>
          <w:sz w:val="28"/>
          <w:szCs w:val="24"/>
        </w:rPr>
      </w:pPr>
      <w:r w:rsidRPr="00E34329">
        <w:rPr>
          <w:rFonts w:asciiTheme="minorHAnsi" w:hAnsiTheme="minorHAnsi" w:cstheme="minorHAnsi"/>
          <w:i/>
          <w:szCs w:val="24"/>
        </w:rPr>
        <w:t>“8.4.12 Considering the significance of performance parameters, equal weightage has been assigned to all the three targets specified by the Commission (i.e. for non achievement of the targets 10% reduction would be done in such a manner that, if the metering target is not achieved then regulatory surcharge shall reduce by 3.33%. Similarly, if consumer addition target and Distribution Loss target is not achieved then regulatory surcharge shall reduce by 3.33% and 3.34% respectively). The Commission at the end of FY 2015-16 shall again review the applicability of the regulatory surcharge for future years i.e. beyond 2016-17 based on the actual performance of Licensee in the previous years.</w:t>
      </w:r>
    </w:p>
    <w:p w:rsidR="009B19CF" w:rsidRPr="005525A4" w:rsidRDefault="009B19CF" w:rsidP="009B19CF">
      <w:pPr>
        <w:spacing w:line="300" w:lineRule="auto"/>
        <w:rPr>
          <w:rFonts w:cstheme="minorHAnsi"/>
          <w:b/>
        </w:rPr>
      </w:pPr>
    </w:p>
    <w:p w:rsidR="009B19CF" w:rsidRPr="00F67978" w:rsidRDefault="006C63AF" w:rsidP="009B19CF">
      <w:pPr>
        <w:pStyle w:val="Heading3"/>
        <w:numPr>
          <w:ilvl w:val="0"/>
          <w:numId w:val="0"/>
        </w:numPr>
        <w:tabs>
          <w:tab w:val="clear" w:pos="720"/>
        </w:tabs>
        <w:spacing w:before="0" w:line="300" w:lineRule="auto"/>
        <w:ind w:left="936" w:hanging="216"/>
        <w:jc w:val="center"/>
        <w:rPr>
          <w:rFonts w:asciiTheme="minorHAnsi" w:hAnsiTheme="minorHAnsi" w:cstheme="minorHAnsi"/>
          <w:b/>
          <w:sz w:val="22"/>
          <w:szCs w:val="22"/>
        </w:rPr>
      </w:pPr>
      <w:r w:rsidRPr="006C63AF">
        <w:rPr>
          <w:rFonts w:asciiTheme="minorHAnsi" w:hAnsiTheme="minorHAnsi" w:cstheme="minorHAnsi"/>
          <w:b/>
          <w:sz w:val="22"/>
          <w:szCs w:val="22"/>
        </w:rPr>
        <w:t xml:space="preserve">Table 8-7: </w:t>
      </w:r>
      <w:r w:rsidRPr="006C63AF">
        <w:rPr>
          <w:rFonts w:asciiTheme="minorHAnsi" w:hAnsiTheme="minorHAnsi" w:cs="Calibri"/>
          <w:b/>
          <w:color w:val="000000"/>
          <w:sz w:val="22"/>
          <w:szCs w:val="22"/>
        </w:rPr>
        <w:t>LINKING OF PERFORMANCE OF THE LICENSEES TO REGULATORY SURCHARGE OF FY 2016-17</w:t>
      </w:r>
    </w:p>
    <w:tbl>
      <w:tblPr>
        <w:tblW w:w="9163" w:type="dxa"/>
        <w:jc w:val="center"/>
        <w:tblInd w:w="1486" w:type="dxa"/>
        <w:tblLook w:val="04A0"/>
      </w:tblPr>
      <w:tblGrid>
        <w:gridCol w:w="1473"/>
        <w:gridCol w:w="2209"/>
        <w:gridCol w:w="3600"/>
        <w:gridCol w:w="1881"/>
      </w:tblGrid>
      <w:tr w:rsidR="009B19CF" w:rsidRPr="00E8229C" w:rsidTr="005828E5">
        <w:trPr>
          <w:trHeight w:val="377"/>
          <w:tblHeader/>
          <w:jc w:val="center"/>
        </w:trPr>
        <w:tc>
          <w:tcPr>
            <w:tcW w:w="1473" w:type="dxa"/>
            <w:vMerge w:val="restart"/>
            <w:tcBorders>
              <w:top w:val="dotted" w:sz="4" w:space="0" w:color="auto"/>
              <w:left w:val="dotted" w:sz="4" w:space="0" w:color="auto"/>
              <w:bottom w:val="dotted" w:sz="4" w:space="0" w:color="000000"/>
              <w:right w:val="dotted" w:sz="4" w:space="0" w:color="auto"/>
            </w:tcBorders>
            <w:shd w:val="clear" w:color="000000" w:fill="DBE5F1"/>
            <w:hideMark/>
          </w:tcPr>
          <w:p w:rsidR="00603835" w:rsidRDefault="00E34329">
            <w:pPr>
              <w:spacing w:before="0" w:line="240" w:lineRule="auto"/>
              <w:jc w:val="center"/>
              <w:rPr>
                <w:rFonts w:cs="Calibri"/>
                <w:b/>
                <w:bCs/>
                <w:color w:val="000000"/>
                <w:sz w:val="22"/>
                <w:szCs w:val="22"/>
              </w:rPr>
            </w:pPr>
            <w:r w:rsidRPr="00E34329">
              <w:rPr>
                <w:rFonts w:cs="Calibri"/>
                <w:b/>
                <w:bCs/>
                <w:color w:val="000000"/>
                <w:sz w:val="22"/>
                <w:szCs w:val="22"/>
              </w:rPr>
              <w:t>Distribution Licensees</w:t>
            </w:r>
          </w:p>
        </w:tc>
        <w:tc>
          <w:tcPr>
            <w:tcW w:w="7690" w:type="dxa"/>
            <w:gridSpan w:val="3"/>
            <w:tcBorders>
              <w:top w:val="dotted" w:sz="4" w:space="0" w:color="auto"/>
              <w:left w:val="nil"/>
              <w:bottom w:val="dotted" w:sz="4" w:space="0" w:color="auto"/>
              <w:right w:val="dotted" w:sz="4" w:space="0" w:color="000000"/>
            </w:tcBorders>
            <w:shd w:val="clear" w:color="000000" w:fill="DBE5F1"/>
            <w:hideMark/>
          </w:tcPr>
          <w:p w:rsidR="00603835" w:rsidRDefault="00E34329">
            <w:pPr>
              <w:spacing w:before="0" w:line="240" w:lineRule="auto"/>
              <w:jc w:val="center"/>
              <w:rPr>
                <w:rFonts w:cs="Calibri"/>
                <w:b/>
                <w:bCs/>
                <w:color w:val="000000"/>
                <w:sz w:val="22"/>
                <w:szCs w:val="22"/>
              </w:rPr>
            </w:pPr>
            <w:r w:rsidRPr="00E34329">
              <w:rPr>
                <w:rFonts w:cs="Calibri"/>
                <w:b/>
                <w:bCs/>
                <w:color w:val="000000"/>
                <w:sz w:val="22"/>
                <w:szCs w:val="22"/>
              </w:rPr>
              <w:t>Linking of Performance of the Licensees to Regulatory Surcharge of  FY 2016-17</w:t>
            </w:r>
          </w:p>
        </w:tc>
      </w:tr>
      <w:tr w:rsidR="009B19CF" w:rsidRPr="00E8229C" w:rsidTr="005828E5">
        <w:trPr>
          <w:trHeight w:val="1241"/>
          <w:tblHeader/>
          <w:jc w:val="center"/>
        </w:trPr>
        <w:tc>
          <w:tcPr>
            <w:tcW w:w="1473" w:type="dxa"/>
            <w:vMerge/>
            <w:tcBorders>
              <w:top w:val="dotted" w:sz="4" w:space="0" w:color="auto"/>
              <w:left w:val="dotted" w:sz="4" w:space="0" w:color="auto"/>
              <w:bottom w:val="dotted" w:sz="4" w:space="0" w:color="000000"/>
              <w:right w:val="dotted" w:sz="4" w:space="0" w:color="auto"/>
            </w:tcBorders>
            <w:hideMark/>
          </w:tcPr>
          <w:p w:rsidR="00337C98" w:rsidRDefault="00337C98" w:rsidP="00337C98">
            <w:pPr>
              <w:pStyle w:val="Heading3"/>
              <w:jc w:val="center"/>
              <w:rPr>
                <w:rFonts w:cs="Calibri"/>
                <w:b/>
                <w:bCs w:val="0"/>
                <w:color w:val="000000"/>
                <w:sz w:val="22"/>
                <w:szCs w:val="22"/>
              </w:rPr>
            </w:pPr>
          </w:p>
        </w:tc>
        <w:tc>
          <w:tcPr>
            <w:tcW w:w="2209" w:type="dxa"/>
            <w:tcBorders>
              <w:top w:val="nil"/>
              <w:left w:val="nil"/>
              <w:bottom w:val="dotted" w:sz="4" w:space="0" w:color="auto"/>
              <w:right w:val="dotted" w:sz="4" w:space="0" w:color="auto"/>
            </w:tcBorders>
            <w:shd w:val="clear" w:color="000000" w:fill="DBE5F1"/>
            <w:hideMark/>
          </w:tcPr>
          <w:p w:rsidR="00603835" w:rsidRDefault="00E34329">
            <w:pPr>
              <w:spacing w:before="0" w:line="240" w:lineRule="auto"/>
              <w:jc w:val="center"/>
              <w:rPr>
                <w:rFonts w:cs="Calibri"/>
                <w:b/>
                <w:bCs/>
                <w:color w:val="000000"/>
                <w:sz w:val="22"/>
                <w:szCs w:val="22"/>
              </w:rPr>
            </w:pPr>
            <w:r w:rsidRPr="00E34329">
              <w:rPr>
                <w:rFonts w:cs="Calibri"/>
                <w:b/>
                <w:bCs/>
                <w:color w:val="000000"/>
                <w:sz w:val="22"/>
                <w:szCs w:val="22"/>
              </w:rPr>
              <w:t>Target number of Consumers to be added in FY 2015-16</w:t>
            </w:r>
          </w:p>
        </w:tc>
        <w:tc>
          <w:tcPr>
            <w:tcW w:w="3600" w:type="dxa"/>
            <w:tcBorders>
              <w:top w:val="nil"/>
              <w:left w:val="nil"/>
              <w:bottom w:val="dotted" w:sz="4" w:space="0" w:color="auto"/>
              <w:right w:val="dotted" w:sz="4" w:space="0" w:color="auto"/>
            </w:tcBorders>
            <w:shd w:val="clear" w:color="000000" w:fill="DBE5F1"/>
            <w:hideMark/>
          </w:tcPr>
          <w:p w:rsidR="00603835" w:rsidRDefault="00E34329">
            <w:pPr>
              <w:spacing w:before="0" w:line="240" w:lineRule="auto"/>
              <w:jc w:val="center"/>
              <w:rPr>
                <w:rFonts w:cs="Calibri"/>
                <w:b/>
                <w:bCs/>
                <w:color w:val="000000"/>
                <w:sz w:val="22"/>
                <w:szCs w:val="22"/>
              </w:rPr>
            </w:pPr>
            <w:r w:rsidRPr="00E34329">
              <w:rPr>
                <w:rFonts w:cs="Calibri"/>
                <w:b/>
                <w:bCs/>
                <w:color w:val="000000"/>
                <w:sz w:val="22"/>
                <w:szCs w:val="22"/>
              </w:rPr>
              <w:t>Target Number of Unmetered Connection to be converted to Metered Connection in FY 2015-16 (20% of the actual Unmetered Consumers as on December 2015)</w:t>
            </w:r>
          </w:p>
        </w:tc>
        <w:tc>
          <w:tcPr>
            <w:tcW w:w="1881" w:type="dxa"/>
            <w:tcBorders>
              <w:top w:val="nil"/>
              <w:left w:val="nil"/>
              <w:bottom w:val="dotted" w:sz="4" w:space="0" w:color="auto"/>
              <w:right w:val="dotted" w:sz="4" w:space="0" w:color="auto"/>
            </w:tcBorders>
            <w:shd w:val="clear" w:color="000000" w:fill="DBE5F1"/>
            <w:hideMark/>
          </w:tcPr>
          <w:p w:rsidR="00603835" w:rsidRDefault="00E34329">
            <w:pPr>
              <w:spacing w:before="0" w:line="240" w:lineRule="auto"/>
              <w:jc w:val="center"/>
              <w:rPr>
                <w:rFonts w:cs="Calibri"/>
                <w:b/>
                <w:bCs/>
                <w:color w:val="000000"/>
                <w:sz w:val="22"/>
                <w:szCs w:val="22"/>
              </w:rPr>
            </w:pPr>
            <w:r w:rsidRPr="00E34329">
              <w:rPr>
                <w:rFonts w:cs="Calibri"/>
                <w:b/>
                <w:bCs/>
                <w:color w:val="000000"/>
                <w:sz w:val="22"/>
                <w:szCs w:val="22"/>
              </w:rPr>
              <w:t>Distribution Loss Target for FY 2015-16</w:t>
            </w:r>
          </w:p>
        </w:tc>
      </w:tr>
      <w:tr w:rsidR="009B19CF" w:rsidRPr="00E8229C" w:rsidTr="005828E5">
        <w:trPr>
          <w:trHeight w:val="215"/>
          <w:tblHeader/>
          <w:jc w:val="center"/>
        </w:trPr>
        <w:tc>
          <w:tcPr>
            <w:tcW w:w="1473" w:type="dxa"/>
            <w:vMerge/>
            <w:tcBorders>
              <w:top w:val="dotted" w:sz="4" w:space="0" w:color="auto"/>
              <w:left w:val="dotted" w:sz="4" w:space="0" w:color="auto"/>
              <w:bottom w:val="dotted" w:sz="4" w:space="0" w:color="000000"/>
              <w:right w:val="dotted" w:sz="4" w:space="0" w:color="auto"/>
            </w:tcBorders>
            <w:hideMark/>
          </w:tcPr>
          <w:p w:rsidR="00337C98" w:rsidRDefault="00337C98" w:rsidP="00337C98">
            <w:pPr>
              <w:pStyle w:val="Heading3"/>
              <w:jc w:val="center"/>
              <w:rPr>
                <w:rFonts w:cs="Calibri"/>
                <w:b/>
                <w:bCs w:val="0"/>
                <w:color w:val="000000"/>
                <w:sz w:val="22"/>
                <w:szCs w:val="22"/>
              </w:rPr>
            </w:pPr>
          </w:p>
        </w:tc>
        <w:tc>
          <w:tcPr>
            <w:tcW w:w="2209" w:type="dxa"/>
            <w:tcBorders>
              <w:top w:val="nil"/>
              <w:left w:val="nil"/>
              <w:bottom w:val="dotted" w:sz="4" w:space="0" w:color="auto"/>
              <w:right w:val="dotted" w:sz="4" w:space="0" w:color="auto"/>
            </w:tcBorders>
            <w:shd w:val="clear" w:color="000000" w:fill="DBE5F1"/>
            <w:hideMark/>
          </w:tcPr>
          <w:p w:rsidR="00603835" w:rsidRDefault="00E34329">
            <w:pPr>
              <w:spacing w:before="0" w:line="240" w:lineRule="auto"/>
              <w:jc w:val="center"/>
              <w:rPr>
                <w:rFonts w:cs="Calibri"/>
                <w:b/>
                <w:bCs/>
                <w:color w:val="000000"/>
                <w:sz w:val="22"/>
                <w:szCs w:val="22"/>
              </w:rPr>
            </w:pPr>
            <w:r w:rsidRPr="00E34329">
              <w:rPr>
                <w:rFonts w:cs="Calibri"/>
                <w:b/>
                <w:bCs/>
                <w:color w:val="000000"/>
                <w:sz w:val="22"/>
                <w:szCs w:val="22"/>
              </w:rPr>
              <w:t>(A)</w:t>
            </w:r>
          </w:p>
        </w:tc>
        <w:tc>
          <w:tcPr>
            <w:tcW w:w="3600" w:type="dxa"/>
            <w:tcBorders>
              <w:top w:val="nil"/>
              <w:left w:val="nil"/>
              <w:bottom w:val="dotted" w:sz="4" w:space="0" w:color="auto"/>
              <w:right w:val="dotted" w:sz="4" w:space="0" w:color="auto"/>
            </w:tcBorders>
            <w:shd w:val="clear" w:color="000000" w:fill="DBE5F1"/>
            <w:hideMark/>
          </w:tcPr>
          <w:p w:rsidR="00603835" w:rsidRDefault="00E34329">
            <w:pPr>
              <w:spacing w:before="0" w:line="240" w:lineRule="auto"/>
              <w:jc w:val="center"/>
              <w:rPr>
                <w:rFonts w:cs="Calibri"/>
                <w:b/>
                <w:bCs/>
                <w:color w:val="000000"/>
                <w:sz w:val="22"/>
                <w:szCs w:val="22"/>
              </w:rPr>
            </w:pPr>
            <w:r w:rsidRPr="00E34329">
              <w:rPr>
                <w:rFonts w:cs="Calibri"/>
                <w:b/>
                <w:bCs/>
                <w:color w:val="000000"/>
                <w:sz w:val="22"/>
                <w:szCs w:val="22"/>
              </w:rPr>
              <w:t>(B)</w:t>
            </w:r>
          </w:p>
        </w:tc>
        <w:tc>
          <w:tcPr>
            <w:tcW w:w="1881" w:type="dxa"/>
            <w:tcBorders>
              <w:top w:val="nil"/>
              <w:left w:val="nil"/>
              <w:bottom w:val="dotted" w:sz="4" w:space="0" w:color="auto"/>
              <w:right w:val="dotted" w:sz="4" w:space="0" w:color="auto"/>
            </w:tcBorders>
            <w:shd w:val="clear" w:color="000000" w:fill="DBE5F1"/>
            <w:hideMark/>
          </w:tcPr>
          <w:p w:rsidR="00603835" w:rsidRDefault="00E34329">
            <w:pPr>
              <w:spacing w:before="0" w:line="240" w:lineRule="auto"/>
              <w:jc w:val="center"/>
              <w:rPr>
                <w:rFonts w:cs="Calibri"/>
                <w:b/>
                <w:bCs/>
                <w:color w:val="000000"/>
                <w:sz w:val="22"/>
                <w:szCs w:val="22"/>
              </w:rPr>
            </w:pPr>
            <w:r w:rsidRPr="00E34329">
              <w:rPr>
                <w:rFonts w:cs="Calibri"/>
                <w:b/>
                <w:bCs/>
                <w:color w:val="000000"/>
                <w:sz w:val="22"/>
                <w:szCs w:val="22"/>
              </w:rPr>
              <w:t>(C)</w:t>
            </w:r>
          </w:p>
        </w:tc>
      </w:tr>
      <w:tr w:rsidR="009B19CF" w:rsidRPr="00E8229C" w:rsidTr="00D920F1">
        <w:trPr>
          <w:trHeight w:val="294"/>
          <w:jc w:val="center"/>
        </w:trPr>
        <w:tc>
          <w:tcPr>
            <w:tcW w:w="1473" w:type="dxa"/>
            <w:tcBorders>
              <w:top w:val="nil"/>
              <w:left w:val="dotted" w:sz="4" w:space="0" w:color="auto"/>
              <w:bottom w:val="dotted" w:sz="4" w:space="0" w:color="auto"/>
              <w:right w:val="dotted" w:sz="4" w:space="0" w:color="auto"/>
            </w:tcBorders>
            <w:shd w:val="clear" w:color="auto" w:fill="auto"/>
            <w:vAlign w:val="bottom"/>
            <w:hideMark/>
          </w:tcPr>
          <w:p w:rsidR="00D5771F" w:rsidRDefault="00E34329">
            <w:pPr>
              <w:spacing w:before="0" w:line="240" w:lineRule="auto"/>
              <w:rPr>
                <w:rFonts w:cs="Calibri"/>
                <w:color w:val="000000"/>
                <w:sz w:val="22"/>
                <w:szCs w:val="22"/>
              </w:rPr>
            </w:pPr>
            <w:r w:rsidRPr="00E34329">
              <w:rPr>
                <w:rFonts w:cs="Calibri"/>
                <w:color w:val="000000"/>
                <w:sz w:val="22"/>
                <w:szCs w:val="22"/>
              </w:rPr>
              <w:t>DVVNL</w:t>
            </w:r>
          </w:p>
        </w:tc>
        <w:tc>
          <w:tcPr>
            <w:tcW w:w="2209"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821,838</w:t>
            </w:r>
          </w:p>
        </w:tc>
        <w:tc>
          <w:tcPr>
            <w:tcW w:w="3600"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170,869</w:t>
            </w:r>
          </w:p>
        </w:tc>
        <w:tc>
          <w:tcPr>
            <w:tcW w:w="1881"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29.00%</w:t>
            </w:r>
          </w:p>
        </w:tc>
      </w:tr>
      <w:tr w:rsidR="009B19CF" w:rsidRPr="00E8229C" w:rsidTr="00D920F1">
        <w:trPr>
          <w:trHeight w:val="294"/>
          <w:jc w:val="center"/>
        </w:trPr>
        <w:tc>
          <w:tcPr>
            <w:tcW w:w="1473" w:type="dxa"/>
            <w:tcBorders>
              <w:top w:val="nil"/>
              <w:left w:val="dotted" w:sz="4" w:space="0" w:color="auto"/>
              <w:bottom w:val="dotted" w:sz="4" w:space="0" w:color="auto"/>
              <w:right w:val="dotted" w:sz="4" w:space="0" w:color="auto"/>
            </w:tcBorders>
            <w:shd w:val="clear" w:color="auto" w:fill="auto"/>
            <w:vAlign w:val="bottom"/>
            <w:hideMark/>
          </w:tcPr>
          <w:p w:rsidR="00D5771F" w:rsidRDefault="00E34329">
            <w:pPr>
              <w:spacing w:before="0" w:line="240" w:lineRule="auto"/>
              <w:rPr>
                <w:rFonts w:cs="Calibri"/>
                <w:color w:val="000000"/>
                <w:sz w:val="22"/>
                <w:szCs w:val="22"/>
              </w:rPr>
            </w:pPr>
            <w:r w:rsidRPr="00E34329">
              <w:rPr>
                <w:rFonts w:cs="Calibri"/>
                <w:color w:val="000000"/>
                <w:sz w:val="22"/>
                <w:szCs w:val="22"/>
              </w:rPr>
              <w:t>MVVNL</w:t>
            </w:r>
          </w:p>
        </w:tc>
        <w:tc>
          <w:tcPr>
            <w:tcW w:w="2209"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1,249,500</w:t>
            </w:r>
          </w:p>
        </w:tc>
        <w:tc>
          <w:tcPr>
            <w:tcW w:w="3600"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277,275</w:t>
            </w:r>
          </w:p>
        </w:tc>
        <w:tc>
          <w:tcPr>
            <w:tcW w:w="1881"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21.03%</w:t>
            </w:r>
          </w:p>
        </w:tc>
      </w:tr>
      <w:tr w:rsidR="009B19CF" w:rsidRPr="00E8229C" w:rsidTr="00D920F1">
        <w:trPr>
          <w:trHeight w:val="294"/>
          <w:jc w:val="center"/>
        </w:trPr>
        <w:tc>
          <w:tcPr>
            <w:tcW w:w="1473" w:type="dxa"/>
            <w:tcBorders>
              <w:top w:val="nil"/>
              <w:left w:val="dotted" w:sz="4" w:space="0" w:color="auto"/>
              <w:bottom w:val="dotted" w:sz="4" w:space="0" w:color="auto"/>
              <w:right w:val="dotted" w:sz="4" w:space="0" w:color="auto"/>
            </w:tcBorders>
            <w:shd w:val="clear" w:color="auto" w:fill="auto"/>
            <w:noWrap/>
            <w:vAlign w:val="bottom"/>
            <w:hideMark/>
          </w:tcPr>
          <w:p w:rsidR="00D5771F" w:rsidRDefault="00E34329">
            <w:pPr>
              <w:spacing w:before="0" w:line="240" w:lineRule="auto"/>
              <w:rPr>
                <w:rFonts w:cs="Calibri"/>
                <w:color w:val="000000"/>
                <w:sz w:val="22"/>
                <w:szCs w:val="22"/>
              </w:rPr>
            </w:pPr>
            <w:r w:rsidRPr="00E34329">
              <w:rPr>
                <w:rFonts w:cs="Calibri"/>
                <w:color w:val="000000"/>
                <w:sz w:val="22"/>
                <w:szCs w:val="22"/>
              </w:rPr>
              <w:t>PVVNL</w:t>
            </w:r>
          </w:p>
        </w:tc>
        <w:tc>
          <w:tcPr>
            <w:tcW w:w="2209"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420,537</w:t>
            </w:r>
          </w:p>
        </w:tc>
        <w:tc>
          <w:tcPr>
            <w:tcW w:w="3600"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364,808</w:t>
            </w:r>
          </w:p>
        </w:tc>
        <w:tc>
          <w:tcPr>
            <w:tcW w:w="1881"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19.52%</w:t>
            </w:r>
          </w:p>
        </w:tc>
      </w:tr>
      <w:tr w:rsidR="009B19CF" w:rsidRPr="00E8229C" w:rsidTr="00D920F1">
        <w:trPr>
          <w:trHeight w:val="294"/>
          <w:jc w:val="center"/>
        </w:trPr>
        <w:tc>
          <w:tcPr>
            <w:tcW w:w="1473" w:type="dxa"/>
            <w:tcBorders>
              <w:top w:val="nil"/>
              <w:left w:val="dotted" w:sz="4" w:space="0" w:color="auto"/>
              <w:bottom w:val="dotted" w:sz="4" w:space="0" w:color="auto"/>
              <w:right w:val="dotted" w:sz="4" w:space="0" w:color="auto"/>
            </w:tcBorders>
            <w:shd w:val="clear" w:color="auto" w:fill="auto"/>
            <w:noWrap/>
            <w:vAlign w:val="bottom"/>
            <w:hideMark/>
          </w:tcPr>
          <w:p w:rsidR="00D5771F" w:rsidRDefault="00E34329">
            <w:pPr>
              <w:spacing w:before="0" w:line="240" w:lineRule="auto"/>
              <w:rPr>
                <w:rFonts w:cs="Calibri"/>
                <w:color w:val="000000"/>
                <w:sz w:val="22"/>
                <w:szCs w:val="22"/>
              </w:rPr>
            </w:pPr>
            <w:r w:rsidRPr="00E34329">
              <w:rPr>
                <w:rFonts w:cs="Calibri"/>
                <w:color w:val="000000"/>
                <w:sz w:val="22"/>
                <w:szCs w:val="22"/>
              </w:rPr>
              <w:t>PuVVNL</w:t>
            </w:r>
          </w:p>
        </w:tc>
        <w:tc>
          <w:tcPr>
            <w:tcW w:w="2209"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1,104,188</w:t>
            </w:r>
          </w:p>
        </w:tc>
        <w:tc>
          <w:tcPr>
            <w:tcW w:w="3600"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510,889</w:t>
            </w:r>
          </w:p>
        </w:tc>
        <w:tc>
          <w:tcPr>
            <w:tcW w:w="1881"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color w:val="000000"/>
                <w:sz w:val="22"/>
                <w:szCs w:val="22"/>
              </w:rPr>
            </w:pPr>
            <w:r w:rsidRPr="00E34329">
              <w:rPr>
                <w:rFonts w:cs="Calibri"/>
                <w:color w:val="000000"/>
                <w:sz w:val="22"/>
                <w:szCs w:val="22"/>
              </w:rPr>
              <w:t>20.93%</w:t>
            </w:r>
          </w:p>
        </w:tc>
      </w:tr>
      <w:tr w:rsidR="009B19CF" w:rsidRPr="00E8229C" w:rsidTr="00D920F1">
        <w:trPr>
          <w:trHeight w:val="294"/>
          <w:jc w:val="center"/>
        </w:trPr>
        <w:tc>
          <w:tcPr>
            <w:tcW w:w="1473" w:type="dxa"/>
            <w:tcBorders>
              <w:top w:val="nil"/>
              <w:left w:val="dotted" w:sz="4" w:space="0" w:color="auto"/>
              <w:bottom w:val="dotted" w:sz="4" w:space="0" w:color="auto"/>
              <w:right w:val="dotted" w:sz="4" w:space="0" w:color="auto"/>
            </w:tcBorders>
            <w:shd w:val="clear" w:color="auto" w:fill="auto"/>
            <w:noWrap/>
            <w:vAlign w:val="bottom"/>
            <w:hideMark/>
          </w:tcPr>
          <w:p w:rsidR="00D5771F" w:rsidRDefault="00E34329">
            <w:pPr>
              <w:spacing w:before="0" w:line="240" w:lineRule="auto"/>
              <w:rPr>
                <w:rFonts w:cs="Calibri"/>
                <w:b/>
                <w:color w:val="000000"/>
                <w:sz w:val="22"/>
                <w:szCs w:val="22"/>
              </w:rPr>
            </w:pPr>
            <w:r w:rsidRPr="00E34329">
              <w:rPr>
                <w:rFonts w:cs="Calibri"/>
                <w:b/>
                <w:color w:val="000000"/>
                <w:sz w:val="22"/>
                <w:szCs w:val="22"/>
              </w:rPr>
              <w:t>Total</w:t>
            </w:r>
          </w:p>
        </w:tc>
        <w:tc>
          <w:tcPr>
            <w:tcW w:w="2209"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b/>
                <w:color w:val="000000"/>
                <w:sz w:val="22"/>
                <w:szCs w:val="22"/>
              </w:rPr>
            </w:pPr>
            <w:r w:rsidRPr="00E34329">
              <w:rPr>
                <w:rFonts w:cs="Calibri"/>
                <w:b/>
                <w:color w:val="000000"/>
                <w:sz w:val="22"/>
                <w:szCs w:val="22"/>
              </w:rPr>
              <w:t>3,596,063</w:t>
            </w:r>
          </w:p>
        </w:tc>
        <w:tc>
          <w:tcPr>
            <w:tcW w:w="3600"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b/>
                <w:color w:val="000000"/>
                <w:sz w:val="22"/>
                <w:szCs w:val="22"/>
              </w:rPr>
            </w:pPr>
            <w:r w:rsidRPr="00E34329">
              <w:rPr>
                <w:rFonts w:cs="Calibri"/>
                <w:b/>
                <w:bCs/>
                <w:color w:val="000000"/>
                <w:sz w:val="22"/>
                <w:szCs w:val="22"/>
              </w:rPr>
              <w:t>1,323,841</w:t>
            </w:r>
          </w:p>
        </w:tc>
        <w:tc>
          <w:tcPr>
            <w:tcW w:w="1881" w:type="dxa"/>
            <w:tcBorders>
              <w:top w:val="nil"/>
              <w:left w:val="nil"/>
              <w:bottom w:val="dotted" w:sz="4" w:space="0" w:color="auto"/>
              <w:right w:val="dotted" w:sz="4" w:space="0" w:color="auto"/>
            </w:tcBorders>
            <w:shd w:val="clear" w:color="auto" w:fill="auto"/>
            <w:vAlign w:val="bottom"/>
            <w:hideMark/>
          </w:tcPr>
          <w:p w:rsidR="00D5771F" w:rsidRDefault="00E34329">
            <w:pPr>
              <w:spacing w:before="0" w:line="240" w:lineRule="auto"/>
              <w:jc w:val="right"/>
              <w:rPr>
                <w:rFonts w:cs="Calibri"/>
                <w:b/>
                <w:color w:val="000000"/>
                <w:sz w:val="22"/>
                <w:szCs w:val="22"/>
              </w:rPr>
            </w:pPr>
            <w:r w:rsidRPr="00E34329">
              <w:rPr>
                <w:rFonts w:cs="Calibri"/>
                <w:b/>
                <w:color w:val="000000"/>
                <w:sz w:val="22"/>
                <w:szCs w:val="22"/>
              </w:rPr>
              <w:t>22.67%</w:t>
            </w:r>
          </w:p>
        </w:tc>
      </w:tr>
    </w:tbl>
    <w:p w:rsidR="00D5771F" w:rsidRDefault="00D5771F">
      <w:pPr>
        <w:pStyle w:val="Heading3"/>
        <w:numPr>
          <w:ilvl w:val="0"/>
          <w:numId w:val="0"/>
        </w:numPr>
        <w:tabs>
          <w:tab w:val="clear" w:pos="720"/>
        </w:tabs>
        <w:spacing w:before="0" w:line="240" w:lineRule="auto"/>
        <w:ind w:left="720"/>
        <w:rPr>
          <w:rFonts w:asciiTheme="minorHAnsi" w:hAnsiTheme="minorHAnsi" w:cstheme="minorHAnsi"/>
          <w:i/>
          <w:sz w:val="22"/>
          <w:szCs w:val="24"/>
        </w:rPr>
      </w:pPr>
    </w:p>
    <w:p w:rsidR="009B19CF" w:rsidRPr="00E8229C" w:rsidRDefault="00E34329" w:rsidP="009B19CF">
      <w:pPr>
        <w:pStyle w:val="Heading3"/>
        <w:numPr>
          <w:ilvl w:val="0"/>
          <w:numId w:val="0"/>
        </w:numPr>
        <w:tabs>
          <w:tab w:val="clear" w:pos="720"/>
        </w:tabs>
        <w:spacing w:line="240" w:lineRule="auto"/>
        <w:ind w:left="1440"/>
        <w:rPr>
          <w:rFonts w:asciiTheme="minorHAnsi" w:hAnsiTheme="minorHAnsi" w:cstheme="minorHAnsi"/>
          <w:i/>
          <w:sz w:val="28"/>
          <w:szCs w:val="24"/>
        </w:rPr>
      </w:pPr>
      <w:r w:rsidRPr="00E34329">
        <w:rPr>
          <w:rFonts w:asciiTheme="minorHAnsi" w:hAnsiTheme="minorHAnsi" w:cstheme="minorHAnsi"/>
          <w:i/>
          <w:szCs w:val="24"/>
        </w:rPr>
        <w:t xml:space="preserve">8.4.16 Based on the achievement or under-achievement of performance parameters the Regulatory Surcharge for subsequent financial year i.e. FY </w:t>
      </w:r>
      <w:r w:rsidRPr="00E34329">
        <w:rPr>
          <w:rFonts w:asciiTheme="minorHAnsi" w:hAnsiTheme="minorHAnsi" w:cstheme="minorHAnsi"/>
          <w:i/>
          <w:szCs w:val="24"/>
        </w:rPr>
        <w:lastRenderedPageBreak/>
        <w:t>2016-17 shall be revised as detailed above and the same shall be applicable for FY 2016-17.”</w:t>
      </w:r>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Subsequently, the Commission, in the Suo-Moto proceedings in the matter of Regulatory Surcharge, issued an Order on April 18, 2016, directed the Distribution Licensees namely DVVNL, PuVVNL, PVVNL and MVVNL to stop collection of Regulatory Surcharge (RS)-1 after March 31, 2016 and submit the year and category / sub-category wise amount collected with regard to Regulatory Surcharge(RS)-1. The accounts of RS-1 shall be finalized at the time of Truing up of FY 2015-16. The relevant extract of the same is reproduced below:</w:t>
      </w:r>
    </w:p>
    <w:p w:rsidR="009B19CF" w:rsidRDefault="009B19CF" w:rsidP="009B19CF">
      <w:pPr>
        <w:ind w:left="1440"/>
        <w:rPr>
          <w:i/>
        </w:rPr>
      </w:pPr>
      <w:r w:rsidRPr="00292FD2">
        <w:rPr>
          <w:i/>
        </w:rPr>
        <w:t>“</w:t>
      </w:r>
      <w:r>
        <w:rPr>
          <w:i/>
        </w:rPr>
        <w:t xml:space="preserve">3. </w:t>
      </w:r>
      <w:r w:rsidRPr="00292FD2">
        <w:rPr>
          <w:i/>
        </w:rPr>
        <w:t>In view of the above the Commission directs the Distribution Licensees to stop collection of RS-1 after March 31, 2016 and submit the year and category / sub-category wise amount collected in this regard. The accounts of RS-1 shall be finalised at the time of truing up of FY 2015-16.”</w:t>
      </w:r>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Further, the Commission in the aforesaid Order also directed the Distribution Licensees to continue levying of Regulatory Sucharge-2 (RS-2) as per the Tariff Orders for FY 2015-16 dated June 18, 2015 till issuance of further Orders in this regard. The relevant extract of the same is reproduced below:</w:t>
      </w:r>
    </w:p>
    <w:p w:rsidR="009B19CF" w:rsidRDefault="009B19CF" w:rsidP="009B19CF">
      <w:pPr>
        <w:ind w:left="1440"/>
        <w:rPr>
          <w:i/>
        </w:rPr>
      </w:pPr>
      <w:r w:rsidRPr="000E5BB7">
        <w:rPr>
          <w:i/>
        </w:rPr>
        <w:t>“</w:t>
      </w:r>
      <w:r>
        <w:rPr>
          <w:i/>
        </w:rPr>
        <w:t xml:space="preserve">4. </w:t>
      </w:r>
      <w:r w:rsidRPr="000E5BB7">
        <w:rPr>
          <w:i/>
        </w:rPr>
        <w:t>The Commission also directs the Distribution Licensees to continue levying of RS-2 as per the Tariff Orders for FY 2015-16 dated June 18, 2015 till issuance of further Orders in this regard.”</w:t>
      </w:r>
    </w:p>
    <w:p w:rsidR="00D5771F" w:rsidRDefault="009B19CF">
      <w:pPr>
        <w:pStyle w:val="Heading3"/>
        <w:tabs>
          <w:tab w:val="clear" w:pos="720"/>
        </w:tabs>
        <w:ind w:left="993" w:hanging="993"/>
        <w:rPr>
          <w:rFonts w:asciiTheme="minorHAnsi" w:hAnsiTheme="minorHAnsi" w:cstheme="minorHAnsi"/>
        </w:rPr>
      </w:pPr>
      <w:r w:rsidRPr="002018F8">
        <w:rPr>
          <w:rFonts w:cstheme="minorHAnsi"/>
        </w:rPr>
        <w:t xml:space="preserve">The Commission in its deficiency note dated January 29, 2016 had asked the </w:t>
      </w:r>
      <w:r w:rsidR="00E34329" w:rsidRPr="00E34329">
        <w:rPr>
          <w:rFonts w:asciiTheme="minorHAnsi" w:hAnsiTheme="minorHAnsi" w:cstheme="minorHAnsi"/>
          <w:szCs w:val="24"/>
        </w:rPr>
        <w:t xml:space="preserve">Distribution   Licensee to submit consumer category and sub-category wise Regulatory Surcharges (separately for Regulatory Surcharge-1 &amp; Regulatory Surcharge-2) collected for each year till FY 2015-16 (December). In </w:t>
      </w:r>
      <w:r w:rsidR="00DC0ED8">
        <w:rPr>
          <w:rFonts w:asciiTheme="minorHAnsi" w:hAnsiTheme="minorHAnsi" w:cstheme="minorHAnsi"/>
          <w:szCs w:val="24"/>
        </w:rPr>
        <w:t>view</w:t>
      </w:r>
      <w:r w:rsidR="00E34329" w:rsidRPr="00E34329">
        <w:rPr>
          <w:rFonts w:asciiTheme="minorHAnsi" w:hAnsiTheme="minorHAnsi" w:cstheme="minorHAnsi"/>
          <w:szCs w:val="24"/>
        </w:rPr>
        <w:t xml:space="preserve"> of the above, the Distribution Licensee submitted the requisite details as Annexure-5, wherein the data pertaining to RS-1 &amp; RS-2 was not shown under separate heads.</w:t>
      </w:r>
    </w:p>
    <w:p w:rsidR="00D5771F" w:rsidRPr="00A8391B"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The Commission has also observed in the True-up Petition that the Revenue for the 4 State Discoms namely DVVNL, PVVNL, MVVNL &amp; PuVVNL have changed significantly in comparison to the approved amount in the Tariff Orders for FY 2013-14 and subsequently the Regulatory Surcharge amount collected thereon would have been reduced in proportion. The actual revenue as per the True-up petition is depicted below in the table.</w:t>
      </w:r>
    </w:p>
    <w:p w:rsidR="006C63AF" w:rsidRDefault="006C63AF" w:rsidP="006C63AF">
      <w:pPr>
        <w:pStyle w:val="Heading3"/>
        <w:numPr>
          <w:ilvl w:val="0"/>
          <w:numId w:val="0"/>
        </w:numPr>
        <w:tabs>
          <w:tab w:val="clear" w:pos="720"/>
        </w:tabs>
        <w:rPr>
          <w:rFonts w:asciiTheme="minorHAnsi" w:hAnsiTheme="minorHAnsi" w:cstheme="minorHAnsi"/>
        </w:rPr>
      </w:pPr>
    </w:p>
    <w:p w:rsidR="00337C98" w:rsidRPr="00F67978" w:rsidRDefault="006C63AF" w:rsidP="00337C98">
      <w:pPr>
        <w:spacing w:before="0" w:line="240" w:lineRule="auto"/>
        <w:jc w:val="center"/>
        <w:rPr>
          <w:b/>
          <w:sz w:val="22"/>
        </w:rPr>
      </w:pPr>
      <w:bookmarkStart w:id="1838" w:name="_Toc457604091"/>
      <w:r w:rsidRPr="006C63AF">
        <w:rPr>
          <w:rFonts w:asciiTheme="minorHAnsi" w:hAnsiTheme="minorHAnsi" w:cstheme="minorHAnsi"/>
          <w:b/>
          <w:sz w:val="22"/>
        </w:rPr>
        <w:lastRenderedPageBreak/>
        <w:t>Table 8</w:t>
      </w:r>
      <w:r w:rsidRPr="006C63AF">
        <w:rPr>
          <w:rFonts w:asciiTheme="minorHAnsi" w:hAnsiTheme="minorHAnsi" w:cstheme="minorHAnsi"/>
          <w:b/>
          <w:sz w:val="22"/>
        </w:rPr>
        <w:noBreakHyphen/>
      </w:r>
      <w:r w:rsidR="009741CA" w:rsidRPr="006C63AF">
        <w:rPr>
          <w:rFonts w:asciiTheme="minorHAnsi" w:hAnsiTheme="minorHAnsi" w:cstheme="minorHAnsi"/>
          <w:b/>
          <w:sz w:val="22"/>
        </w:rPr>
        <w:fldChar w:fldCharType="begin"/>
      </w:r>
      <w:r w:rsidRPr="006C63AF">
        <w:rPr>
          <w:rFonts w:asciiTheme="minorHAnsi" w:hAnsiTheme="minorHAnsi" w:cstheme="minorHAnsi"/>
          <w:b/>
          <w:sz w:val="22"/>
        </w:rPr>
        <w:instrText xml:space="preserve"> SEQ Table \* ARABIC \s 1 </w:instrText>
      </w:r>
      <w:r w:rsidR="009741CA" w:rsidRPr="006C63AF">
        <w:rPr>
          <w:rFonts w:asciiTheme="minorHAnsi" w:hAnsiTheme="minorHAnsi" w:cstheme="minorHAnsi"/>
          <w:b/>
          <w:sz w:val="22"/>
        </w:rPr>
        <w:fldChar w:fldCharType="separate"/>
      </w:r>
      <w:r w:rsidR="00BA08F0">
        <w:rPr>
          <w:rFonts w:asciiTheme="minorHAnsi" w:hAnsiTheme="minorHAnsi" w:cstheme="minorHAnsi"/>
          <w:b/>
          <w:noProof/>
          <w:sz w:val="22"/>
        </w:rPr>
        <w:t>4</w:t>
      </w:r>
      <w:r w:rsidR="009741CA" w:rsidRPr="006C63AF">
        <w:rPr>
          <w:rFonts w:asciiTheme="minorHAnsi" w:hAnsiTheme="minorHAnsi" w:cstheme="minorHAnsi"/>
          <w:b/>
          <w:sz w:val="22"/>
        </w:rPr>
        <w:fldChar w:fldCharType="end"/>
      </w:r>
      <w:r w:rsidRPr="006C63AF">
        <w:rPr>
          <w:rFonts w:asciiTheme="minorHAnsi" w:hAnsiTheme="minorHAnsi" w:cstheme="minorHAnsi"/>
          <w:b/>
          <w:sz w:val="22"/>
        </w:rPr>
        <w:t xml:space="preserve">: </w:t>
      </w:r>
      <w:r w:rsidRPr="006C63AF">
        <w:rPr>
          <w:b/>
          <w:sz w:val="22"/>
        </w:rPr>
        <w:t>REVENUE CLAIMED BY THE DISTRIBUTION LICENSEES FOR FY 2013-14</w:t>
      </w:r>
      <w:bookmarkEnd w:id="1838"/>
      <w:r w:rsidRPr="006C63AF">
        <w:rPr>
          <w:b/>
          <w:sz w:val="22"/>
        </w:rPr>
        <w:t xml:space="preserve"> </w:t>
      </w:r>
    </w:p>
    <w:p w:rsidR="00337C98" w:rsidRPr="00F67978" w:rsidRDefault="006C63AF" w:rsidP="00337C98">
      <w:pPr>
        <w:spacing w:before="0" w:line="240" w:lineRule="auto"/>
        <w:jc w:val="center"/>
        <w:rPr>
          <w:rFonts w:cstheme="minorHAnsi"/>
          <w:b/>
          <w:sz w:val="22"/>
        </w:rPr>
      </w:pPr>
      <w:r w:rsidRPr="006C63AF">
        <w:rPr>
          <w:b/>
          <w:sz w:val="22"/>
        </w:rPr>
        <w:t>(RS. CRORE)</w:t>
      </w:r>
    </w:p>
    <w:tbl>
      <w:tblPr>
        <w:tblStyle w:val="TableGrid"/>
        <w:tblW w:w="0" w:type="auto"/>
        <w:jc w:val="center"/>
        <w:tblInd w:w="22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68"/>
        <w:gridCol w:w="1881"/>
        <w:gridCol w:w="1946"/>
      </w:tblGrid>
      <w:tr w:rsidR="009B19CF" w:rsidRPr="00E8229C" w:rsidTr="00BC639E">
        <w:trPr>
          <w:tblHeader/>
          <w:jc w:val="center"/>
        </w:trPr>
        <w:tc>
          <w:tcPr>
            <w:tcW w:w="2268" w:type="dxa"/>
            <w:shd w:val="clear" w:color="auto" w:fill="C6D9F1" w:themeFill="text2" w:themeFillTint="33"/>
          </w:tcPr>
          <w:p w:rsidR="00337C98" w:rsidRDefault="009B19CF" w:rsidP="00337C98">
            <w:pPr>
              <w:spacing w:before="0" w:line="240" w:lineRule="auto"/>
              <w:jc w:val="center"/>
              <w:rPr>
                <w:rFonts w:cstheme="minorHAnsi"/>
                <w:b/>
                <w:sz w:val="22"/>
                <w:szCs w:val="22"/>
              </w:rPr>
            </w:pPr>
            <w:r>
              <w:rPr>
                <w:rFonts w:cstheme="minorHAnsi"/>
                <w:b/>
                <w:sz w:val="22"/>
                <w:szCs w:val="22"/>
              </w:rPr>
              <w:t>Particulars</w:t>
            </w:r>
          </w:p>
        </w:tc>
        <w:tc>
          <w:tcPr>
            <w:tcW w:w="1881" w:type="dxa"/>
            <w:shd w:val="clear" w:color="auto" w:fill="C6D9F1" w:themeFill="text2" w:themeFillTint="33"/>
          </w:tcPr>
          <w:p w:rsidR="00337C98" w:rsidRDefault="009B19CF" w:rsidP="00337C98">
            <w:pPr>
              <w:spacing w:before="0" w:line="240" w:lineRule="auto"/>
              <w:jc w:val="center"/>
              <w:rPr>
                <w:rFonts w:cstheme="minorHAnsi"/>
                <w:b/>
                <w:sz w:val="22"/>
                <w:szCs w:val="22"/>
              </w:rPr>
            </w:pPr>
            <w:r>
              <w:rPr>
                <w:rFonts w:cstheme="minorHAnsi"/>
                <w:b/>
                <w:sz w:val="22"/>
                <w:szCs w:val="22"/>
              </w:rPr>
              <w:t>Tariff Order FY 2013-14</w:t>
            </w:r>
          </w:p>
        </w:tc>
        <w:tc>
          <w:tcPr>
            <w:tcW w:w="1946" w:type="dxa"/>
            <w:shd w:val="clear" w:color="auto" w:fill="C6D9F1" w:themeFill="text2" w:themeFillTint="33"/>
          </w:tcPr>
          <w:p w:rsidR="00337C98" w:rsidRDefault="009B19CF" w:rsidP="00337C98">
            <w:pPr>
              <w:spacing w:before="0" w:line="240" w:lineRule="auto"/>
              <w:jc w:val="center"/>
              <w:rPr>
                <w:rFonts w:cstheme="minorHAnsi"/>
                <w:b/>
                <w:sz w:val="22"/>
                <w:szCs w:val="22"/>
              </w:rPr>
            </w:pPr>
            <w:r>
              <w:rPr>
                <w:rFonts w:cstheme="minorHAnsi"/>
                <w:b/>
                <w:sz w:val="22"/>
                <w:szCs w:val="22"/>
              </w:rPr>
              <w:t>True-up Petition FY 2013-14</w:t>
            </w:r>
          </w:p>
        </w:tc>
      </w:tr>
      <w:tr w:rsidR="009B19CF" w:rsidRPr="00E8229C" w:rsidTr="00BC639E">
        <w:trPr>
          <w:jc w:val="center"/>
        </w:trPr>
        <w:tc>
          <w:tcPr>
            <w:tcW w:w="2268" w:type="dxa"/>
          </w:tcPr>
          <w:p w:rsidR="00337C98" w:rsidRDefault="009B19CF" w:rsidP="00337C98">
            <w:pPr>
              <w:spacing w:before="0" w:line="240" w:lineRule="auto"/>
              <w:jc w:val="center"/>
              <w:rPr>
                <w:rFonts w:cstheme="minorHAnsi"/>
                <w:sz w:val="22"/>
                <w:szCs w:val="22"/>
              </w:rPr>
            </w:pPr>
            <w:r>
              <w:rPr>
                <w:rFonts w:cstheme="minorHAnsi"/>
                <w:sz w:val="22"/>
                <w:szCs w:val="22"/>
              </w:rPr>
              <w:t>DVVNL</w:t>
            </w:r>
          </w:p>
        </w:tc>
        <w:tc>
          <w:tcPr>
            <w:tcW w:w="1881" w:type="dxa"/>
            <w:vAlign w:val="center"/>
          </w:tcPr>
          <w:p w:rsidR="00337C98" w:rsidRDefault="00E34329" w:rsidP="00337C98">
            <w:pPr>
              <w:spacing w:before="0" w:line="240" w:lineRule="auto"/>
              <w:jc w:val="right"/>
              <w:rPr>
                <w:color w:val="000000"/>
                <w:sz w:val="22"/>
                <w:szCs w:val="22"/>
              </w:rPr>
            </w:pPr>
            <w:r w:rsidRPr="00E34329">
              <w:rPr>
                <w:color w:val="000000"/>
                <w:sz w:val="22"/>
                <w:szCs w:val="22"/>
              </w:rPr>
              <w:t>6,189.82</w:t>
            </w:r>
          </w:p>
        </w:tc>
        <w:tc>
          <w:tcPr>
            <w:tcW w:w="1946" w:type="dxa"/>
            <w:vAlign w:val="center"/>
          </w:tcPr>
          <w:p w:rsidR="00337C98" w:rsidRDefault="00E34329" w:rsidP="00337C98">
            <w:pPr>
              <w:spacing w:before="0" w:line="240" w:lineRule="auto"/>
              <w:jc w:val="right"/>
              <w:rPr>
                <w:color w:val="000000"/>
                <w:sz w:val="22"/>
                <w:szCs w:val="22"/>
              </w:rPr>
            </w:pPr>
            <w:r w:rsidRPr="00E34329">
              <w:rPr>
                <w:color w:val="000000"/>
                <w:sz w:val="22"/>
                <w:szCs w:val="22"/>
              </w:rPr>
              <w:t>4,943.64</w:t>
            </w:r>
          </w:p>
        </w:tc>
      </w:tr>
      <w:tr w:rsidR="009B19CF" w:rsidRPr="00E8229C" w:rsidTr="00BC639E">
        <w:trPr>
          <w:jc w:val="center"/>
        </w:trPr>
        <w:tc>
          <w:tcPr>
            <w:tcW w:w="2268" w:type="dxa"/>
          </w:tcPr>
          <w:p w:rsidR="00337C98" w:rsidRDefault="009B19CF" w:rsidP="00337C98">
            <w:pPr>
              <w:spacing w:before="0" w:line="240" w:lineRule="auto"/>
              <w:jc w:val="center"/>
              <w:rPr>
                <w:rFonts w:cstheme="minorHAnsi"/>
                <w:sz w:val="22"/>
                <w:szCs w:val="22"/>
              </w:rPr>
            </w:pPr>
            <w:r>
              <w:rPr>
                <w:rFonts w:cstheme="minorHAnsi"/>
                <w:sz w:val="22"/>
                <w:szCs w:val="22"/>
              </w:rPr>
              <w:t>PVVNL</w:t>
            </w:r>
          </w:p>
        </w:tc>
        <w:tc>
          <w:tcPr>
            <w:tcW w:w="1881" w:type="dxa"/>
            <w:vAlign w:val="center"/>
          </w:tcPr>
          <w:p w:rsidR="00337C98" w:rsidRDefault="00E34329" w:rsidP="00337C98">
            <w:pPr>
              <w:spacing w:before="0" w:line="240" w:lineRule="auto"/>
              <w:jc w:val="right"/>
              <w:rPr>
                <w:color w:val="000000"/>
                <w:sz w:val="22"/>
                <w:szCs w:val="22"/>
              </w:rPr>
            </w:pPr>
            <w:r w:rsidRPr="00E34329">
              <w:rPr>
                <w:color w:val="000000"/>
                <w:sz w:val="22"/>
                <w:szCs w:val="22"/>
              </w:rPr>
              <w:t>10,583.72</w:t>
            </w:r>
          </w:p>
        </w:tc>
        <w:tc>
          <w:tcPr>
            <w:tcW w:w="1946" w:type="dxa"/>
            <w:vAlign w:val="center"/>
          </w:tcPr>
          <w:p w:rsidR="00337C98" w:rsidRDefault="00E34329" w:rsidP="00337C98">
            <w:pPr>
              <w:spacing w:before="0" w:line="240" w:lineRule="auto"/>
              <w:jc w:val="right"/>
              <w:rPr>
                <w:color w:val="000000"/>
                <w:sz w:val="22"/>
                <w:szCs w:val="22"/>
              </w:rPr>
            </w:pPr>
            <w:r w:rsidRPr="00E34329">
              <w:rPr>
                <w:color w:val="000000"/>
                <w:sz w:val="22"/>
                <w:szCs w:val="22"/>
              </w:rPr>
              <w:t>9,025.95</w:t>
            </w:r>
          </w:p>
        </w:tc>
      </w:tr>
      <w:tr w:rsidR="009B19CF" w:rsidRPr="00E8229C" w:rsidTr="00BC639E">
        <w:trPr>
          <w:jc w:val="center"/>
        </w:trPr>
        <w:tc>
          <w:tcPr>
            <w:tcW w:w="2268" w:type="dxa"/>
          </w:tcPr>
          <w:p w:rsidR="00337C98" w:rsidRDefault="009B19CF" w:rsidP="00337C98">
            <w:pPr>
              <w:spacing w:before="0" w:line="240" w:lineRule="auto"/>
              <w:jc w:val="center"/>
              <w:rPr>
                <w:rFonts w:cstheme="minorHAnsi"/>
                <w:sz w:val="22"/>
                <w:szCs w:val="22"/>
              </w:rPr>
            </w:pPr>
            <w:r>
              <w:rPr>
                <w:rFonts w:cstheme="minorHAnsi"/>
                <w:sz w:val="22"/>
                <w:szCs w:val="22"/>
              </w:rPr>
              <w:t>MVVNL</w:t>
            </w:r>
          </w:p>
        </w:tc>
        <w:tc>
          <w:tcPr>
            <w:tcW w:w="1881" w:type="dxa"/>
            <w:vAlign w:val="center"/>
          </w:tcPr>
          <w:p w:rsidR="00337C98" w:rsidRDefault="00E34329" w:rsidP="00337C98">
            <w:pPr>
              <w:spacing w:before="0" w:line="240" w:lineRule="auto"/>
              <w:jc w:val="right"/>
              <w:rPr>
                <w:color w:val="000000"/>
                <w:sz w:val="22"/>
                <w:szCs w:val="22"/>
              </w:rPr>
            </w:pPr>
            <w:r w:rsidRPr="00E34329">
              <w:rPr>
                <w:color w:val="000000"/>
                <w:sz w:val="22"/>
                <w:szCs w:val="22"/>
              </w:rPr>
              <w:t>6,092.48</w:t>
            </w:r>
          </w:p>
        </w:tc>
        <w:tc>
          <w:tcPr>
            <w:tcW w:w="1946" w:type="dxa"/>
            <w:vAlign w:val="center"/>
          </w:tcPr>
          <w:p w:rsidR="00337C98" w:rsidRDefault="00E34329" w:rsidP="00337C98">
            <w:pPr>
              <w:spacing w:before="0" w:line="240" w:lineRule="auto"/>
              <w:jc w:val="right"/>
              <w:rPr>
                <w:color w:val="000000"/>
                <w:sz w:val="22"/>
                <w:szCs w:val="22"/>
              </w:rPr>
            </w:pPr>
            <w:r w:rsidRPr="00E34329">
              <w:rPr>
                <w:color w:val="000000"/>
                <w:sz w:val="22"/>
                <w:szCs w:val="22"/>
              </w:rPr>
              <w:t>4,698.54</w:t>
            </w:r>
          </w:p>
        </w:tc>
      </w:tr>
      <w:tr w:rsidR="009B19CF" w:rsidRPr="00E8229C" w:rsidTr="00BC639E">
        <w:trPr>
          <w:jc w:val="center"/>
        </w:trPr>
        <w:tc>
          <w:tcPr>
            <w:tcW w:w="2268" w:type="dxa"/>
          </w:tcPr>
          <w:p w:rsidR="00337C98" w:rsidRDefault="009B19CF" w:rsidP="00337C98">
            <w:pPr>
              <w:spacing w:before="0" w:line="240" w:lineRule="auto"/>
              <w:jc w:val="center"/>
              <w:rPr>
                <w:rFonts w:cstheme="minorHAnsi"/>
                <w:sz w:val="22"/>
                <w:szCs w:val="22"/>
              </w:rPr>
            </w:pPr>
            <w:r>
              <w:rPr>
                <w:rFonts w:cstheme="minorHAnsi"/>
                <w:sz w:val="22"/>
                <w:szCs w:val="22"/>
              </w:rPr>
              <w:t>PuVVNL</w:t>
            </w:r>
          </w:p>
        </w:tc>
        <w:tc>
          <w:tcPr>
            <w:tcW w:w="1881" w:type="dxa"/>
            <w:vAlign w:val="center"/>
          </w:tcPr>
          <w:p w:rsidR="00337C98" w:rsidRDefault="00E34329" w:rsidP="00337C98">
            <w:pPr>
              <w:spacing w:before="0" w:line="240" w:lineRule="auto"/>
              <w:jc w:val="right"/>
              <w:rPr>
                <w:color w:val="000000"/>
                <w:sz w:val="22"/>
                <w:szCs w:val="22"/>
              </w:rPr>
            </w:pPr>
            <w:r w:rsidRPr="00E34329">
              <w:rPr>
                <w:color w:val="000000"/>
                <w:sz w:val="22"/>
                <w:szCs w:val="22"/>
              </w:rPr>
              <w:t>6,261.57</w:t>
            </w:r>
          </w:p>
        </w:tc>
        <w:tc>
          <w:tcPr>
            <w:tcW w:w="1946" w:type="dxa"/>
            <w:vAlign w:val="center"/>
          </w:tcPr>
          <w:p w:rsidR="00337C98" w:rsidRDefault="00E34329" w:rsidP="00337C98">
            <w:pPr>
              <w:spacing w:before="0" w:line="240" w:lineRule="auto"/>
              <w:jc w:val="right"/>
              <w:rPr>
                <w:color w:val="000000"/>
                <w:sz w:val="22"/>
                <w:szCs w:val="22"/>
              </w:rPr>
            </w:pPr>
            <w:r w:rsidRPr="00E34329">
              <w:rPr>
                <w:color w:val="000000"/>
                <w:sz w:val="22"/>
                <w:szCs w:val="22"/>
              </w:rPr>
              <w:t>5,044.45</w:t>
            </w:r>
          </w:p>
        </w:tc>
      </w:tr>
    </w:tbl>
    <w:p w:rsidR="00337C98" w:rsidRPr="000C32FB" w:rsidRDefault="00337C98" w:rsidP="000C32FB">
      <w:pPr>
        <w:spacing w:before="0"/>
        <w:rPr>
          <w:rFonts w:cstheme="minorBidi"/>
          <w:sz w:val="22"/>
          <w:szCs w:val="22"/>
        </w:rPr>
      </w:pPr>
    </w:p>
    <w:p w:rsidR="00D5771F" w:rsidRPr="000C32FB" w:rsidRDefault="009B19CF" w:rsidP="000C32FB">
      <w:pPr>
        <w:pStyle w:val="Heading3"/>
        <w:tabs>
          <w:tab w:val="clear" w:pos="720"/>
        </w:tabs>
        <w:spacing w:before="0"/>
        <w:ind w:left="993" w:hanging="993"/>
        <w:rPr>
          <w:rFonts w:asciiTheme="minorHAnsi" w:hAnsiTheme="minorHAnsi" w:cstheme="minorHAnsi"/>
          <w:sz w:val="22"/>
        </w:rPr>
      </w:pPr>
      <w:r w:rsidRPr="00BA08F0">
        <w:rPr>
          <w:b/>
        </w:rPr>
        <w:t xml:space="preserve">The Commission is unable to a take a view with regard to the collection and recovery of Regulatory Surcharge-1 in absence of amount recovered and directs the Licensees to submit the </w:t>
      </w:r>
      <w:r w:rsidR="00E34329" w:rsidRPr="00BA08F0">
        <w:rPr>
          <w:rFonts w:cstheme="minorHAnsi"/>
          <w:b/>
        </w:rPr>
        <w:t xml:space="preserve">consumer category and sub-category wise </w:t>
      </w:r>
      <w:r w:rsidR="00E34329" w:rsidRPr="00BA08F0">
        <w:rPr>
          <w:rFonts w:asciiTheme="minorHAnsi" w:hAnsiTheme="minorHAnsi" w:cstheme="minorHAnsi"/>
          <w:b/>
          <w:szCs w:val="24"/>
        </w:rPr>
        <w:t>Regulatory Surcharges separately for Regulatory Surcharge-1 &amp; Regulatory Surcharge-2 collected for each year since inception at the earliest.</w:t>
      </w:r>
      <w:r w:rsidR="000C32FB" w:rsidRPr="00BA08F0">
        <w:rPr>
          <w:rFonts w:asciiTheme="minorHAnsi" w:hAnsiTheme="minorHAnsi" w:cstheme="minorHAnsi"/>
          <w:b/>
          <w:szCs w:val="24"/>
        </w:rPr>
        <w:t xml:space="preserve"> In absence of this information, the Commission would be forced to draw a presumption about liquidation of Regulatory Assets.</w:t>
      </w:r>
    </w:p>
    <w:p w:rsidR="00D5771F" w:rsidRDefault="00E34329">
      <w:pPr>
        <w:pStyle w:val="Heading3"/>
        <w:tabs>
          <w:tab w:val="clear" w:pos="720"/>
        </w:tabs>
        <w:ind w:left="993" w:hanging="993"/>
        <w:rPr>
          <w:rFonts w:asciiTheme="minorHAnsi" w:hAnsiTheme="minorHAnsi" w:cstheme="minorHAnsi"/>
        </w:rPr>
      </w:pPr>
      <w:r w:rsidRPr="00E34329">
        <w:rPr>
          <w:rFonts w:asciiTheme="minorHAnsi" w:hAnsiTheme="minorHAnsi" w:cstheme="minorHAnsi"/>
          <w:szCs w:val="24"/>
        </w:rPr>
        <w:t>Also, in the previous Tariff Order for FY 2015-16, the  Distribution  Licensee was  directed  to  submit  the  actual  Regulatory Surcharge  recovered  in  FY  2015-16  on  account  of  the  Revenue  Gap  / Regulatory  Asset  admitted  by  the  Commission  in  the Tariff Order FY 2015-16  along  with  the actual  Distribution  Losses achieved  in  FY  2015-16,  number  of  unmetered connection converted to metered connection and additional target consumers added in FY 2015-16 by April 15, 2016. Based on the submissions, achievement or under-achievement of performance parameters, the Regulatory Surcharge for subsequent financial year i.e. FY 2016-17 was to be decided.</w:t>
      </w:r>
    </w:p>
    <w:p w:rsidR="006C63AF" w:rsidRPr="000C32FB" w:rsidRDefault="00E34329" w:rsidP="000C32FB">
      <w:pPr>
        <w:pStyle w:val="Heading3"/>
        <w:tabs>
          <w:tab w:val="clear" w:pos="720"/>
        </w:tabs>
        <w:ind w:left="993" w:hanging="993"/>
        <w:rPr>
          <w:rFonts w:asciiTheme="minorHAnsi" w:hAnsiTheme="minorHAnsi" w:cstheme="minorHAnsi"/>
          <w:szCs w:val="24"/>
        </w:rPr>
      </w:pPr>
      <w:r w:rsidRPr="00E34329">
        <w:rPr>
          <w:rFonts w:asciiTheme="minorHAnsi" w:hAnsiTheme="minorHAnsi" w:cstheme="minorHAnsi"/>
          <w:szCs w:val="24"/>
        </w:rPr>
        <w:t>It is to be noted that the Petitioner has not</w:t>
      </w:r>
      <w:r w:rsidR="009B19CF" w:rsidRPr="00354316">
        <w:rPr>
          <w:rFonts w:asciiTheme="minorHAnsi" w:hAnsiTheme="minorHAnsi" w:cstheme="minorHAnsi"/>
          <w:szCs w:val="24"/>
        </w:rPr>
        <w:t xml:space="preserve"> submitted any information with</w:t>
      </w:r>
      <w:r w:rsidRPr="00E34329">
        <w:rPr>
          <w:rFonts w:asciiTheme="minorHAnsi" w:hAnsiTheme="minorHAnsi" w:cstheme="minorHAnsi"/>
          <w:szCs w:val="24"/>
        </w:rPr>
        <w:t xml:space="preserve">regard to the  performance parameters like number of consumers added, number of unmetered consumers converted to metered consumers and actual distribution loss  in FY 2015-16 as directed by the Commission in its Tariff Order for FY 2015-16. The Petitioner is hereby directed to submit the relevant information at the earliest from the issuance of this Order. </w:t>
      </w:r>
      <w:r w:rsidR="00337C98" w:rsidRPr="00337C98">
        <w:rPr>
          <w:rFonts w:asciiTheme="minorHAnsi" w:hAnsiTheme="minorHAnsi" w:cstheme="minorHAnsi"/>
          <w:b/>
          <w:szCs w:val="24"/>
        </w:rPr>
        <w:t>Further t</w:t>
      </w:r>
      <w:r w:rsidR="003F0D35" w:rsidRPr="003F0D35">
        <w:rPr>
          <w:rFonts w:asciiTheme="minorHAnsi" w:hAnsiTheme="minorHAnsi" w:cstheme="minorHAnsi"/>
          <w:b/>
          <w:szCs w:val="24"/>
        </w:rPr>
        <w:t>he Commission directs</w:t>
      </w:r>
      <w:r w:rsidR="009362F9">
        <w:rPr>
          <w:rFonts w:asciiTheme="minorHAnsi" w:hAnsiTheme="minorHAnsi" w:cstheme="minorHAnsi"/>
          <w:b/>
          <w:szCs w:val="24"/>
        </w:rPr>
        <w:t xml:space="preserve"> </w:t>
      </w:r>
      <w:r w:rsidR="003F0D35" w:rsidRPr="003F0D35">
        <w:rPr>
          <w:rFonts w:asciiTheme="minorHAnsi" w:hAnsiTheme="minorHAnsi" w:cstheme="minorHAnsi"/>
          <w:b/>
          <w:szCs w:val="24"/>
        </w:rPr>
        <w:t>DVVNL, MVVNL and PuVVNL to continue levy of Regulatory Surcharge-2 for FY 2016-17 at the same rate as specified in the</w:t>
      </w:r>
      <w:r w:rsidR="005B1438" w:rsidRPr="00A04692">
        <w:rPr>
          <w:rFonts w:asciiTheme="minorHAnsi" w:hAnsiTheme="minorHAnsi" w:cstheme="minorHAnsi"/>
          <w:b/>
          <w:szCs w:val="24"/>
        </w:rPr>
        <w:t xml:space="preserve"> Tariff Order for FY 2015-16 i.e. 4.28% till issuance of further Order in this regard.</w:t>
      </w:r>
      <w:r w:rsidR="009362F9">
        <w:rPr>
          <w:rFonts w:asciiTheme="minorHAnsi" w:hAnsiTheme="minorHAnsi" w:cstheme="minorHAnsi"/>
          <w:b/>
          <w:szCs w:val="24"/>
        </w:rPr>
        <w:t xml:space="preserve"> </w:t>
      </w:r>
      <w:r w:rsidR="00D506BE">
        <w:rPr>
          <w:rFonts w:asciiTheme="minorHAnsi" w:hAnsiTheme="minorHAnsi" w:cstheme="minorHAnsi"/>
          <w:b/>
          <w:szCs w:val="24"/>
        </w:rPr>
        <w:t xml:space="preserve">For PVVNL the </w:t>
      </w:r>
      <w:r w:rsidR="00B63E46">
        <w:rPr>
          <w:rFonts w:asciiTheme="minorHAnsi" w:hAnsiTheme="minorHAnsi" w:cstheme="minorHAnsi"/>
          <w:b/>
          <w:szCs w:val="24"/>
        </w:rPr>
        <w:t>reduced Regulatory Surcha</w:t>
      </w:r>
      <w:r w:rsidR="005B1438">
        <w:rPr>
          <w:rFonts w:asciiTheme="minorHAnsi" w:hAnsiTheme="minorHAnsi" w:cstheme="minorHAnsi"/>
          <w:b/>
          <w:szCs w:val="24"/>
        </w:rPr>
        <w:t>rge</w:t>
      </w:r>
      <w:r w:rsidR="00B63E46">
        <w:rPr>
          <w:rFonts w:asciiTheme="minorHAnsi" w:hAnsiTheme="minorHAnsi" w:cstheme="minorHAnsi"/>
          <w:b/>
          <w:szCs w:val="24"/>
        </w:rPr>
        <w:t>-2</w:t>
      </w:r>
      <w:r w:rsidR="005B1438">
        <w:rPr>
          <w:rFonts w:asciiTheme="minorHAnsi" w:hAnsiTheme="minorHAnsi" w:cstheme="minorHAnsi"/>
          <w:b/>
          <w:szCs w:val="24"/>
        </w:rPr>
        <w:t xml:space="preserve"> </w:t>
      </w:r>
      <w:r w:rsidR="00D506BE">
        <w:rPr>
          <w:rFonts w:asciiTheme="minorHAnsi" w:hAnsiTheme="minorHAnsi" w:cstheme="minorHAnsi"/>
          <w:b/>
          <w:szCs w:val="24"/>
        </w:rPr>
        <w:t xml:space="preserve">applicable for FY 2016-17 shall be </w:t>
      </w:r>
      <w:r w:rsidR="00DB6C92">
        <w:rPr>
          <w:rFonts w:asciiTheme="minorHAnsi" w:hAnsiTheme="minorHAnsi" w:cstheme="minorHAnsi"/>
          <w:b/>
          <w:szCs w:val="24"/>
        </w:rPr>
        <w:t>3.03</w:t>
      </w:r>
      <w:r w:rsidR="00D506BE">
        <w:rPr>
          <w:rFonts w:asciiTheme="minorHAnsi" w:hAnsiTheme="minorHAnsi" w:cstheme="minorHAnsi"/>
          <w:b/>
          <w:szCs w:val="24"/>
        </w:rPr>
        <w:t>% in view of total liquidation of regulatory assets</w:t>
      </w:r>
      <w:r w:rsidR="009362F9">
        <w:rPr>
          <w:rFonts w:asciiTheme="minorHAnsi" w:hAnsiTheme="minorHAnsi" w:cstheme="minorHAnsi"/>
          <w:b/>
          <w:szCs w:val="24"/>
        </w:rPr>
        <w:t xml:space="preserve"> </w:t>
      </w:r>
      <w:r w:rsidR="00D506BE">
        <w:rPr>
          <w:rFonts w:asciiTheme="minorHAnsi" w:hAnsiTheme="minorHAnsi" w:cstheme="minorHAnsi"/>
          <w:b/>
          <w:szCs w:val="24"/>
        </w:rPr>
        <w:t xml:space="preserve">of </w:t>
      </w:r>
      <w:r w:rsidR="00D506BE">
        <w:rPr>
          <w:rFonts w:asciiTheme="minorHAnsi" w:hAnsiTheme="minorHAnsi" w:cstheme="minorHAnsi"/>
          <w:b/>
          <w:szCs w:val="24"/>
        </w:rPr>
        <w:lastRenderedPageBreak/>
        <w:t>PVVNL during FY 2016-17.</w:t>
      </w:r>
      <w:r w:rsidR="009362F9">
        <w:rPr>
          <w:rFonts w:asciiTheme="minorHAnsi" w:hAnsiTheme="minorHAnsi" w:cstheme="minorHAnsi"/>
          <w:b/>
          <w:szCs w:val="24"/>
        </w:rPr>
        <w:t xml:space="preserve"> </w:t>
      </w:r>
      <w:r w:rsidR="00337C98" w:rsidRPr="00337C98">
        <w:rPr>
          <w:rFonts w:asciiTheme="minorHAnsi" w:hAnsiTheme="minorHAnsi" w:cstheme="minorHAnsi"/>
          <w:szCs w:val="24"/>
        </w:rPr>
        <w:t xml:space="preserve">The </w:t>
      </w:r>
      <w:r w:rsidR="000D14AF" w:rsidRPr="000D14AF">
        <w:rPr>
          <w:rFonts w:asciiTheme="minorHAnsi" w:hAnsiTheme="minorHAnsi" w:cstheme="minorHAnsi"/>
          <w:szCs w:val="24"/>
        </w:rPr>
        <w:t>details with regard to levy of Regulatory Surcharge-2 have</w:t>
      </w:r>
      <w:r w:rsidR="00337C98" w:rsidRPr="00337C98">
        <w:rPr>
          <w:rFonts w:asciiTheme="minorHAnsi" w:hAnsiTheme="minorHAnsi" w:cstheme="minorHAnsi"/>
          <w:szCs w:val="24"/>
        </w:rPr>
        <w:t xml:space="preserve"> been discussed subsequently in this Order.</w:t>
      </w:r>
    </w:p>
    <w:p w:rsidR="00D5771F" w:rsidRDefault="009B19CF">
      <w:pPr>
        <w:pStyle w:val="Heading2"/>
        <w:ind w:left="990" w:hanging="990"/>
      </w:pPr>
      <w:bookmarkStart w:id="1839" w:name="_Toc422310091"/>
      <w:bookmarkStart w:id="1840" w:name="_Toc455311785"/>
      <w:bookmarkStart w:id="1841" w:name="_Toc457603980"/>
      <w:r w:rsidRPr="00C60AD1">
        <w:t>TREATMENT OF REVENUE GAP / REGULATORY ASSET ADMITTED IN THIS ORDER</w:t>
      </w:r>
      <w:bookmarkEnd w:id="1839"/>
      <w:bookmarkEnd w:id="1840"/>
      <w:bookmarkEnd w:id="1841"/>
    </w:p>
    <w:p w:rsidR="00D5771F" w:rsidRDefault="009B19CF">
      <w:pPr>
        <w:pStyle w:val="Heading3"/>
        <w:tabs>
          <w:tab w:val="clear" w:pos="720"/>
        </w:tabs>
        <w:ind w:left="993" w:hanging="993"/>
        <w:rPr>
          <w:rFonts w:asciiTheme="minorHAnsi" w:hAnsiTheme="minorHAnsi" w:cstheme="minorHAnsi"/>
          <w:szCs w:val="24"/>
        </w:rPr>
      </w:pPr>
      <w:r w:rsidRPr="00C60AD1">
        <w:rPr>
          <w:rFonts w:asciiTheme="minorHAnsi" w:hAnsiTheme="minorHAnsi" w:cstheme="minorHAnsi"/>
          <w:szCs w:val="24"/>
        </w:rPr>
        <w:t xml:space="preserve">With regard to the carrying cost, while undertaking the True up of FY 2008-09 to FY 2011-12, the Commission in Tariff Order for FY 2014-15 has disallowed the claim of Petitioner towards carrying cost. The relevant extract of the aforesaid Order is reproduced below: </w:t>
      </w:r>
    </w:p>
    <w:p w:rsidR="009B19CF" w:rsidRPr="00C60AD1" w:rsidRDefault="009B19CF" w:rsidP="009B19CF">
      <w:pPr>
        <w:pStyle w:val="Heading3"/>
        <w:numPr>
          <w:ilvl w:val="0"/>
          <w:numId w:val="0"/>
        </w:numPr>
        <w:tabs>
          <w:tab w:val="clear" w:pos="720"/>
        </w:tabs>
        <w:spacing w:after="120"/>
        <w:ind w:left="1440"/>
        <w:rPr>
          <w:i/>
        </w:rPr>
      </w:pPr>
      <w:r w:rsidRPr="00C60AD1">
        <w:rPr>
          <w:i/>
        </w:rPr>
        <w:t>“UPPCL and the State Discoms namely DVVNL, PuVVNL, MVVNL and PVNNL have filed an Appeal before the Hon’ble ATE against the Commission’s views on the matter. Since, the matter is sub-judice before the Hon’ble</w:t>
      </w:r>
      <w:r w:rsidR="00986037">
        <w:rPr>
          <w:i/>
        </w:rPr>
        <w:t xml:space="preserve"> </w:t>
      </w:r>
      <w:r w:rsidRPr="00C60AD1">
        <w:rPr>
          <w:i/>
        </w:rPr>
        <w:t>ATE, the Commission has considered the same philosophy on the issue as mentioned above. Therefore, the Commission has disallowed the Petitioner’s claim towards carrying cost in the present Order. However, the same shall be reviewed based on the Judgment of the Hon’ble ATE in this regard.”</w:t>
      </w:r>
    </w:p>
    <w:p w:rsidR="00D5771F" w:rsidRDefault="009B19CF">
      <w:pPr>
        <w:pStyle w:val="Heading3"/>
        <w:tabs>
          <w:tab w:val="clear" w:pos="720"/>
        </w:tabs>
        <w:ind w:left="993" w:hanging="993"/>
        <w:rPr>
          <w:rFonts w:asciiTheme="minorHAnsi" w:hAnsiTheme="minorHAnsi" w:cstheme="minorHAnsi"/>
          <w:i/>
          <w:szCs w:val="24"/>
        </w:rPr>
      </w:pPr>
      <w:r w:rsidRPr="00C60AD1">
        <w:rPr>
          <w:rFonts w:asciiTheme="minorHAnsi" w:hAnsiTheme="minorHAnsi" w:cstheme="minorHAnsi"/>
          <w:szCs w:val="24"/>
        </w:rPr>
        <w:t xml:space="preserve">Thus, in line with the approach adopted by the Commission in its earlier Order, the Commission has disallowed the claim of Petitioner towards carrying cost in present Order.  </w:t>
      </w:r>
    </w:p>
    <w:p w:rsidR="00D5771F" w:rsidRDefault="009B19CF">
      <w:pPr>
        <w:pStyle w:val="Heading3"/>
        <w:tabs>
          <w:tab w:val="clear" w:pos="720"/>
        </w:tabs>
        <w:ind w:left="993" w:hanging="993"/>
        <w:rPr>
          <w:rFonts w:asciiTheme="minorHAnsi" w:eastAsiaTheme="minorHAnsi" w:hAnsiTheme="minorHAnsi" w:cstheme="minorHAnsi"/>
          <w:color w:val="FF0000"/>
          <w:lang w:val="en-US"/>
        </w:rPr>
      </w:pPr>
      <w:r>
        <w:rPr>
          <w:rFonts w:asciiTheme="minorHAnsi" w:hAnsiTheme="minorHAnsi" w:cstheme="minorHAnsi"/>
          <w:szCs w:val="24"/>
        </w:rPr>
        <w:t>T</w:t>
      </w:r>
      <w:r w:rsidRPr="00C60AD1">
        <w:rPr>
          <w:rFonts w:asciiTheme="minorHAnsi" w:hAnsiTheme="minorHAnsi" w:cstheme="minorHAnsi"/>
          <w:szCs w:val="24"/>
        </w:rPr>
        <w:t xml:space="preserve">he Commission recomputed the </w:t>
      </w:r>
      <w:r>
        <w:rPr>
          <w:rFonts w:asciiTheme="minorHAnsi" w:hAnsiTheme="minorHAnsi" w:cstheme="minorHAnsi"/>
          <w:szCs w:val="24"/>
        </w:rPr>
        <w:t>revenue gap</w:t>
      </w:r>
      <w:r w:rsidRPr="00C60AD1">
        <w:rPr>
          <w:rFonts w:asciiTheme="minorHAnsi" w:hAnsiTheme="minorHAnsi" w:cstheme="minorHAnsi"/>
          <w:szCs w:val="24"/>
        </w:rPr>
        <w:t xml:space="preserve"> as determined in the Tariff Order for FY 2014-15 </w:t>
      </w:r>
      <w:r>
        <w:rPr>
          <w:rFonts w:asciiTheme="minorHAnsi" w:hAnsiTheme="minorHAnsi" w:cstheme="minorHAnsi"/>
          <w:szCs w:val="24"/>
        </w:rPr>
        <w:t>in its Tariff Order for FY 2015-16 as mentioned below:</w:t>
      </w:r>
    </w:p>
    <w:p w:rsidR="009B19CF" w:rsidRPr="00C60AD1" w:rsidRDefault="009B19CF" w:rsidP="009B19CF">
      <w:pPr>
        <w:pStyle w:val="Heading3"/>
        <w:numPr>
          <w:ilvl w:val="0"/>
          <w:numId w:val="0"/>
        </w:numPr>
        <w:tabs>
          <w:tab w:val="clear" w:pos="720"/>
        </w:tabs>
        <w:spacing w:before="0"/>
        <w:ind w:left="993"/>
        <w:jc w:val="center"/>
        <w:rPr>
          <w:rFonts w:asciiTheme="minorHAnsi" w:hAnsiTheme="minorHAnsi" w:cstheme="minorHAnsi"/>
          <w:b/>
          <w:szCs w:val="24"/>
        </w:rPr>
      </w:pPr>
    </w:p>
    <w:p w:rsidR="009B19CF" w:rsidRPr="00F67978" w:rsidRDefault="006C63AF" w:rsidP="009B19CF">
      <w:pPr>
        <w:pStyle w:val="Heading3"/>
        <w:numPr>
          <w:ilvl w:val="0"/>
          <w:numId w:val="0"/>
        </w:numPr>
        <w:tabs>
          <w:tab w:val="clear" w:pos="720"/>
        </w:tabs>
        <w:spacing w:before="0"/>
        <w:ind w:left="993"/>
        <w:jc w:val="center"/>
        <w:rPr>
          <w:rFonts w:asciiTheme="minorHAnsi" w:eastAsiaTheme="minorHAnsi" w:hAnsiTheme="minorHAnsi" w:cstheme="minorHAnsi"/>
          <w:b/>
          <w:color w:val="FF0000"/>
          <w:sz w:val="22"/>
          <w:lang w:val="en-US"/>
        </w:rPr>
      </w:pPr>
      <w:bookmarkStart w:id="1842" w:name="_Toc422309979"/>
      <w:r w:rsidRPr="006C63AF">
        <w:rPr>
          <w:rFonts w:asciiTheme="minorHAnsi" w:hAnsiTheme="minorHAnsi" w:cstheme="minorHAnsi"/>
          <w:b/>
          <w:sz w:val="22"/>
          <w:szCs w:val="24"/>
        </w:rPr>
        <w:t>Table 8-4:</w:t>
      </w:r>
      <w:r w:rsidRPr="006C63AF">
        <w:rPr>
          <w:rFonts w:asciiTheme="minorHAnsi" w:hAnsiTheme="minorHAnsi" w:cstheme="minorHAnsi"/>
          <w:sz w:val="22"/>
          <w:szCs w:val="24"/>
        </w:rPr>
        <w:t xml:space="preserve"> </w:t>
      </w:r>
      <w:r w:rsidRPr="006C63AF">
        <w:rPr>
          <w:rFonts w:asciiTheme="minorHAnsi" w:hAnsiTheme="minorHAnsi" w:cstheme="minorHAnsi"/>
          <w:b/>
          <w:sz w:val="22"/>
          <w:szCs w:val="24"/>
        </w:rPr>
        <w:t>REVISED REVENUE GAP FOR FY 2014-15</w:t>
      </w:r>
      <w:bookmarkEnd w:id="1842"/>
    </w:p>
    <w:tbl>
      <w:tblPr>
        <w:tblW w:w="9560" w:type="dxa"/>
        <w:tblInd w:w="103" w:type="dxa"/>
        <w:tblLook w:val="04A0"/>
      </w:tblPr>
      <w:tblGrid>
        <w:gridCol w:w="3744"/>
        <w:gridCol w:w="1060"/>
        <w:gridCol w:w="1240"/>
        <w:gridCol w:w="1001"/>
        <w:gridCol w:w="1100"/>
        <w:gridCol w:w="1415"/>
      </w:tblGrid>
      <w:tr w:rsidR="009B19CF" w:rsidRPr="00F33FEA" w:rsidTr="00A8391B">
        <w:trPr>
          <w:trHeight w:val="705"/>
          <w:tblHeader/>
        </w:trPr>
        <w:tc>
          <w:tcPr>
            <w:tcW w:w="3744" w:type="dxa"/>
            <w:tcBorders>
              <w:top w:val="dotted" w:sz="4" w:space="0" w:color="auto"/>
              <w:left w:val="dotted" w:sz="4" w:space="0" w:color="auto"/>
              <w:bottom w:val="dotted" w:sz="4" w:space="0" w:color="auto"/>
              <w:right w:val="dotted" w:sz="4" w:space="0" w:color="auto"/>
            </w:tcBorders>
            <w:shd w:val="clear" w:color="000000" w:fill="DBE5F1"/>
            <w:hideMark/>
          </w:tcPr>
          <w:p w:rsidR="007B00DC" w:rsidRDefault="009B19CF">
            <w:pPr>
              <w:spacing w:before="0" w:line="240" w:lineRule="auto"/>
              <w:jc w:val="center"/>
              <w:rPr>
                <w:rFonts w:asciiTheme="minorHAnsi" w:hAnsiTheme="minorHAnsi" w:cs="Calibri"/>
                <w:b/>
                <w:bCs/>
                <w:color w:val="000000"/>
                <w:sz w:val="22"/>
                <w:szCs w:val="22"/>
              </w:rPr>
            </w:pPr>
            <w:r w:rsidRPr="003F5CCC">
              <w:rPr>
                <w:rFonts w:asciiTheme="minorHAnsi" w:hAnsiTheme="minorHAnsi" w:cs="Calibri"/>
                <w:b/>
                <w:bCs/>
                <w:color w:val="000000"/>
                <w:sz w:val="22"/>
                <w:szCs w:val="22"/>
              </w:rPr>
              <w:t>Particulars</w:t>
            </w:r>
          </w:p>
        </w:tc>
        <w:tc>
          <w:tcPr>
            <w:tcW w:w="1060" w:type="dxa"/>
            <w:tcBorders>
              <w:top w:val="dotted" w:sz="4" w:space="0" w:color="auto"/>
              <w:left w:val="nil"/>
              <w:bottom w:val="dotted" w:sz="4" w:space="0" w:color="auto"/>
              <w:right w:val="dotted" w:sz="4" w:space="0" w:color="auto"/>
            </w:tcBorders>
            <w:shd w:val="clear" w:color="000000" w:fill="DBE5F1"/>
            <w:noWrap/>
            <w:hideMark/>
          </w:tcPr>
          <w:p w:rsidR="007B00DC" w:rsidRDefault="009B19CF">
            <w:pPr>
              <w:spacing w:before="0" w:line="240" w:lineRule="auto"/>
              <w:jc w:val="center"/>
              <w:rPr>
                <w:rFonts w:asciiTheme="minorHAnsi" w:hAnsiTheme="minorHAnsi" w:cs="Calibri"/>
                <w:b/>
                <w:bCs/>
                <w:color w:val="000000"/>
                <w:sz w:val="22"/>
                <w:szCs w:val="22"/>
              </w:rPr>
            </w:pPr>
            <w:r w:rsidRPr="003F5CCC">
              <w:rPr>
                <w:rFonts w:asciiTheme="minorHAnsi" w:hAnsiTheme="minorHAnsi" w:cs="Calibri"/>
                <w:b/>
                <w:bCs/>
                <w:color w:val="000000"/>
                <w:sz w:val="22"/>
                <w:szCs w:val="22"/>
              </w:rPr>
              <w:t>PVVNL</w:t>
            </w:r>
          </w:p>
        </w:tc>
        <w:tc>
          <w:tcPr>
            <w:tcW w:w="1240" w:type="dxa"/>
            <w:tcBorders>
              <w:top w:val="dotted" w:sz="4" w:space="0" w:color="auto"/>
              <w:left w:val="nil"/>
              <w:bottom w:val="dotted" w:sz="4" w:space="0" w:color="auto"/>
              <w:right w:val="dotted" w:sz="4" w:space="0" w:color="auto"/>
            </w:tcBorders>
            <w:shd w:val="clear" w:color="000000" w:fill="DBE5F1"/>
            <w:noWrap/>
            <w:hideMark/>
          </w:tcPr>
          <w:p w:rsidR="007B00DC" w:rsidRDefault="009B19CF">
            <w:pPr>
              <w:spacing w:before="0" w:line="240" w:lineRule="auto"/>
              <w:jc w:val="center"/>
              <w:rPr>
                <w:rFonts w:asciiTheme="minorHAnsi" w:hAnsiTheme="minorHAnsi" w:cs="Calibri"/>
                <w:b/>
                <w:bCs/>
                <w:color w:val="000000"/>
                <w:sz w:val="22"/>
                <w:szCs w:val="22"/>
              </w:rPr>
            </w:pPr>
            <w:r w:rsidRPr="003F5CCC">
              <w:rPr>
                <w:rFonts w:asciiTheme="minorHAnsi" w:hAnsiTheme="minorHAnsi" w:cs="Calibri"/>
                <w:b/>
                <w:bCs/>
                <w:color w:val="000000"/>
                <w:sz w:val="22"/>
                <w:szCs w:val="22"/>
              </w:rPr>
              <w:t>MVVNL</w:t>
            </w:r>
          </w:p>
        </w:tc>
        <w:tc>
          <w:tcPr>
            <w:tcW w:w="1001" w:type="dxa"/>
            <w:tcBorders>
              <w:top w:val="dotted" w:sz="4" w:space="0" w:color="auto"/>
              <w:left w:val="nil"/>
              <w:bottom w:val="dotted" w:sz="4" w:space="0" w:color="auto"/>
              <w:right w:val="dotted" w:sz="4" w:space="0" w:color="auto"/>
            </w:tcBorders>
            <w:shd w:val="clear" w:color="000000" w:fill="DBE5F1"/>
            <w:noWrap/>
            <w:hideMark/>
          </w:tcPr>
          <w:p w:rsidR="007B00DC" w:rsidRDefault="009B19CF">
            <w:pPr>
              <w:spacing w:before="0" w:line="240" w:lineRule="auto"/>
              <w:jc w:val="center"/>
              <w:rPr>
                <w:rFonts w:asciiTheme="minorHAnsi" w:hAnsiTheme="minorHAnsi" w:cs="Calibri"/>
                <w:b/>
                <w:bCs/>
                <w:color w:val="000000"/>
                <w:sz w:val="22"/>
                <w:szCs w:val="22"/>
              </w:rPr>
            </w:pPr>
            <w:r w:rsidRPr="003F5CCC">
              <w:rPr>
                <w:rFonts w:asciiTheme="minorHAnsi" w:hAnsiTheme="minorHAnsi" w:cs="Calibri"/>
                <w:b/>
                <w:bCs/>
                <w:color w:val="000000"/>
                <w:sz w:val="22"/>
                <w:szCs w:val="22"/>
              </w:rPr>
              <w:t>DVVNL</w:t>
            </w:r>
          </w:p>
        </w:tc>
        <w:tc>
          <w:tcPr>
            <w:tcW w:w="1100" w:type="dxa"/>
            <w:tcBorders>
              <w:top w:val="dotted" w:sz="4" w:space="0" w:color="auto"/>
              <w:left w:val="nil"/>
              <w:bottom w:val="dotted" w:sz="4" w:space="0" w:color="auto"/>
              <w:right w:val="dotted" w:sz="4" w:space="0" w:color="auto"/>
            </w:tcBorders>
            <w:shd w:val="clear" w:color="000000" w:fill="DBE5F1"/>
            <w:noWrap/>
            <w:hideMark/>
          </w:tcPr>
          <w:p w:rsidR="007B00DC" w:rsidRDefault="009B19CF">
            <w:pPr>
              <w:spacing w:before="0" w:line="240" w:lineRule="auto"/>
              <w:jc w:val="center"/>
              <w:rPr>
                <w:rFonts w:asciiTheme="minorHAnsi" w:hAnsiTheme="minorHAnsi" w:cs="Calibri"/>
                <w:b/>
                <w:bCs/>
                <w:color w:val="000000"/>
                <w:sz w:val="22"/>
                <w:szCs w:val="22"/>
              </w:rPr>
            </w:pPr>
            <w:r w:rsidRPr="003F5CCC">
              <w:rPr>
                <w:rFonts w:asciiTheme="minorHAnsi" w:hAnsiTheme="minorHAnsi" w:cs="Calibri"/>
                <w:b/>
                <w:bCs/>
                <w:color w:val="000000"/>
                <w:sz w:val="22"/>
                <w:szCs w:val="22"/>
              </w:rPr>
              <w:t>PuVVNL</w:t>
            </w:r>
          </w:p>
        </w:tc>
        <w:tc>
          <w:tcPr>
            <w:tcW w:w="1415" w:type="dxa"/>
            <w:tcBorders>
              <w:top w:val="dotted" w:sz="4" w:space="0" w:color="auto"/>
              <w:left w:val="nil"/>
              <w:bottom w:val="dotted" w:sz="4" w:space="0" w:color="auto"/>
              <w:right w:val="dotted" w:sz="4" w:space="0" w:color="auto"/>
            </w:tcBorders>
            <w:shd w:val="clear" w:color="000000" w:fill="DBE5F1"/>
            <w:hideMark/>
          </w:tcPr>
          <w:p w:rsidR="007B00DC" w:rsidRDefault="009B19CF">
            <w:pPr>
              <w:spacing w:before="0" w:line="240" w:lineRule="auto"/>
              <w:jc w:val="center"/>
              <w:rPr>
                <w:rFonts w:asciiTheme="minorHAnsi" w:hAnsiTheme="minorHAnsi" w:cs="Calibri"/>
                <w:b/>
                <w:bCs/>
                <w:color w:val="000000"/>
                <w:sz w:val="22"/>
                <w:szCs w:val="22"/>
              </w:rPr>
            </w:pPr>
            <w:r w:rsidRPr="003F5CCC">
              <w:rPr>
                <w:rFonts w:asciiTheme="minorHAnsi" w:hAnsiTheme="minorHAnsi" w:cs="Calibri"/>
                <w:b/>
                <w:bCs/>
                <w:color w:val="000000"/>
                <w:sz w:val="22"/>
                <w:szCs w:val="22"/>
              </w:rPr>
              <w:t>Consolidated for 4 Discoms</w:t>
            </w:r>
          </w:p>
        </w:tc>
      </w:tr>
      <w:tr w:rsidR="009B19CF" w:rsidRPr="00F33FEA" w:rsidTr="009B19CF">
        <w:trPr>
          <w:trHeight w:val="255"/>
        </w:trPr>
        <w:tc>
          <w:tcPr>
            <w:tcW w:w="3744" w:type="dxa"/>
            <w:tcBorders>
              <w:top w:val="nil"/>
              <w:left w:val="dotted" w:sz="4" w:space="0" w:color="auto"/>
              <w:bottom w:val="dotted" w:sz="4" w:space="0" w:color="auto"/>
              <w:right w:val="dotted" w:sz="4" w:space="0" w:color="auto"/>
            </w:tcBorders>
            <w:shd w:val="clear" w:color="auto" w:fill="auto"/>
            <w:vAlign w:val="center"/>
            <w:hideMark/>
          </w:tcPr>
          <w:p w:rsidR="009B19CF" w:rsidRDefault="009B19CF" w:rsidP="00D920F1">
            <w:pPr>
              <w:spacing w:before="0" w:line="240" w:lineRule="auto"/>
              <w:rPr>
                <w:rFonts w:asciiTheme="minorHAnsi" w:hAnsiTheme="minorHAnsi" w:cs="Calibri"/>
                <w:b/>
                <w:bCs/>
                <w:color w:val="000000"/>
                <w:sz w:val="22"/>
                <w:szCs w:val="22"/>
              </w:rPr>
            </w:pPr>
            <w:r w:rsidRPr="003F5CCC">
              <w:rPr>
                <w:rFonts w:asciiTheme="minorHAnsi" w:hAnsiTheme="minorHAnsi" w:cstheme="minorHAnsi"/>
                <w:b/>
                <w:i/>
                <w:color w:val="000000"/>
                <w:sz w:val="22"/>
                <w:szCs w:val="22"/>
              </w:rPr>
              <w:t>Revenue Gap for FY 2008-09 to FY 2011-12</w:t>
            </w:r>
          </w:p>
        </w:tc>
        <w:tc>
          <w:tcPr>
            <w:tcW w:w="106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theme="minorHAnsi"/>
                <w:b/>
                <w:bCs/>
                <w:i/>
                <w:color w:val="000000"/>
                <w:sz w:val="22"/>
                <w:szCs w:val="22"/>
              </w:rPr>
              <w:t>1496.49</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theme="minorHAnsi"/>
                <w:b/>
                <w:bCs/>
                <w:i/>
                <w:color w:val="000000"/>
                <w:sz w:val="22"/>
                <w:szCs w:val="22"/>
              </w:rPr>
              <w:t>3704.02</w:t>
            </w:r>
          </w:p>
        </w:tc>
        <w:tc>
          <w:tcPr>
            <w:tcW w:w="1001"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theme="minorHAnsi"/>
                <w:b/>
                <w:bCs/>
                <w:i/>
                <w:color w:val="000000"/>
                <w:sz w:val="22"/>
                <w:szCs w:val="22"/>
              </w:rPr>
              <w:t>3862.86</w:t>
            </w:r>
          </w:p>
        </w:tc>
        <w:tc>
          <w:tcPr>
            <w:tcW w:w="11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theme="minorHAnsi"/>
                <w:b/>
                <w:bCs/>
                <w:i/>
                <w:color w:val="000000"/>
                <w:sz w:val="22"/>
                <w:szCs w:val="22"/>
              </w:rPr>
              <w:t>4137.06</w:t>
            </w:r>
          </w:p>
        </w:tc>
        <w:tc>
          <w:tcPr>
            <w:tcW w:w="1415"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theme="minorHAnsi"/>
                <w:b/>
                <w:bCs/>
                <w:i/>
                <w:color w:val="000000"/>
                <w:sz w:val="22"/>
                <w:szCs w:val="22"/>
              </w:rPr>
              <w:t>13200.44</w:t>
            </w:r>
          </w:p>
        </w:tc>
      </w:tr>
      <w:tr w:rsidR="009B19CF" w:rsidRPr="00F33FEA" w:rsidTr="009B19CF">
        <w:trPr>
          <w:trHeight w:val="255"/>
        </w:trPr>
        <w:tc>
          <w:tcPr>
            <w:tcW w:w="3744"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b/>
                <w:bCs/>
                <w:color w:val="000000"/>
                <w:sz w:val="22"/>
                <w:szCs w:val="22"/>
              </w:rPr>
            </w:pPr>
            <w:r w:rsidRPr="003F5CCC">
              <w:rPr>
                <w:rFonts w:asciiTheme="minorHAnsi" w:hAnsiTheme="minorHAnsi" w:cs="Calibri"/>
                <w:color w:val="000000"/>
                <w:sz w:val="22"/>
                <w:szCs w:val="22"/>
              </w:rPr>
              <w:t>Efficiency Gain for FY 2011-12</w:t>
            </w:r>
          </w:p>
        </w:tc>
        <w:tc>
          <w:tcPr>
            <w:tcW w:w="106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color w:val="000000"/>
                <w:sz w:val="22"/>
                <w:szCs w:val="22"/>
              </w:rPr>
              <w:t>-</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color w:val="000000"/>
                <w:sz w:val="22"/>
                <w:szCs w:val="22"/>
              </w:rPr>
              <w:t>-</w:t>
            </w:r>
          </w:p>
        </w:tc>
        <w:tc>
          <w:tcPr>
            <w:tcW w:w="1001"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color w:val="000000"/>
                <w:sz w:val="22"/>
                <w:szCs w:val="22"/>
              </w:rPr>
              <w:t>-</w:t>
            </w:r>
          </w:p>
        </w:tc>
        <w:tc>
          <w:tcPr>
            <w:tcW w:w="11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color w:val="000000"/>
                <w:sz w:val="22"/>
                <w:szCs w:val="22"/>
              </w:rPr>
              <w:t>71.02</w:t>
            </w:r>
          </w:p>
        </w:tc>
        <w:tc>
          <w:tcPr>
            <w:tcW w:w="1415"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color w:val="000000"/>
                <w:sz w:val="22"/>
                <w:szCs w:val="22"/>
              </w:rPr>
              <w:t>71.02</w:t>
            </w:r>
          </w:p>
        </w:tc>
      </w:tr>
      <w:tr w:rsidR="009B19CF" w:rsidRPr="00F33FEA" w:rsidTr="009B19CF">
        <w:trPr>
          <w:trHeight w:val="255"/>
        </w:trPr>
        <w:tc>
          <w:tcPr>
            <w:tcW w:w="3744" w:type="dxa"/>
            <w:tcBorders>
              <w:top w:val="nil"/>
              <w:left w:val="dotted" w:sz="4" w:space="0" w:color="auto"/>
              <w:bottom w:val="dotted" w:sz="4" w:space="0" w:color="auto"/>
              <w:right w:val="dotted" w:sz="4" w:space="0" w:color="auto"/>
            </w:tcBorders>
            <w:shd w:val="clear" w:color="auto" w:fill="auto"/>
            <w:vAlign w:val="center"/>
            <w:hideMark/>
          </w:tcPr>
          <w:p w:rsidR="009B19CF" w:rsidRDefault="009B19CF" w:rsidP="00D920F1">
            <w:pPr>
              <w:spacing w:before="0" w:line="240" w:lineRule="auto"/>
              <w:rPr>
                <w:rFonts w:asciiTheme="minorHAnsi" w:hAnsiTheme="minorHAnsi" w:cs="Calibri"/>
                <w:b/>
                <w:bCs/>
                <w:color w:val="000000"/>
                <w:sz w:val="22"/>
                <w:szCs w:val="22"/>
              </w:rPr>
            </w:pPr>
            <w:r w:rsidRPr="003F5CCC">
              <w:rPr>
                <w:rFonts w:asciiTheme="minorHAnsi" w:hAnsiTheme="minorHAnsi" w:cs="Calibri"/>
                <w:b/>
                <w:bCs/>
                <w:color w:val="000000"/>
                <w:sz w:val="22"/>
                <w:szCs w:val="22"/>
              </w:rPr>
              <w:t>Revised Revenue Gap for FY 2008-09 to FY 2011-12</w:t>
            </w:r>
          </w:p>
        </w:tc>
        <w:tc>
          <w:tcPr>
            <w:tcW w:w="106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b/>
                <w:bCs/>
                <w:color w:val="000000"/>
                <w:sz w:val="22"/>
                <w:szCs w:val="22"/>
              </w:rPr>
              <w:t>1,496.49</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b/>
                <w:bCs/>
                <w:color w:val="000000"/>
                <w:sz w:val="22"/>
                <w:szCs w:val="22"/>
              </w:rPr>
              <w:t>3,704.02</w:t>
            </w:r>
          </w:p>
        </w:tc>
        <w:tc>
          <w:tcPr>
            <w:tcW w:w="1001"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b/>
                <w:bCs/>
                <w:color w:val="000000"/>
                <w:sz w:val="22"/>
                <w:szCs w:val="22"/>
              </w:rPr>
              <w:t>3,862.86</w:t>
            </w:r>
          </w:p>
        </w:tc>
        <w:tc>
          <w:tcPr>
            <w:tcW w:w="11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b/>
                <w:bCs/>
                <w:color w:val="000000"/>
                <w:sz w:val="22"/>
                <w:szCs w:val="22"/>
              </w:rPr>
              <w:t>4,208.07</w:t>
            </w:r>
          </w:p>
        </w:tc>
        <w:tc>
          <w:tcPr>
            <w:tcW w:w="1415"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b/>
                <w:bCs/>
                <w:color w:val="000000"/>
                <w:sz w:val="22"/>
                <w:szCs w:val="22"/>
              </w:rPr>
              <w:t>13,271.45</w:t>
            </w:r>
          </w:p>
        </w:tc>
      </w:tr>
      <w:tr w:rsidR="009B19CF" w:rsidRPr="00F33FEA" w:rsidTr="009B19CF">
        <w:trPr>
          <w:trHeight w:val="255"/>
        </w:trPr>
        <w:tc>
          <w:tcPr>
            <w:tcW w:w="3744"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color w:val="000000"/>
                <w:sz w:val="22"/>
                <w:szCs w:val="22"/>
              </w:rPr>
            </w:pPr>
            <w:r w:rsidRPr="003F5CCC">
              <w:rPr>
                <w:rFonts w:asciiTheme="minorHAnsi" w:hAnsiTheme="minorHAnsi" w:cs="Calibri"/>
                <w:color w:val="000000"/>
                <w:sz w:val="22"/>
                <w:szCs w:val="22"/>
              </w:rPr>
              <w:t>Carrying Cost on the Regulatory Asset @ 10%</w:t>
            </w:r>
          </w:p>
        </w:tc>
        <w:tc>
          <w:tcPr>
            <w:tcW w:w="106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74.2</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183.7</w:t>
            </w:r>
          </w:p>
        </w:tc>
        <w:tc>
          <w:tcPr>
            <w:tcW w:w="1001"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191.6</w:t>
            </w:r>
          </w:p>
        </w:tc>
        <w:tc>
          <w:tcPr>
            <w:tcW w:w="11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208.7</w:t>
            </w:r>
          </w:p>
        </w:tc>
        <w:tc>
          <w:tcPr>
            <w:tcW w:w="1415"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658.12</w:t>
            </w:r>
          </w:p>
        </w:tc>
      </w:tr>
      <w:tr w:rsidR="009B19CF" w:rsidRPr="00F33FEA" w:rsidTr="009B19CF">
        <w:trPr>
          <w:trHeight w:val="510"/>
        </w:trPr>
        <w:tc>
          <w:tcPr>
            <w:tcW w:w="3744"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color w:val="000000"/>
                <w:sz w:val="22"/>
                <w:szCs w:val="22"/>
              </w:rPr>
            </w:pPr>
            <w:r w:rsidRPr="003F5CCC">
              <w:rPr>
                <w:rFonts w:asciiTheme="minorHAnsi" w:hAnsiTheme="minorHAnsi" w:cs="Calibri"/>
                <w:color w:val="000000"/>
                <w:sz w:val="22"/>
                <w:szCs w:val="22"/>
              </w:rPr>
              <w:t>Revenue Gap / (Surplus) for FY 2014-15 (at existing Tariff)</w:t>
            </w:r>
          </w:p>
        </w:tc>
        <w:tc>
          <w:tcPr>
            <w:tcW w:w="106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-767.6</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325.9</w:t>
            </w:r>
          </w:p>
        </w:tc>
        <w:tc>
          <w:tcPr>
            <w:tcW w:w="1001"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335.4</w:t>
            </w:r>
          </w:p>
        </w:tc>
        <w:tc>
          <w:tcPr>
            <w:tcW w:w="11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188.9</w:t>
            </w:r>
          </w:p>
        </w:tc>
        <w:tc>
          <w:tcPr>
            <w:tcW w:w="1415"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82.57</w:t>
            </w:r>
          </w:p>
        </w:tc>
      </w:tr>
      <w:tr w:rsidR="009B19CF" w:rsidRPr="00F33FEA" w:rsidTr="009B19CF">
        <w:trPr>
          <w:trHeight w:val="255"/>
        </w:trPr>
        <w:tc>
          <w:tcPr>
            <w:tcW w:w="3744"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color w:val="000000"/>
                <w:sz w:val="22"/>
                <w:szCs w:val="22"/>
              </w:rPr>
            </w:pPr>
            <w:r w:rsidRPr="003F5CCC">
              <w:rPr>
                <w:rFonts w:asciiTheme="minorHAnsi" w:hAnsiTheme="minorHAnsi" w:cs="Calibri"/>
                <w:color w:val="000000"/>
                <w:sz w:val="22"/>
                <w:szCs w:val="22"/>
              </w:rPr>
              <w:t>Increase in Revenue due to Tariff revision</w:t>
            </w:r>
          </w:p>
        </w:tc>
        <w:tc>
          <w:tcPr>
            <w:tcW w:w="106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445.7</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252.2</w:t>
            </w:r>
          </w:p>
        </w:tc>
        <w:tc>
          <w:tcPr>
            <w:tcW w:w="1001"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257.7</w:t>
            </w:r>
          </w:p>
        </w:tc>
        <w:tc>
          <w:tcPr>
            <w:tcW w:w="11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387.0</w:t>
            </w:r>
          </w:p>
        </w:tc>
        <w:tc>
          <w:tcPr>
            <w:tcW w:w="1415"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1342.63</w:t>
            </w:r>
          </w:p>
        </w:tc>
      </w:tr>
      <w:tr w:rsidR="009B19CF" w:rsidRPr="00F33FEA" w:rsidTr="009B19CF">
        <w:trPr>
          <w:trHeight w:val="765"/>
        </w:trPr>
        <w:tc>
          <w:tcPr>
            <w:tcW w:w="3744"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color w:val="000000"/>
                <w:sz w:val="22"/>
                <w:szCs w:val="22"/>
              </w:rPr>
            </w:pPr>
            <w:r w:rsidRPr="003F5CCC">
              <w:rPr>
                <w:rFonts w:asciiTheme="minorHAnsi" w:hAnsiTheme="minorHAnsi" w:cs="Calibri"/>
                <w:color w:val="000000"/>
                <w:sz w:val="22"/>
                <w:szCs w:val="22"/>
              </w:rPr>
              <w:lastRenderedPageBreak/>
              <w:t>Net Revenue Gap for FY 2014-15 after tariff increase (Including gap for FY 2008-09 to FY 2011-12)</w:t>
            </w:r>
          </w:p>
        </w:tc>
        <w:tc>
          <w:tcPr>
            <w:tcW w:w="106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357.4</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3961.4</w:t>
            </w:r>
          </w:p>
        </w:tc>
        <w:tc>
          <w:tcPr>
            <w:tcW w:w="1001"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4132.1</w:t>
            </w:r>
          </w:p>
        </w:tc>
        <w:tc>
          <w:tcPr>
            <w:tcW w:w="11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4218.6</w:t>
            </w:r>
          </w:p>
        </w:tc>
        <w:tc>
          <w:tcPr>
            <w:tcW w:w="1415"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12669.50</w:t>
            </w:r>
          </w:p>
        </w:tc>
      </w:tr>
      <w:tr w:rsidR="009B19CF" w:rsidRPr="00F33FEA" w:rsidTr="009B19CF">
        <w:trPr>
          <w:trHeight w:val="255"/>
        </w:trPr>
        <w:tc>
          <w:tcPr>
            <w:tcW w:w="3744"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color w:val="000000"/>
                <w:sz w:val="22"/>
                <w:szCs w:val="22"/>
              </w:rPr>
            </w:pPr>
            <w:r w:rsidRPr="003F5CCC">
              <w:rPr>
                <w:rFonts w:asciiTheme="minorHAnsi" w:hAnsiTheme="minorHAnsi" w:cs="Calibri"/>
                <w:color w:val="000000"/>
                <w:sz w:val="22"/>
                <w:szCs w:val="22"/>
              </w:rPr>
              <w:t>Recovery through Regulatory Surcharge</w:t>
            </w:r>
          </w:p>
        </w:tc>
        <w:tc>
          <w:tcPr>
            <w:tcW w:w="106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133.3</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74.9</w:t>
            </w:r>
          </w:p>
        </w:tc>
        <w:tc>
          <w:tcPr>
            <w:tcW w:w="1001"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79.9</w:t>
            </w:r>
          </w:p>
        </w:tc>
        <w:tc>
          <w:tcPr>
            <w:tcW w:w="11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83.5</w:t>
            </w:r>
          </w:p>
        </w:tc>
        <w:tc>
          <w:tcPr>
            <w:tcW w:w="1415"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color w:val="000000"/>
                <w:sz w:val="22"/>
                <w:szCs w:val="22"/>
              </w:rPr>
            </w:pPr>
            <w:r w:rsidRPr="003F5CCC">
              <w:rPr>
                <w:rFonts w:asciiTheme="minorHAnsi" w:hAnsiTheme="minorHAnsi" w:cs="Calibri"/>
                <w:color w:val="000000"/>
                <w:sz w:val="22"/>
                <w:szCs w:val="22"/>
              </w:rPr>
              <w:t>371.65</w:t>
            </w:r>
          </w:p>
        </w:tc>
      </w:tr>
      <w:tr w:rsidR="009B19CF" w:rsidRPr="00F33FEA" w:rsidTr="009B19CF">
        <w:trPr>
          <w:trHeight w:val="765"/>
        </w:trPr>
        <w:tc>
          <w:tcPr>
            <w:tcW w:w="3744" w:type="dxa"/>
            <w:tcBorders>
              <w:top w:val="nil"/>
              <w:left w:val="dotted" w:sz="4" w:space="0" w:color="auto"/>
              <w:bottom w:val="dotted" w:sz="4" w:space="0" w:color="auto"/>
              <w:right w:val="dotted" w:sz="4" w:space="0" w:color="auto"/>
            </w:tcBorders>
            <w:shd w:val="clear" w:color="auto" w:fill="auto"/>
            <w:vAlign w:val="center"/>
            <w:hideMark/>
          </w:tcPr>
          <w:p w:rsidR="009B19CF" w:rsidRDefault="009B19CF" w:rsidP="00D920F1">
            <w:pPr>
              <w:spacing w:before="0" w:line="240" w:lineRule="auto"/>
              <w:rPr>
                <w:rFonts w:asciiTheme="minorHAnsi" w:hAnsiTheme="minorHAnsi" w:cs="Calibri"/>
                <w:b/>
                <w:bCs/>
                <w:color w:val="000000"/>
                <w:sz w:val="22"/>
                <w:szCs w:val="22"/>
              </w:rPr>
            </w:pPr>
            <w:r w:rsidRPr="003F5CCC">
              <w:rPr>
                <w:rFonts w:asciiTheme="minorHAnsi" w:hAnsiTheme="minorHAnsi" w:cs="Calibri"/>
                <w:b/>
                <w:bCs/>
                <w:color w:val="000000"/>
                <w:sz w:val="22"/>
                <w:szCs w:val="22"/>
              </w:rPr>
              <w:t>Net Revenue Gap after considering part recovery of Regulatory Asset admitted by the Commission in  Order dated October 1, 2014</w:t>
            </w:r>
          </w:p>
        </w:tc>
        <w:tc>
          <w:tcPr>
            <w:tcW w:w="106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b/>
                <w:bCs/>
                <w:color w:val="000000"/>
                <w:sz w:val="22"/>
                <w:szCs w:val="22"/>
              </w:rPr>
              <w:t>224.0</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b/>
                <w:bCs/>
                <w:color w:val="000000"/>
                <w:sz w:val="22"/>
                <w:szCs w:val="22"/>
              </w:rPr>
              <w:t>3886.5</w:t>
            </w:r>
          </w:p>
        </w:tc>
        <w:tc>
          <w:tcPr>
            <w:tcW w:w="1001"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b/>
                <w:bCs/>
                <w:color w:val="000000"/>
                <w:sz w:val="22"/>
                <w:szCs w:val="22"/>
              </w:rPr>
              <w:t>4052.2</w:t>
            </w:r>
          </w:p>
        </w:tc>
        <w:tc>
          <w:tcPr>
            <w:tcW w:w="11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b/>
                <w:bCs/>
                <w:color w:val="000000"/>
                <w:sz w:val="22"/>
                <w:szCs w:val="22"/>
              </w:rPr>
              <w:t>4135.2</w:t>
            </w:r>
          </w:p>
        </w:tc>
        <w:tc>
          <w:tcPr>
            <w:tcW w:w="1415"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b/>
                <w:bCs/>
                <w:color w:val="000000"/>
                <w:sz w:val="22"/>
                <w:szCs w:val="22"/>
              </w:rPr>
            </w:pPr>
            <w:r w:rsidRPr="003F5CCC">
              <w:rPr>
                <w:rFonts w:asciiTheme="minorHAnsi" w:hAnsiTheme="minorHAnsi" w:cs="Calibri"/>
                <w:b/>
                <w:bCs/>
                <w:color w:val="000000"/>
                <w:sz w:val="22"/>
                <w:szCs w:val="22"/>
              </w:rPr>
              <w:t>12297.85</w:t>
            </w:r>
          </w:p>
        </w:tc>
      </w:tr>
    </w:tbl>
    <w:p w:rsidR="00D5771F" w:rsidRDefault="009B19CF">
      <w:pPr>
        <w:pStyle w:val="Heading3"/>
        <w:tabs>
          <w:tab w:val="clear" w:pos="720"/>
        </w:tabs>
        <w:spacing w:after="120"/>
        <w:ind w:left="993" w:hanging="993"/>
        <w:rPr>
          <w:rFonts w:asciiTheme="minorHAnsi" w:hAnsiTheme="minorHAnsi" w:cstheme="minorHAnsi"/>
        </w:rPr>
      </w:pPr>
      <w:r>
        <w:t>Further the Commission in its Tariff Order for FY 2015-16 dated June 18, 2015 determined the revenue gap as follows:</w:t>
      </w:r>
    </w:p>
    <w:p w:rsidR="009B19CF" w:rsidRPr="00F67978" w:rsidRDefault="006C63AF" w:rsidP="009B19CF">
      <w:pPr>
        <w:pStyle w:val="Heading3"/>
        <w:numPr>
          <w:ilvl w:val="0"/>
          <w:numId w:val="0"/>
        </w:numPr>
        <w:spacing w:before="0"/>
        <w:ind w:left="936"/>
        <w:jc w:val="center"/>
        <w:rPr>
          <w:rFonts w:asciiTheme="minorHAnsi" w:hAnsiTheme="minorHAnsi" w:cstheme="minorHAnsi"/>
          <w:b/>
          <w:sz w:val="22"/>
          <w:szCs w:val="24"/>
        </w:rPr>
      </w:pPr>
      <w:bookmarkStart w:id="1843" w:name="_Toc422309981"/>
      <w:r w:rsidRPr="006C63AF">
        <w:rPr>
          <w:rFonts w:asciiTheme="minorHAnsi" w:hAnsiTheme="minorHAnsi" w:cstheme="minorHAnsi"/>
          <w:b/>
          <w:sz w:val="22"/>
          <w:szCs w:val="24"/>
        </w:rPr>
        <w:t>Table 8-6: REGULATORY SURCHARGE FOR FY 2015-16</w:t>
      </w:r>
      <w:bookmarkEnd w:id="1843"/>
    </w:p>
    <w:tbl>
      <w:tblPr>
        <w:tblW w:w="9560" w:type="dxa"/>
        <w:jc w:val="center"/>
        <w:tblInd w:w="103" w:type="dxa"/>
        <w:tblLayout w:type="fixed"/>
        <w:tblLook w:val="04A0"/>
      </w:tblPr>
      <w:tblGrid>
        <w:gridCol w:w="3515"/>
        <w:gridCol w:w="1372"/>
        <w:gridCol w:w="1240"/>
        <w:gridCol w:w="1068"/>
        <w:gridCol w:w="1165"/>
        <w:gridCol w:w="1200"/>
      </w:tblGrid>
      <w:tr w:rsidR="009B19CF" w:rsidRPr="000B751E" w:rsidTr="00A8391B">
        <w:trPr>
          <w:trHeight w:val="765"/>
          <w:tblHeader/>
          <w:jc w:val="center"/>
        </w:trPr>
        <w:tc>
          <w:tcPr>
            <w:tcW w:w="3515" w:type="dxa"/>
            <w:tcBorders>
              <w:top w:val="dotted" w:sz="4" w:space="0" w:color="auto"/>
              <w:left w:val="dotted" w:sz="4" w:space="0" w:color="auto"/>
              <w:bottom w:val="dotted" w:sz="4" w:space="0" w:color="auto"/>
              <w:right w:val="dotted" w:sz="4" w:space="0" w:color="auto"/>
            </w:tcBorders>
            <w:shd w:val="clear" w:color="auto" w:fill="DBE5F1" w:themeFill="accent1" w:themeFillTint="33"/>
            <w:hideMark/>
          </w:tcPr>
          <w:p w:rsidR="007B00DC" w:rsidRDefault="009B19CF">
            <w:pPr>
              <w:spacing w:before="0" w:line="240" w:lineRule="auto"/>
              <w:jc w:val="center"/>
              <w:rPr>
                <w:rFonts w:asciiTheme="minorHAnsi" w:hAnsiTheme="minorHAnsi" w:cstheme="minorHAnsi"/>
                <w:b/>
                <w:bCs/>
                <w:i/>
                <w:color w:val="000000"/>
                <w:sz w:val="22"/>
                <w:szCs w:val="22"/>
              </w:rPr>
            </w:pPr>
            <w:r w:rsidRPr="003F5CCC">
              <w:rPr>
                <w:rFonts w:asciiTheme="minorHAnsi" w:hAnsiTheme="minorHAnsi" w:cs="Calibri"/>
                <w:b/>
                <w:bCs/>
                <w:i/>
                <w:color w:val="000000"/>
                <w:sz w:val="22"/>
                <w:szCs w:val="22"/>
              </w:rPr>
              <w:t>Particulars</w:t>
            </w:r>
          </w:p>
        </w:tc>
        <w:tc>
          <w:tcPr>
            <w:tcW w:w="1372" w:type="dxa"/>
            <w:tcBorders>
              <w:top w:val="dotted" w:sz="4" w:space="0" w:color="auto"/>
              <w:left w:val="nil"/>
              <w:bottom w:val="dotted" w:sz="4" w:space="0" w:color="auto"/>
              <w:right w:val="dotted" w:sz="4" w:space="0" w:color="auto"/>
            </w:tcBorders>
            <w:shd w:val="clear" w:color="auto" w:fill="DBE5F1" w:themeFill="accent1" w:themeFillTint="33"/>
            <w:noWrap/>
            <w:hideMark/>
          </w:tcPr>
          <w:p w:rsidR="007B00DC" w:rsidRDefault="009B19CF">
            <w:pPr>
              <w:spacing w:before="0" w:line="240" w:lineRule="auto"/>
              <w:jc w:val="center"/>
              <w:rPr>
                <w:rFonts w:asciiTheme="minorHAnsi" w:hAnsiTheme="minorHAnsi" w:cstheme="minorHAnsi"/>
                <w:b/>
                <w:bCs/>
                <w:i/>
                <w:color w:val="000000"/>
                <w:sz w:val="22"/>
                <w:szCs w:val="22"/>
              </w:rPr>
            </w:pPr>
            <w:r w:rsidRPr="003F5CCC">
              <w:rPr>
                <w:rFonts w:asciiTheme="minorHAnsi" w:hAnsiTheme="minorHAnsi" w:cs="Calibri"/>
                <w:b/>
                <w:bCs/>
                <w:i/>
                <w:color w:val="000000"/>
                <w:sz w:val="22"/>
                <w:szCs w:val="22"/>
              </w:rPr>
              <w:t>PVVNL</w:t>
            </w:r>
          </w:p>
        </w:tc>
        <w:tc>
          <w:tcPr>
            <w:tcW w:w="1240" w:type="dxa"/>
            <w:tcBorders>
              <w:top w:val="dotted" w:sz="4" w:space="0" w:color="auto"/>
              <w:left w:val="nil"/>
              <w:bottom w:val="dotted" w:sz="4" w:space="0" w:color="auto"/>
              <w:right w:val="dotted" w:sz="4" w:space="0" w:color="auto"/>
            </w:tcBorders>
            <w:shd w:val="clear" w:color="auto" w:fill="DBE5F1" w:themeFill="accent1" w:themeFillTint="33"/>
            <w:noWrap/>
            <w:hideMark/>
          </w:tcPr>
          <w:p w:rsidR="007B00DC" w:rsidRDefault="009B19CF">
            <w:pPr>
              <w:spacing w:before="0" w:line="240" w:lineRule="auto"/>
              <w:jc w:val="center"/>
              <w:rPr>
                <w:rFonts w:asciiTheme="minorHAnsi" w:hAnsiTheme="minorHAnsi" w:cstheme="minorHAnsi"/>
                <w:b/>
                <w:bCs/>
                <w:i/>
                <w:color w:val="000000"/>
                <w:sz w:val="22"/>
                <w:szCs w:val="22"/>
              </w:rPr>
            </w:pPr>
            <w:r w:rsidRPr="003F5CCC">
              <w:rPr>
                <w:rFonts w:asciiTheme="minorHAnsi" w:hAnsiTheme="minorHAnsi" w:cs="Calibri"/>
                <w:b/>
                <w:bCs/>
                <w:i/>
                <w:color w:val="000000"/>
                <w:sz w:val="22"/>
                <w:szCs w:val="22"/>
              </w:rPr>
              <w:t>MVVNL</w:t>
            </w:r>
          </w:p>
        </w:tc>
        <w:tc>
          <w:tcPr>
            <w:tcW w:w="1068" w:type="dxa"/>
            <w:tcBorders>
              <w:top w:val="dotted" w:sz="4" w:space="0" w:color="auto"/>
              <w:left w:val="nil"/>
              <w:bottom w:val="dotted" w:sz="4" w:space="0" w:color="auto"/>
              <w:right w:val="dotted" w:sz="4" w:space="0" w:color="auto"/>
            </w:tcBorders>
            <w:shd w:val="clear" w:color="auto" w:fill="DBE5F1" w:themeFill="accent1" w:themeFillTint="33"/>
            <w:noWrap/>
            <w:hideMark/>
          </w:tcPr>
          <w:p w:rsidR="007B00DC" w:rsidRDefault="009B19CF">
            <w:pPr>
              <w:spacing w:before="0" w:line="240" w:lineRule="auto"/>
              <w:jc w:val="center"/>
              <w:rPr>
                <w:rFonts w:asciiTheme="minorHAnsi" w:hAnsiTheme="minorHAnsi" w:cstheme="minorHAnsi"/>
                <w:b/>
                <w:bCs/>
                <w:i/>
                <w:color w:val="000000"/>
                <w:sz w:val="22"/>
                <w:szCs w:val="22"/>
              </w:rPr>
            </w:pPr>
            <w:r w:rsidRPr="003F5CCC">
              <w:rPr>
                <w:rFonts w:asciiTheme="minorHAnsi" w:hAnsiTheme="minorHAnsi" w:cs="Calibri"/>
                <w:b/>
                <w:bCs/>
                <w:i/>
                <w:color w:val="000000"/>
                <w:sz w:val="22"/>
                <w:szCs w:val="22"/>
              </w:rPr>
              <w:t>DVVNL</w:t>
            </w:r>
          </w:p>
        </w:tc>
        <w:tc>
          <w:tcPr>
            <w:tcW w:w="1165" w:type="dxa"/>
            <w:tcBorders>
              <w:top w:val="dotted" w:sz="4" w:space="0" w:color="auto"/>
              <w:left w:val="nil"/>
              <w:bottom w:val="dotted" w:sz="4" w:space="0" w:color="auto"/>
              <w:right w:val="dotted" w:sz="4" w:space="0" w:color="auto"/>
            </w:tcBorders>
            <w:shd w:val="clear" w:color="auto" w:fill="DBE5F1" w:themeFill="accent1" w:themeFillTint="33"/>
            <w:noWrap/>
            <w:hideMark/>
          </w:tcPr>
          <w:p w:rsidR="007B00DC" w:rsidRDefault="009B19CF">
            <w:pPr>
              <w:spacing w:before="0" w:line="240" w:lineRule="auto"/>
              <w:jc w:val="center"/>
              <w:rPr>
                <w:rFonts w:asciiTheme="minorHAnsi" w:hAnsiTheme="minorHAnsi" w:cstheme="minorHAnsi"/>
                <w:b/>
                <w:bCs/>
                <w:i/>
                <w:color w:val="000000"/>
                <w:sz w:val="22"/>
                <w:szCs w:val="22"/>
              </w:rPr>
            </w:pPr>
            <w:r w:rsidRPr="003F5CCC">
              <w:rPr>
                <w:rFonts w:asciiTheme="minorHAnsi" w:hAnsiTheme="minorHAnsi" w:cs="Calibri"/>
                <w:b/>
                <w:bCs/>
                <w:i/>
                <w:color w:val="000000"/>
                <w:sz w:val="22"/>
                <w:szCs w:val="22"/>
              </w:rPr>
              <w:t>PuVVNL</w:t>
            </w:r>
          </w:p>
        </w:tc>
        <w:tc>
          <w:tcPr>
            <w:tcW w:w="1200" w:type="dxa"/>
            <w:tcBorders>
              <w:top w:val="dotted" w:sz="4" w:space="0" w:color="auto"/>
              <w:left w:val="nil"/>
              <w:bottom w:val="dotted" w:sz="4" w:space="0" w:color="auto"/>
              <w:right w:val="dotted" w:sz="4" w:space="0" w:color="auto"/>
            </w:tcBorders>
            <w:shd w:val="clear" w:color="auto" w:fill="DBE5F1" w:themeFill="accent1" w:themeFillTint="33"/>
            <w:hideMark/>
          </w:tcPr>
          <w:p w:rsidR="007B00DC" w:rsidRDefault="009B19CF">
            <w:pPr>
              <w:spacing w:before="0" w:line="240" w:lineRule="auto"/>
              <w:jc w:val="center"/>
              <w:rPr>
                <w:rFonts w:asciiTheme="minorHAnsi" w:hAnsiTheme="minorHAnsi" w:cstheme="minorHAnsi"/>
                <w:b/>
                <w:bCs/>
                <w:i/>
                <w:color w:val="000000"/>
                <w:sz w:val="22"/>
                <w:szCs w:val="22"/>
              </w:rPr>
            </w:pPr>
            <w:r w:rsidRPr="003F5CCC">
              <w:rPr>
                <w:rFonts w:asciiTheme="minorHAnsi" w:hAnsiTheme="minorHAnsi" w:cs="Calibri"/>
                <w:b/>
                <w:bCs/>
                <w:i/>
                <w:color w:val="000000"/>
                <w:sz w:val="22"/>
                <w:szCs w:val="22"/>
              </w:rPr>
              <w:t>Consolidated for 4 Discoms</w:t>
            </w:r>
          </w:p>
        </w:tc>
      </w:tr>
      <w:tr w:rsidR="009B19CF" w:rsidRPr="000B751E" w:rsidTr="00D920F1">
        <w:trPr>
          <w:trHeight w:val="765"/>
          <w:jc w:val="center"/>
        </w:trPr>
        <w:tc>
          <w:tcPr>
            <w:tcW w:w="351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9B19CF" w:rsidRDefault="009B19CF" w:rsidP="00D920F1">
            <w:pPr>
              <w:spacing w:before="0" w:line="240" w:lineRule="auto"/>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Net Revenue Gap after considering part recovery of Regulatory Asset admitted by the Commission in  Order dated October 1, 2014</w:t>
            </w:r>
          </w:p>
        </w:tc>
        <w:tc>
          <w:tcPr>
            <w:tcW w:w="1372" w:type="dxa"/>
            <w:tcBorders>
              <w:top w:val="dotted" w:sz="4" w:space="0" w:color="auto"/>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224.0</w:t>
            </w:r>
          </w:p>
        </w:tc>
        <w:tc>
          <w:tcPr>
            <w:tcW w:w="1240" w:type="dxa"/>
            <w:tcBorders>
              <w:top w:val="dotted" w:sz="4" w:space="0" w:color="auto"/>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3886.5</w:t>
            </w:r>
          </w:p>
        </w:tc>
        <w:tc>
          <w:tcPr>
            <w:tcW w:w="1068" w:type="dxa"/>
            <w:tcBorders>
              <w:top w:val="dotted" w:sz="4" w:space="0" w:color="auto"/>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4052.2</w:t>
            </w:r>
          </w:p>
        </w:tc>
        <w:tc>
          <w:tcPr>
            <w:tcW w:w="1165" w:type="dxa"/>
            <w:tcBorders>
              <w:top w:val="dotted" w:sz="4" w:space="0" w:color="auto"/>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4135.2</w:t>
            </w:r>
          </w:p>
        </w:tc>
        <w:tc>
          <w:tcPr>
            <w:tcW w:w="1200" w:type="dxa"/>
            <w:tcBorders>
              <w:top w:val="dotted" w:sz="4" w:space="0" w:color="auto"/>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12297.85</w:t>
            </w:r>
          </w:p>
        </w:tc>
      </w:tr>
      <w:tr w:rsidR="009B19CF" w:rsidRPr="000B751E" w:rsidTr="00D920F1">
        <w:trPr>
          <w:trHeight w:val="510"/>
          <w:jc w:val="center"/>
        </w:trPr>
        <w:tc>
          <w:tcPr>
            <w:tcW w:w="3515" w:type="dxa"/>
            <w:tcBorders>
              <w:top w:val="nil"/>
              <w:left w:val="dotted" w:sz="4" w:space="0" w:color="auto"/>
              <w:bottom w:val="dotted" w:sz="4" w:space="0" w:color="auto"/>
              <w:right w:val="dotted" w:sz="4" w:space="0" w:color="auto"/>
            </w:tcBorders>
            <w:shd w:val="clear" w:color="auto" w:fill="auto"/>
            <w:vAlign w:val="center"/>
            <w:hideMark/>
          </w:tcPr>
          <w:p w:rsidR="009B19CF" w:rsidRDefault="009B19CF" w:rsidP="00D920F1">
            <w:pPr>
              <w:spacing w:before="0" w:line="240" w:lineRule="auto"/>
              <w:rPr>
                <w:rFonts w:asciiTheme="minorHAnsi" w:hAnsiTheme="minorHAnsi" w:cs="Calibri"/>
                <w:bCs/>
                <w:i/>
                <w:color w:val="000000"/>
                <w:sz w:val="22"/>
                <w:szCs w:val="22"/>
              </w:rPr>
            </w:pPr>
            <w:r w:rsidRPr="003F5CCC">
              <w:rPr>
                <w:rFonts w:asciiTheme="minorHAnsi" w:hAnsiTheme="minorHAnsi" w:cs="Calibri"/>
                <w:bCs/>
                <w:i/>
                <w:color w:val="000000"/>
                <w:sz w:val="22"/>
                <w:szCs w:val="22"/>
              </w:rPr>
              <w:t>Carrying Cost on the Regulatory Asset as admitted in Order dated October 1, 2014 @ 10%</w:t>
            </w:r>
          </w:p>
        </w:tc>
        <w:tc>
          <w:tcPr>
            <w:tcW w:w="1372"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22.4</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388.6</w:t>
            </w:r>
          </w:p>
        </w:tc>
        <w:tc>
          <w:tcPr>
            <w:tcW w:w="1068"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405.2</w:t>
            </w:r>
          </w:p>
        </w:tc>
        <w:tc>
          <w:tcPr>
            <w:tcW w:w="1165"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413.5</w:t>
            </w:r>
          </w:p>
        </w:tc>
        <w:tc>
          <w:tcPr>
            <w:tcW w:w="1200"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1229.79</w:t>
            </w:r>
          </w:p>
        </w:tc>
      </w:tr>
      <w:tr w:rsidR="009B19CF" w:rsidRPr="000B751E" w:rsidTr="00D920F1">
        <w:trPr>
          <w:trHeight w:val="255"/>
          <w:jc w:val="center"/>
        </w:trPr>
        <w:tc>
          <w:tcPr>
            <w:tcW w:w="3515" w:type="dxa"/>
            <w:tcBorders>
              <w:top w:val="nil"/>
              <w:left w:val="dotted" w:sz="4" w:space="0" w:color="auto"/>
              <w:bottom w:val="dotted" w:sz="4" w:space="0" w:color="auto"/>
              <w:right w:val="dotted" w:sz="4" w:space="0" w:color="auto"/>
            </w:tcBorders>
            <w:shd w:val="clear" w:color="auto" w:fill="auto"/>
            <w:vAlign w:val="center"/>
            <w:hideMark/>
          </w:tcPr>
          <w:p w:rsidR="009B19CF" w:rsidRDefault="009B19CF" w:rsidP="00D920F1">
            <w:pPr>
              <w:spacing w:before="0" w:line="240" w:lineRule="auto"/>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Total Revenue Gap (Including Carrying Cost)</w:t>
            </w:r>
          </w:p>
        </w:tc>
        <w:tc>
          <w:tcPr>
            <w:tcW w:w="1372"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246.5</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4275.1</w:t>
            </w:r>
          </w:p>
        </w:tc>
        <w:tc>
          <w:tcPr>
            <w:tcW w:w="1068"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4457.4</w:t>
            </w:r>
          </w:p>
        </w:tc>
        <w:tc>
          <w:tcPr>
            <w:tcW w:w="1165"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4548.7</w:t>
            </w:r>
          </w:p>
        </w:tc>
        <w:tc>
          <w:tcPr>
            <w:tcW w:w="1200" w:type="dxa"/>
            <w:tcBorders>
              <w:top w:val="nil"/>
              <w:left w:val="nil"/>
              <w:bottom w:val="dotted" w:sz="4" w:space="0" w:color="auto"/>
              <w:right w:val="dotted" w:sz="4" w:space="0" w:color="auto"/>
            </w:tcBorders>
            <w:shd w:val="clear" w:color="auto" w:fill="auto"/>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13527.64</w:t>
            </w:r>
          </w:p>
        </w:tc>
      </w:tr>
      <w:tr w:rsidR="009B19CF" w:rsidRPr="000B751E" w:rsidTr="00D920F1">
        <w:trPr>
          <w:trHeight w:val="323"/>
          <w:jc w:val="center"/>
        </w:trPr>
        <w:tc>
          <w:tcPr>
            <w:tcW w:w="3515"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Revenue Gap for FY 2012-13</w:t>
            </w:r>
          </w:p>
        </w:tc>
        <w:tc>
          <w:tcPr>
            <w:tcW w:w="1372"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987.55</w:t>
            </w:r>
          </w:p>
        </w:tc>
        <w:tc>
          <w:tcPr>
            <w:tcW w:w="124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1603.54</w:t>
            </w:r>
          </w:p>
        </w:tc>
        <w:tc>
          <w:tcPr>
            <w:tcW w:w="1068"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1539.80</w:t>
            </w:r>
          </w:p>
        </w:tc>
        <w:tc>
          <w:tcPr>
            <w:tcW w:w="1165"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1575.82</w:t>
            </w:r>
          </w:p>
        </w:tc>
        <w:tc>
          <w:tcPr>
            <w:tcW w:w="120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5706.71</w:t>
            </w:r>
          </w:p>
        </w:tc>
      </w:tr>
      <w:tr w:rsidR="009B19CF" w:rsidRPr="000B751E" w:rsidTr="00D920F1">
        <w:trPr>
          <w:trHeight w:val="510"/>
          <w:jc w:val="center"/>
        </w:trPr>
        <w:tc>
          <w:tcPr>
            <w:tcW w:w="3515"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i/>
                <w:color w:val="000000"/>
                <w:sz w:val="22"/>
                <w:szCs w:val="22"/>
              </w:rPr>
            </w:pPr>
            <w:r w:rsidRPr="003F5CCC">
              <w:rPr>
                <w:rFonts w:asciiTheme="minorHAnsi" w:hAnsiTheme="minorHAnsi" w:cs="Calibri"/>
                <w:i/>
                <w:color w:val="000000"/>
                <w:sz w:val="22"/>
                <w:szCs w:val="22"/>
              </w:rPr>
              <w:t>Carrying Cost on the Regulatory Asset for the Revenue Gap of FY 2012-13 @ 10%</w:t>
            </w:r>
          </w:p>
        </w:tc>
        <w:tc>
          <w:tcPr>
            <w:tcW w:w="1372"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78.46</w:t>
            </w:r>
          </w:p>
        </w:tc>
        <w:tc>
          <w:tcPr>
            <w:tcW w:w="124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127.40</w:t>
            </w:r>
          </w:p>
        </w:tc>
        <w:tc>
          <w:tcPr>
            <w:tcW w:w="1068"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122.34</w:t>
            </w:r>
          </w:p>
        </w:tc>
        <w:tc>
          <w:tcPr>
            <w:tcW w:w="1165"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125.20</w:t>
            </w:r>
          </w:p>
        </w:tc>
        <w:tc>
          <w:tcPr>
            <w:tcW w:w="120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453.41</w:t>
            </w:r>
          </w:p>
        </w:tc>
      </w:tr>
      <w:tr w:rsidR="009B19CF" w:rsidRPr="000B751E" w:rsidTr="00D920F1">
        <w:trPr>
          <w:trHeight w:val="510"/>
          <w:jc w:val="center"/>
        </w:trPr>
        <w:tc>
          <w:tcPr>
            <w:tcW w:w="3515"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i/>
                <w:color w:val="000000"/>
                <w:sz w:val="22"/>
                <w:szCs w:val="22"/>
              </w:rPr>
            </w:pPr>
            <w:r w:rsidRPr="003F5CCC">
              <w:rPr>
                <w:rFonts w:asciiTheme="minorHAnsi" w:hAnsiTheme="minorHAnsi" w:cs="Calibri"/>
                <w:i/>
                <w:color w:val="000000"/>
                <w:sz w:val="22"/>
                <w:szCs w:val="22"/>
              </w:rPr>
              <w:t>Revenue Gap for FY 2012-13 after Carrying Cost</w:t>
            </w:r>
          </w:p>
        </w:tc>
        <w:tc>
          <w:tcPr>
            <w:tcW w:w="1372"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1066.01</w:t>
            </w:r>
          </w:p>
        </w:tc>
        <w:tc>
          <w:tcPr>
            <w:tcW w:w="124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1730.95</w:t>
            </w:r>
          </w:p>
        </w:tc>
        <w:tc>
          <w:tcPr>
            <w:tcW w:w="1068"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1662.14</w:t>
            </w:r>
          </w:p>
        </w:tc>
        <w:tc>
          <w:tcPr>
            <w:tcW w:w="1165"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1701.03</w:t>
            </w:r>
          </w:p>
        </w:tc>
        <w:tc>
          <w:tcPr>
            <w:tcW w:w="120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6160.12</w:t>
            </w:r>
          </w:p>
        </w:tc>
      </w:tr>
      <w:tr w:rsidR="009B19CF" w:rsidRPr="000B751E" w:rsidTr="00D920F1">
        <w:trPr>
          <w:trHeight w:val="449"/>
          <w:jc w:val="center"/>
        </w:trPr>
        <w:tc>
          <w:tcPr>
            <w:tcW w:w="3515"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i/>
                <w:color w:val="000000"/>
                <w:sz w:val="22"/>
                <w:szCs w:val="22"/>
              </w:rPr>
            </w:pPr>
            <w:r w:rsidRPr="003F5CCC">
              <w:rPr>
                <w:rFonts w:asciiTheme="minorHAnsi" w:hAnsiTheme="minorHAnsi" w:cs="Calibri"/>
                <w:i/>
                <w:color w:val="000000"/>
                <w:sz w:val="22"/>
                <w:szCs w:val="22"/>
              </w:rPr>
              <w:t>Total Revenue Gap till FY 2012-13 (Including Gap of Previous Years )</w:t>
            </w:r>
          </w:p>
        </w:tc>
        <w:tc>
          <w:tcPr>
            <w:tcW w:w="1372"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1312.46</w:t>
            </w:r>
          </w:p>
        </w:tc>
        <w:tc>
          <w:tcPr>
            <w:tcW w:w="124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6006.09</w:t>
            </w:r>
          </w:p>
        </w:tc>
        <w:tc>
          <w:tcPr>
            <w:tcW w:w="1068"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6119.51</w:t>
            </w:r>
          </w:p>
        </w:tc>
        <w:tc>
          <w:tcPr>
            <w:tcW w:w="1165"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6249.70</w:t>
            </w:r>
          </w:p>
        </w:tc>
        <w:tc>
          <w:tcPr>
            <w:tcW w:w="120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bCs/>
                <w:i/>
                <w:color w:val="000000"/>
                <w:sz w:val="22"/>
                <w:szCs w:val="22"/>
              </w:rPr>
            </w:pPr>
            <w:r w:rsidRPr="003F5CCC">
              <w:rPr>
                <w:rFonts w:asciiTheme="minorHAnsi" w:hAnsiTheme="minorHAnsi" w:cs="Calibri"/>
                <w:bCs/>
                <w:i/>
                <w:color w:val="000000"/>
                <w:sz w:val="22"/>
                <w:szCs w:val="22"/>
              </w:rPr>
              <w:t>19687.76</w:t>
            </w:r>
          </w:p>
        </w:tc>
      </w:tr>
      <w:tr w:rsidR="009B19CF" w:rsidRPr="000B751E" w:rsidTr="00D920F1">
        <w:trPr>
          <w:trHeight w:val="510"/>
          <w:jc w:val="center"/>
        </w:trPr>
        <w:tc>
          <w:tcPr>
            <w:tcW w:w="3515"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i/>
                <w:color w:val="000000"/>
                <w:sz w:val="22"/>
                <w:szCs w:val="22"/>
              </w:rPr>
            </w:pPr>
            <w:r w:rsidRPr="003F5CCC">
              <w:rPr>
                <w:rFonts w:asciiTheme="minorHAnsi" w:hAnsiTheme="minorHAnsi" w:cs="Calibri"/>
                <w:i/>
                <w:color w:val="000000"/>
                <w:sz w:val="22"/>
                <w:szCs w:val="22"/>
              </w:rPr>
              <w:t>Revenue Gap / (Surplus) for FY 2015-16 (at existing Tariff)</w:t>
            </w:r>
          </w:p>
        </w:tc>
        <w:tc>
          <w:tcPr>
            <w:tcW w:w="1372"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-82.46</w:t>
            </w:r>
          </w:p>
        </w:tc>
        <w:tc>
          <w:tcPr>
            <w:tcW w:w="124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476.99</w:t>
            </w:r>
          </w:p>
        </w:tc>
        <w:tc>
          <w:tcPr>
            <w:tcW w:w="1068"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1717.30</w:t>
            </w:r>
          </w:p>
        </w:tc>
        <w:tc>
          <w:tcPr>
            <w:tcW w:w="1165"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1228.14</w:t>
            </w:r>
          </w:p>
        </w:tc>
        <w:tc>
          <w:tcPr>
            <w:tcW w:w="120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3339.97</w:t>
            </w:r>
          </w:p>
        </w:tc>
      </w:tr>
      <w:tr w:rsidR="009B19CF" w:rsidRPr="000B751E" w:rsidTr="00D920F1">
        <w:trPr>
          <w:trHeight w:val="255"/>
          <w:jc w:val="center"/>
        </w:trPr>
        <w:tc>
          <w:tcPr>
            <w:tcW w:w="3515"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i/>
                <w:color w:val="000000"/>
                <w:sz w:val="22"/>
                <w:szCs w:val="22"/>
              </w:rPr>
            </w:pPr>
            <w:r w:rsidRPr="003F5CCC">
              <w:rPr>
                <w:rFonts w:asciiTheme="minorHAnsi" w:hAnsiTheme="minorHAnsi" w:cs="Calibri"/>
                <w:i/>
                <w:color w:val="000000"/>
                <w:sz w:val="22"/>
                <w:szCs w:val="22"/>
              </w:rPr>
              <w:t>Increase in Revenue due to Tariff revision</w:t>
            </w:r>
          </w:p>
        </w:tc>
        <w:tc>
          <w:tcPr>
            <w:tcW w:w="1372"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501.27</w:t>
            </w:r>
          </w:p>
        </w:tc>
        <w:tc>
          <w:tcPr>
            <w:tcW w:w="124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336.64</w:t>
            </w:r>
          </w:p>
        </w:tc>
        <w:tc>
          <w:tcPr>
            <w:tcW w:w="1068"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328.84</w:t>
            </w:r>
          </w:p>
        </w:tc>
        <w:tc>
          <w:tcPr>
            <w:tcW w:w="1165"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318.30</w:t>
            </w:r>
          </w:p>
        </w:tc>
        <w:tc>
          <w:tcPr>
            <w:tcW w:w="120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1485.05</w:t>
            </w:r>
          </w:p>
        </w:tc>
      </w:tr>
      <w:tr w:rsidR="009B19CF" w:rsidRPr="000B751E" w:rsidTr="00D920F1">
        <w:trPr>
          <w:trHeight w:val="255"/>
          <w:jc w:val="center"/>
        </w:trPr>
        <w:tc>
          <w:tcPr>
            <w:tcW w:w="3515"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i/>
                <w:color w:val="000000"/>
                <w:sz w:val="22"/>
                <w:szCs w:val="22"/>
              </w:rPr>
            </w:pPr>
            <w:r w:rsidRPr="003F5CCC">
              <w:rPr>
                <w:rFonts w:asciiTheme="minorHAnsi" w:hAnsiTheme="minorHAnsi" w:cs="Calibri"/>
                <w:i/>
                <w:color w:val="000000"/>
                <w:sz w:val="22"/>
                <w:szCs w:val="22"/>
              </w:rPr>
              <w:t>Total approved revenue for FY 2015-16</w:t>
            </w:r>
          </w:p>
        </w:tc>
        <w:tc>
          <w:tcPr>
            <w:tcW w:w="1372"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12791.89</w:t>
            </w:r>
          </w:p>
        </w:tc>
        <w:tc>
          <w:tcPr>
            <w:tcW w:w="124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8098.79</w:t>
            </w:r>
          </w:p>
        </w:tc>
        <w:tc>
          <w:tcPr>
            <w:tcW w:w="1068"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8691.82</w:t>
            </w:r>
          </w:p>
        </w:tc>
        <w:tc>
          <w:tcPr>
            <w:tcW w:w="1165"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8104.96</w:t>
            </w:r>
          </w:p>
        </w:tc>
        <w:tc>
          <w:tcPr>
            <w:tcW w:w="1200" w:type="dxa"/>
            <w:tcBorders>
              <w:top w:val="nil"/>
              <w:left w:val="nil"/>
              <w:bottom w:val="dotted" w:sz="4" w:space="0" w:color="auto"/>
              <w:right w:val="dotted" w:sz="4" w:space="0" w:color="auto"/>
            </w:tcBorders>
            <w:shd w:val="clear" w:color="auto" w:fill="auto"/>
            <w:noWrap/>
            <w:vAlign w:val="bottom"/>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37687.47</w:t>
            </w:r>
          </w:p>
        </w:tc>
      </w:tr>
      <w:tr w:rsidR="009B19CF" w:rsidRPr="000B751E" w:rsidTr="00D920F1">
        <w:trPr>
          <w:trHeight w:val="510"/>
          <w:jc w:val="center"/>
        </w:trPr>
        <w:tc>
          <w:tcPr>
            <w:tcW w:w="3515" w:type="dxa"/>
            <w:tcBorders>
              <w:top w:val="nil"/>
              <w:left w:val="dotted" w:sz="4" w:space="0" w:color="auto"/>
              <w:bottom w:val="dotted" w:sz="4" w:space="0" w:color="auto"/>
              <w:right w:val="dotted" w:sz="4" w:space="0" w:color="auto"/>
            </w:tcBorders>
            <w:shd w:val="clear" w:color="auto" w:fill="auto"/>
            <w:hideMark/>
          </w:tcPr>
          <w:p w:rsidR="009B19CF" w:rsidRDefault="009B19CF" w:rsidP="00D920F1">
            <w:pPr>
              <w:spacing w:before="0" w:line="240" w:lineRule="auto"/>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Net Revenue Gap for FY 2015-16 after tariff increase</w:t>
            </w:r>
          </w:p>
        </w:tc>
        <w:tc>
          <w:tcPr>
            <w:tcW w:w="1372" w:type="dxa"/>
            <w:tcBorders>
              <w:top w:val="nil"/>
              <w:left w:val="nil"/>
              <w:bottom w:val="dotted" w:sz="4" w:space="0" w:color="auto"/>
              <w:right w:val="dotted" w:sz="4" w:space="0" w:color="auto"/>
            </w:tcBorders>
            <w:shd w:val="clear" w:color="auto" w:fill="auto"/>
            <w:noWrap/>
            <w:hideMark/>
          </w:tcPr>
          <w:p w:rsidR="009B19CF" w:rsidRDefault="009B19CF" w:rsidP="00D920F1">
            <w:pPr>
              <w:spacing w:before="0" w:line="240" w:lineRule="auto"/>
              <w:jc w:val="center"/>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-583.73</w:t>
            </w:r>
          </w:p>
        </w:tc>
        <w:tc>
          <w:tcPr>
            <w:tcW w:w="1240" w:type="dxa"/>
            <w:tcBorders>
              <w:top w:val="nil"/>
              <w:left w:val="nil"/>
              <w:bottom w:val="dotted" w:sz="4" w:space="0" w:color="auto"/>
              <w:right w:val="dotted" w:sz="4" w:space="0" w:color="auto"/>
            </w:tcBorders>
            <w:shd w:val="clear" w:color="auto" w:fill="auto"/>
            <w:noWrap/>
            <w:hideMark/>
          </w:tcPr>
          <w:p w:rsidR="009B19CF" w:rsidRDefault="009B19CF" w:rsidP="00D920F1">
            <w:pPr>
              <w:spacing w:before="0" w:line="240" w:lineRule="auto"/>
              <w:jc w:val="center"/>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140.35</w:t>
            </w:r>
          </w:p>
        </w:tc>
        <w:tc>
          <w:tcPr>
            <w:tcW w:w="1068" w:type="dxa"/>
            <w:tcBorders>
              <w:top w:val="nil"/>
              <w:left w:val="nil"/>
              <w:bottom w:val="dotted" w:sz="4" w:space="0" w:color="auto"/>
              <w:right w:val="dotted" w:sz="4" w:space="0" w:color="auto"/>
            </w:tcBorders>
            <w:shd w:val="clear" w:color="auto" w:fill="auto"/>
            <w:noWrap/>
            <w:hideMark/>
          </w:tcPr>
          <w:p w:rsidR="009B19CF" w:rsidRDefault="009B19CF" w:rsidP="00D920F1">
            <w:pPr>
              <w:spacing w:before="0" w:line="240" w:lineRule="auto"/>
              <w:jc w:val="center"/>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1388.47</w:t>
            </w:r>
          </w:p>
        </w:tc>
        <w:tc>
          <w:tcPr>
            <w:tcW w:w="1165" w:type="dxa"/>
            <w:tcBorders>
              <w:top w:val="nil"/>
              <w:left w:val="nil"/>
              <w:bottom w:val="dotted" w:sz="4" w:space="0" w:color="auto"/>
              <w:right w:val="dotted" w:sz="4" w:space="0" w:color="auto"/>
            </w:tcBorders>
            <w:shd w:val="clear" w:color="auto" w:fill="auto"/>
            <w:noWrap/>
            <w:hideMark/>
          </w:tcPr>
          <w:p w:rsidR="009B19CF" w:rsidRDefault="009B19CF" w:rsidP="00D920F1">
            <w:pPr>
              <w:spacing w:before="0" w:line="240" w:lineRule="auto"/>
              <w:jc w:val="center"/>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909.83</w:t>
            </w:r>
          </w:p>
        </w:tc>
        <w:tc>
          <w:tcPr>
            <w:tcW w:w="1200" w:type="dxa"/>
            <w:tcBorders>
              <w:top w:val="nil"/>
              <w:left w:val="nil"/>
              <w:bottom w:val="dotted" w:sz="4" w:space="0" w:color="auto"/>
              <w:right w:val="dotted" w:sz="4" w:space="0" w:color="auto"/>
            </w:tcBorders>
            <w:shd w:val="clear" w:color="auto" w:fill="auto"/>
            <w:noWrap/>
            <w:hideMark/>
          </w:tcPr>
          <w:p w:rsidR="009B19CF" w:rsidRDefault="009B19CF" w:rsidP="00D920F1">
            <w:pPr>
              <w:spacing w:before="0" w:line="240" w:lineRule="auto"/>
              <w:jc w:val="center"/>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1854.91</w:t>
            </w:r>
          </w:p>
        </w:tc>
      </w:tr>
      <w:tr w:rsidR="009B19CF" w:rsidRPr="000B751E" w:rsidTr="00D920F1">
        <w:trPr>
          <w:trHeight w:val="255"/>
          <w:jc w:val="center"/>
        </w:trPr>
        <w:tc>
          <w:tcPr>
            <w:tcW w:w="3515"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i/>
                <w:color w:val="000000"/>
                <w:sz w:val="22"/>
                <w:szCs w:val="22"/>
              </w:rPr>
            </w:pPr>
            <w:r w:rsidRPr="003F5CCC">
              <w:rPr>
                <w:rFonts w:asciiTheme="minorHAnsi" w:hAnsiTheme="minorHAnsi" w:cs="Calibri"/>
                <w:i/>
                <w:color w:val="000000"/>
                <w:sz w:val="22"/>
                <w:szCs w:val="22"/>
              </w:rPr>
              <w:t xml:space="preserve">Recovery through Regulatory </w:t>
            </w:r>
            <w:r w:rsidRPr="003F5CCC">
              <w:rPr>
                <w:rFonts w:asciiTheme="minorHAnsi" w:hAnsiTheme="minorHAnsi" w:cs="Calibri"/>
                <w:i/>
                <w:color w:val="000000"/>
                <w:sz w:val="22"/>
                <w:szCs w:val="22"/>
              </w:rPr>
              <w:lastRenderedPageBreak/>
              <w:t>Surcharge</w:t>
            </w:r>
          </w:p>
        </w:tc>
        <w:tc>
          <w:tcPr>
            <w:tcW w:w="1372"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lastRenderedPageBreak/>
              <w:t>434.99</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275.40</w:t>
            </w:r>
          </w:p>
        </w:tc>
        <w:tc>
          <w:tcPr>
            <w:tcW w:w="1068"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295.57</w:t>
            </w:r>
          </w:p>
        </w:tc>
        <w:tc>
          <w:tcPr>
            <w:tcW w:w="1165"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275.61</w:t>
            </w:r>
          </w:p>
        </w:tc>
        <w:tc>
          <w:tcPr>
            <w:tcW w:w="12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i/>
                <w:color w:val="000000"/>
                <w:sz w:val="22"/>
                <w:szCs w:val="22"/>
              </w:rPr>
            </w:pPr>
            <w:r w:rsidRPr="003F5CCC">
              <w:rPr>
                <w:rFonts w:asciiTheme="minorHAnsi" w:hAnsiTheme="minorHAnsi" w:cs="Calibri"/>
                <w:i/>
                <w:color w:val="000000"/>
                <w:sz w:val="22"/>
                <w:szCs w:val="22"/>
              </w:rPr>
              <w:t>1281.58</w:t>
            </w:r>
          </w:p>
        </w:tc>
      </w:tr>
      <w:tr w:rsidR="009B19CF" w:rsidRPr="000B751E" w:rsidTr="00D920F1">
        <w:trPr>
          <w:trHeight w:val="765"/>
          <w:jc w:val="center"/>
        </w:trPr>
        <w:tc>
          <w:tcPr>
            <w:tcW w:w="3515" w:type="dxa"/>
            <w:tcBorders>
              <w:top w:val="nil"/>
              <w:left w:val="dotted" w:sz="4" w:space="0" w:color="auto"/>
              <w:bottom w:val="dotted" w:sz="4" w:space="0" w:color="auto"/>
              <w:right w:val="dotted" w:sz="4" w:space="0" w:color="auto"/>
            </w:tcBorders>
            <w:shd w:val="clear" w:color="auto" w:fill="auto"/>
            <w:vAlign w:val="bottom"/>
            <w:hideMark/>
          </w:tcPr>
          <w:p w:rsidR="009B19CF" w:rsidRDefault="009B19CF" w:rsidP="00D920F1">
            <w:pPr>
              <w:spacing w:before="0" w:line="240" w:lineRule="auto"/>
              <w:rPr>
                <w:rFonts w:asciiTheme="minorHAnsi" w:hAnsiTheme="minorHAnsi" w:cs="Calibri"/>
                <w:b/>
                <w:bCs/>
                <w:i/>
                <w:color w:val="000000"/>
                <w:sz w:val="22"/>
                <w:szCs w:val="22"/>
              </w:rPr>
            </w:pPr>
            <w:r w:rsidRPr="003F5CCC">
              <w:rPr>
                <w:rFonts w:asciiTheme="minorHAnsi" w:hAnsiTheme="minorHAnsi" w:cs="Calibri"/>
                <w:b/>
                <w:bCs/>
                <w:i/>
                <w:color w:val="000000"/>
                <w:sz w:val="22"/>
                <w:szCs w:val="22"/>
              </w:rPr>
              <w:lastRenderedPageBreak/>
              <w:t>Net Revenue Gap after considering part recovery of Regulatory Asset admitted by the Commission in this Order</w:t>
            </w:r>
          </w:p>
        </w:tc>
        <w:tc>
          <w:tcPr>
            <w:tcW w:w="1372"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293.74</w:t>
            </w:r>
          </w:p>
        </w:tc>
        <w:tc>
          <w:tcPr>
            <w:tcW w:w="124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5871.03</w:t>
            </w:r>
          </w:p>
        </w:tc>
        <w:tc>
          <w:tcPr>
            <w:tcW w:w="1068"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7212.41</w:t>
            </w:r>
          </w:p>
        </w:tc>
        <w:tc>
          <w:tcPr>
            <w:tcW w:w="1165"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6883.92</w:t>
            </w:r>
          </w:p>
        </w:tc>
        <w:tc>
          <w:tcPr>
            <w:tcW w:w="1200" w:type="dxa"/>
            <w:tcBorders>
              <w:top w:val="nil"/>
              <w:left w:val="nil"/>
              <w:bottom w:val="dotted" w:sz="4" w:space="0" w:color="auto"/>
              <w:right w:val="dotted" w:sz="4" w:space="0" w:color="auto"/>
            </w:tcBorders>
            <w:shd w:val="clear" w:color="auto" w:fill="auto"/>
            <w:noWrap/>
            <w:vAlign w:val="center"/>
            <w:hideMark/>
          </w:tcPr>
          <w:p w:rsidR="009B19CF" w:rsidRDefault="009B19CF" w:rsidP="00D920F1">
            <w:pPr>
              <w:spacing w:before="0" w:line="240" w:lineRule="auto"/>
              <w:jc w:val="right"/>
              <w:rPr>
                <w:rFonts w:asciiTheme="minorHAnsi" w:hAnsiTheme="minorHAnsi" w:cs="Calibri"/>
                <w:b/>
                <w:bCs/>
                <w:i/>
                <w:color w:val="000000"/>
                <w:sz w:val="22"/>
                <w:szCs w:val="22"/>
              </w:rPr>
            </w:pPr>
            <w:r w:rsidRPr="003F5CCC">
              <w:rPr>
                <w:rFonts w:asciiTheme="minorHAnsi" w:hAnsiTheme="minorHAnsi" w:cs="Calibri"/>
                <w:b/>
                <w:bCs/>
                <w:i/>
                <w:color w:val="000000"/>
                <w:sz w:val="22"/>
                <w:szCs w:val="22"/>
              </w:rPr>
              <w:t>20261.10</w:t>
            </w:r>
          </w:p>
        </w:tc>
      </w:tr>
    </w:tbl>
    <w:p w:rsidR="00D5771F" w:rsidRDefault="009B19CF">
      <w:pPr>
        <w:pStyle w:val="Heading3"/>
        <w:tabs>
          <w:tab w:val="clear" w:pos="720"/>
        </w:tabs>
        <w:ind w:left="993" w:hanging="993"/>
        <w:rPr>
          <w:rFonts w:asciiTheme="minorHAnsi" w:hAnsiTheme="minorHAnsi" w:cstheme="minorHAnsi"/>
          <w:szCs w:val="24"/>
        </w:rPr>
      </w:pPr>
      <w:r w:rsidRPr="00C60AD1">
        <w:rPr>
          <w:rFonts w:asciiTheme="minorHAnsi" w:hAnsiTheme="minorHAnsi" w:cstheme="minorHAnsi"/>
          <w:szCs w:val="24"/>
        </w:rPr>
        <w:t>The consolidated revenue gap admitted by the Commission after undertaking the Truing up of FY 2013</w:t>
      </w:r>
      <w:r>
        <w:rPr>
          <w:rFonts w:asciiTheme="minorHAnsi" w:hAnsiTheme="minorHAnsi" w:cstheme="minorHAnsi"/>
          <w:szCs w:val="24"/>
        </w:rPr>
        <w:t>-14</w:t>
      </w:r>
      <w:r w:rsidRPr="00C60AD1">
        <w:rPr>
          <w:rFonts w:asciiTheme="minorHAnsi" w:hAnsiTheme="minorHAnsi" w:cstheme="minorHAnsi"/>
          <w:szCs w:val="24"/>
        </w:rPr>
        <w:t xml:space="preserve"> and determining the ARR and revenue for FY 2016</w:t>
      </w:r>
      <w:r>
        <w:rPr>
          <w:rFonts w:asciiTheme="minorHAnsi" w:hAnsiTheme="minorHAnsi" w:cstheme="minorHAnsi"/>
          <w:szCs w:val="24"/>
        </w:rPr>
        <w:t>-17</w:t>
      </w:r>
      <w:r w:rsidRPr="00C60AD1">
        <w:rPr>
          <w:rFonts w:asciiTheme="minorHAnsi" w:hAnsiTheme="minorHAnsi" w:cstheme="minorHAnsi"/>
          <w:szCs w:val="24"/>
        </w:rPr>
        <w:t xml:space="preserve"> is summarised in the table below:</w:t>
      </w:r>
    </w:p>
    <w:p w:rsidR="009B19CF" w:rsidRPr="00F67978" w:rsidRDefault="006C63AF" w:rsidP="009B19CF">
      <w:pPr>
        <w:pStyle w:val="Caption"/>
        <w:keepNext/>
        <w:ind w:firstLine="540"/>
        <w:rPr>
          <w:rFonts w:asciiTheme="minorHAnsi" w:hAnsiTheme="minorHAnsi" w:cstheme="minorHAnsi"/>
          <w:sz w:val="22"/>
          <w:szCs w:val="24"/>
        </w:rPr>
      </w:pPr>
      <w:bookmarkStart w:id="1844" w:name="_Toc399324271"/>
      <w:bookmarkStart w:id="1845" w:name="_Toc399624145"/>
      <w:bookmarkStart w:id="1846" w:name="_Toc422309980"/>
      <w:bookmarkStart w:id="1847" w:name="_Toc457604092"/>
      <w:r w:rsidRPr="006C63AF">
        <w:rPr>
          <w:rFonts w:asciiTheme="minorHAnsi" w:hAnsiTheme="minorHAnsi" w:cstheme="minorHAnsi"/>
          <w:sz w:val="22"/>
          <w:szCs w:val="24"/>
        </w:rPr>
        <w:t>Table 8</w:t>
      </w:r>
      <w:r w:rsidRPr="006C63AF">
        <w:rPr>
          <w:rFonts w:asciiTheme="minorHAnsi" w:hAnsiTheme="minorHAnsi" w:cstheme="minorHAnsi"/>
          <w:sz w:val="22"/>
          <w:szCs w:val="24"/>
        </w:rPr>
        <w:noBreakHyphen/>
      </w:r>
      <w:r w:rsidR="009741CA" w:rsidRPr="006C63AF">
        <w:rPr>
          <w:rFonts w:asciiTheme="minorHAnsi" w:hAnsiTheme="minorHAnsi" w:cstheme="minorHAnsi"/>
          <w:sz w:val="22"/>
          <w:szCs w:val="24"/>
        </w:rPr>
        <w:fldChar w:fldCharType="begin"/>
      </w:r>
      <w:r w:rsidRPr="006C63AF">
        <w:rPr>
          <w:rFonts w:asciiTheme="minorHAnsi" w:hAnsiTheme="minorHAnsi" w:cstheme="minorHAnsi"/>
          <w:sz w:val="22"/>
          <w:szCs w:val="24"/>
        </w:rPr>
        <w:instrText xml:space="preserve"> SEQ Table \* ARABIC \s 1 </w:instrText>
      </w:r>
      <w:r w:rsidR="009741CA" w:rsidRPr="006C63AF">
        <w:rPr>
          <w:rFonts w:asciiTheme="minorHAnsi" w:hAnsiTheme="minorHAnsi" w:cstheme="minorHAnsi"/>
          <w:sz w:val="22"/>
          <w:szCs w:val="24"/>
        </w:rPr>
        <w:fldChar w:fldCharType="separate"/>
      </w:r>
      <w:r w:rsidR="00BA08F0">
        <w:rPr>
          <w:rFonts w:asciiTheme="minorHAnsi" w:hAnsiTheme="minorHAnsi" w:cstheme="minorHAnsi"/>
          <w:noProof/>
          <w:sz w:val="22"/>
          <w:szCs w:val="24"/>
        </w:rPr>
        <w:t>5</w:t>
      </w:r>
      <w:r w:rsidR="009741CA" w:rsidRPr="006C63AF">
        <w:rPr>
          <w:rFonts w:asciiTheme="minorHAnsi" w:hAnsiTheme="minorHAnsi" w:cstheme="minorHAnsi"/>
          <w:sz w:val="22"/>
          <w:szCs w:val="24"/>
        </w:rPr>
        <w:fldChar w:fldCharType="end"/>
      </w:r>
      <w:r w:rsidRPr="006C63AF">
        <w:rPr>
          <w:rFonts w:asciiTheme="minorHAnsi" w:hAnsiTheme="minorHAnsi" w:cstheme="minorHAnsi"/>
          <w:sz w:val="22"/>
          <w:szCs w:val="24"/>
        </w:rPr>
        <w:t>: SUMMARY OF CONSOLIDATED REVENUE GAP FOR 4 STATE OWNED DISTRIBUTION LICENSEES ADMITTED BY THE COMMISSION (Rs. Crore)</w:t>
      </w:r>
      <w:bookmarkEnd w:id="1844"/>
      <w:bookmarkEnd w:id="1845"/>
      <w:bookmarkEnd w:id="1846"/>
      <w:bookmarkEnd w:id="1847"/>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509"/>
        <w:gridCol w:w="1709"/>
        <w:gridCol w:w="1667"/>
      </w:tblGrid>
      <w:tr w:rsidR="009B19CF" w:rsidRPr="000B751E" w:rsidTr="00A8391B">
        <w:trPr>
          <w:trHeight w:val="152"/>
          <w:jc w:val="center"/>
        </w:trPr>
        <w:tc>
          <w:tcPr>
            <w:tcW w:w="3100" w:type="pct"/>
            <w:shd w:val="clear" w:color="000000" w:fill="DBE5F1"/>
            <w:hideMark/>
          </w:tcPr>
          <w:p w:rsidR="00603835" w:rsidRDefault="00E34329">
            <w:pPr>
              <w:spacing w:before="0" w:line="240" w:lineRule="auto"/>
              <w:jc w:val="center"/>
              <w:rPr>
                <w:rFonts w:cstheme="minorHAnsi"/>
                <w:b/>
                <w:bCs/>
                <w:caps/>
                <w:kern w:val="32"/>
                <w:sz w:val="22"/>
                <w:szCs w:val="22"/>
              </w:rPr>
            </w:pPr>
            <w:r w:rsidRPr="00E34329">
              <w:rPr>
                <w:rFonts w:cstheme="minorHAnsi"/>
                <w:b/>
                <w:bCs/>
                <w:color w:val="000000"/>
                <w:sz w:val="22"/>
                <w:szCs w:val="22"/>
              </w:rPr>
              <w:t>Particulars</w:t>
            </w:r>
          </w:p>
        </w:tc>
        <w:tc>
          <w:tcPr>
            <w:tcW w:w="962" w:type="pct"/>
            <w:shd w:val="clear" w:color="000000" w:fill="DBE5F1"/>
          </w:tcPr>
          <w:p w:rsidR="00603835" w:rsidRDefault="00E34329">
            <w:pPr>
              <w:spacing w:before="0" w:line="240" w:lineRule="auto"/>
              <w:jc w:val="center"/>
              <w:rPr>
                <w:rFonts w:cstheme="minorHAnsi"/>
                <w:b/>
                <w:sz w:val="22"/>
                <w:szCs w:val="22"/>
              </w:rPr>
            </w:pPr>
            <w:r w:rsidRPr="00E34329">
              <w:rPr>
                <w:rFonts w:cstheme="minorHAnsi"/>
                <w:b/>
                <w:bCs/>
                <w:color w:val="000000"/>
                <w:sz w:val="22"/>
                <w:szCs w:val="22"/>
              </w:rPr>
              <w:t>Petitioner</w:t>
            </w:r>
          </w:p>
        </w:tc>
        <w:tc>
          <w:tcPr>
            <w:tcW w:w="938" w:type="pct"/>
            <w:shd w:val="clear" w:color="000000" w:fill="DBE5F1"/>
            <w:hideMark/>
          </w:tcPr>
          <w:p w:rsidR="00603835" w:rsidRDefault="00E34329">
            <w:pPr>
              <w:spacing w:before="0" w:line="240" w:lineRule="auto"/>
              <w:jc w:val="center"/>
              <w:rPr>
                <w:rFonts w:cstheme="minorHAnsi"/>
                <w:b/>
                <w:sz w:val="22"/>
                <w:szCs w:val="22"/>
              </w:rPr>
            </w:pPr>
            <w:r w:rsidRPr="00E34329">
              <w:rPr>
                <w:rFonts w:cstheme="minorHAnsi"/>
                <w:b/>
                <w:bCs/>
                <w:color w:val="000000"/>
                <w:sz w:val="22"/>
                <w:szCs w:val="22"/>
              </w:rPr>
              <w:t>Approved</w:t>
            </w:r>
          </w:p>
        </w:tc>
      </w:tr>
      <w:tr w:rsidR="00396FDF" w:rsidRPr="000B751E" w:rsidTr="00D920F1">
        <w:trPr>
          <w:trHeight w:val="300"/>
          <w:jc w:val="center"/>
        </w:trPr>
        <w:tc>
          <w:tcPr>
            <w:tcW w:w="3100" w:type="pct"/>
            <w:shd w:val="clear" w:color="auto" w:fill="auto"/>
            <w:vAlign w:val="center"/>
            <w:hideMark/>
          </w:tcPr>
          <w:p w:rsidR="00396FDF" w:rsidRDefault="00396FDF">
            <w:pPr>
              <w:spacing w:before="0" w:line="240" w:lineRule="auto"/>
              <w:rPr>
                <w:rFonts w:cstheme="minorHAnsi"/>
                <w:sz w:val="22"/>
                <w:szCs w:val="22"/>
              </w:rPr>
            </w:pPr>
            <w:r w:rsidRPr="00E34329">
              <w:rPr>
                <w:rFonts w:cstheme="minorHAnsi"/>
                <w:color w:val="000000"/>
                <w:sz w:val="22"/>
                <w:szCs w:val="22"/>
              </w:rPr>
              <w:t>Revenue Gap for FY 2013-14</w:t>
            </w:r>
          </w:p>
        </w:tc>
        <w:tc>
          <w:tcPr>
            <w:tcW w:w="962" w:type="pct"/>
            <w:vAlign w:val="center"/>
          </w:tcPr>
          <w:p w:rsidR="00396FDF" w:rsidRDefault="00396FDF">
            <w:pPr>
              <w:spacing w:before="0" w:line="240" w:lineRule="auto"/>
              <w:jc w:val="right"/>
              <w:rPr>
                <w:rFonts w:cstheme="minorHAnsi"/>
                <w:color w:val="000000"/>
                <w:sz w:val="22"/>
                <w:szCs w:val="22"/>
              </w:rPr>
            </w:pPr>
            <w:r>
              <w:rPr>
                <w:color w:val="000000"/>
                <w:sz w:val="22"/>
                <w:szCs w:val="22"/>
              </w:rPr>
              <w:t>9736.60</w:t>
            </w:r>
          </w:p>
        </w:tc>
        <w:tc>
          <w:tcPr>
            <w:tcW w:w="938" w:type="pct"/>
            <w:shd w:val="clear" w:color="auto" w:fill="auto"/>
            <w:noWrap/>
            <w:vAlign w:val="center"/>
            <w:hideMark/>
          </w:tcPr>
          <w:p w:rsidR="00396FDF" w:rsidRPr="00396FDF" w:rsidRDefault="00396FDF">
            <w:pPr>
              <w:jc w:val="right"/>
              <w:rPr>
                <w:color w:val="000000"/>
                <w:sz w:val="22"/>
                <w:szCs w:val="22"/>
              </w:rPr>
            </w:pPr>
            <w:r w:rsidRPr="00396FDF">
              <w:rPr>
                <w:color w:val="000000"/>
                <w:sz w:val="22"/>
                <w:szCs w:val="22"/>
              </w:rPr>
              <w:t>4893.40</w:t>
            </w:r>
          </w:p>
        </w:tc>
      </w:tr>
      <w:tr w:rsidR="00396FDF" w:rsidRPr="000B751E" w:rsidTr="00D920F1">
        <w:trPr>
          <w:trHeight w:val="300"/>
          <w:jc w:val="center"/>
        </w:trPr>
        <w:tc>
          <w:tcPr>
            <w:tcW w:w="3100" w:type="pct"/>
            <w:shd w:val="clear" w:color="auto" w:fill="auto"/>
            <w:vAlign w:val="center"/>
            <w:hideMark/>
          </w:tcPr>
          <w:p w:rsidR="00396FDF" w:rsidRDefault="00396FDF">
            <w:pPr>
              <w:spacing w:before="0" w:line="240" w:lineRule="auto"/>
              <w:rPr>
                <w:rFonts w:cstheme="minorHAnsi"/>
                <w:sz w:val="22"/>
                <w:szCs w:val="22"/>
              </w:rPr>
            </w:pPr>
            <w:r w:rsidRPr="00E34329">
              <w:rPr>
                <w:rFonts w:cstheme="minorHAnsi"/>
                <w:color w:val="000000"/>
                <w:sz w:val="22"/>
                <w:szCs w:val="22"/>
              </w:rPr>
              <w:t>Revenue Gap / (Surplus) for FY 2016-17 (at existing Tariff)</w:t>
            </w:r>
          </w:p>
        </w:tc>
        <w:tc>
          <w:tcPr>
            <w:tcW w:w="962" w:type="pct"/>
            <w:vAlign w:val="center"/>
          </w:tcPr>
          <w:p w:rsidR="00396FDF" w:rsidRDefault="00396FDF">
            <w:pPr>
              <w:spacing w:before="0" w:line="240" w:lineRule="auto"/>
              <w:jc w:val="right"/>
              <w:rPr>
                <w:rFonts w:cstheme="minorHAnsi"/>
                <w:color w:val="000000"/>
                <w:sz w:val="22"/>
                <w:szCs w:val="22"/>
              </w:rPr>
            </w:pPr>
            <w:r>
              <w:rPr>
                <w:color w:val="000000"/>
                <w:sz w:val="22"/>
                <w:szCs w:val="22"/>
              </w:rPr>
              <w:t>8579.43</w:t>
            </w:r>
          </w:p>
        </w:tc>
        <w:tc>
          <w:tcPr>
            <w:tcW w:w="938" w:type="pct"/>
            <w:shd w:val="clear" w:color="auto" w:fill="auto"/>
            <w:noWrap/>
            <w:vAlign w:val="center"/>
            <w:hideMark/>
          </w:tcPr>
          <w:p w:rsidR="00396FDF" w:rsidRPr="00396FDF" w:rsidRDefault="00396FDF">
            <w:pPr>
              <w:jc w:val="right"/>
              <w:rPr>
                <w:color w:val="000000"/>
                <w:sz w:val="22"/>
                <w:szCs w:val="22"/>
              </w:rPr>
            </w:pPr>
            <w:r w:rsidRPr="00396FDF">
              <w:rPr>
                <w:color w:val="000000"/>
                <w:sz w:val="22"/>
                <w:szCs w:val="22"/>
              </w:rPr>
              <w:t>4242.92</w:t>
            </w:r>
          </w:p>
        </w:tc>
      </w:tr>
      <w:tr w:rsidR="00396FDF" w:rsidRPr="000B751E" w:rsidTr="00CC6609">
        <w:trPr>
          <w:trHeight w:val="300"/>
          <w:jc w:val="center"/>
        </w:trPr>
        <w:tc>
          <w:tcPr>
            <w:tcW w:w="3100" w:type="pct"/>
            <w:shd w:val="clear" w:color="auto" w:fill="auto"/>
            <w:vAlign w:val="center"/>
            <w:hideMark/>
          </w:tcPr>
          <w:p w:rsidR="00396FDF" w:rsidRDefault="00396FDF" w:rsidP="00CC6609">
            <w:pPr>
              <w:spacing w:before="0" w:line="240" w:lineRule="auto"/>
              <w:jc w:val="left"/>
              <w:rPr>
                <w:rFonts w:cstheme="minorHAnsi"/>
                <w:color w:val="000000"/>
                <w:sz w:val="22"/>
                <w:szCs w:val="22"/>
              </w:rPr>
            </w:pPr>
            <w:r w:rsidRPr="00E34329">
              <w:rPr>
                <w:rFonts w:cstheme="minorHAnsi"/>
                <w:color w:val="000000"/>
                <w:sz w:val="22"/>
                <w:szCs w:val="22"/>
              </w:rPr>
              <w:t xml:space="preserve">Increase in Revenue due to revision in Tariff </w:t>
            </w:r>
          </w:p>
        </w:tc>
        <w:tc>
          <w:tcPr>
            <w:tcW w:w="962" w:type="pct"/>
            <w:vAlign w:val="center"/>
          </w:tcPr>
          <w:p w:rsidR="00396FDF" w:rsidRDefault="00396FDF">
            <w:pPr>
              <w:spacing w:before="0" w:line="240" w:lineRule="auto"/>
              <w:jc w:val="right"/>
              <w:rPr>
                <w:rFonts w:cstheme="minorHAnsi"/>
                <w:color w:val="000000"/>
                <w:sz w:val="22"/>
                <w:szCs w:val="22"/>
              </w:rPr>
            </w:pPr>
            <w:r>
              <w:rPr>
                <w:color w:val="000000"/>
                <w:sz w:val="22"/>
                <w:szCs w:val="22"/>
              </w:rPr>
              <w:t>2690.22</w:t>
            </w:r>
          </w:p>
        </w:tc>
        <w:tc>
          <w:tcPr>
            <w:tcW w:w="938" w:type="pct"/>
            <w:shd w:val="clear" w:color="auto" w:fill="auto"/>
            <w:noWrap/>
            <w:vAlign w:val="center"/>
            <w:hideMark/>
          </w:tcPr>
          <w:p w:rsidR="00396FDF" w:rsidRPr="00396FDF" w:rsidRDefault="00396FDF">
            <w:pPr>
              <w:jc w:val="right"/>
              <w:rPr>
                <w:color w:val="000000"/>
                <w:sz w:val="22"/>
                <w:szCs w:val="22"/>
              </w:rPr>
            </w:pPr>
            <w:r w:rsidRPr="00396FDF">
              <w:rPr>
                <w:color w:val="000000"/>
                <w:sz w:val="22"/>
                <w:szCs w:val="22"/>
              </w:rPr>
              <w:t>1537.47</w:t>
            </w:r>
          </w:p>
        </w:tc>
      </w:tr>
      <w:tr w:rsidR="00396FDF" w:rsidRPr="000B751E" w:rsidTr="00D920F1">
        <w:trPr>
          <w:trHeight w:val="300"/>
          <w:jc w:val="center"/>
        </w:trPr>
        <w:tc>
          <w:tcPr>
            <w:tcW w:w="3100" w:type="pct"/>
            <w:shd w:val="clear" w:color="auto" w:fill="auto"/>
            <w:vAlign w:val="bottom"/>
            <w:hideMark/>
          </w:tcPr>
          <w:p w:rsidR="00396FDF" w:rsidRDefault="00396FDF">
            <w:pPr>
              <w:spacing w:before="0" w:line="240" w:lineRule="auto"/>
              <w:rPr>
                <w:rFonts w:cstheme="minorHAnsi"/>
                <w:color w:val="000000"/>
                <w:sz w:val="22"/>
                <w:szCs w:val="22"/>
              </w:rPr>
            </w:pPr>
            <w:r w:rsidRPr="00E34329">
              <w:rPr>
                <w:rFonts w:cstheme="minorHAnsi"/>
                <w:color w:val="000000"/>
                <w:sz w:val="22"/>
                <w:szCs w:val="22"/>
              </w:rPr>
              <w:t>Total approved revenue for FY 2016-17 (Excluding Regulatory Surcharge)</w:t>
            </w:r>
          </w:p>
        </w:tc>
        <w:tc>
          <w:tcPr>
            <w:tcW w:w="962" w:type="pct"/>
            <w:vAlign w:val="center"/>
          </w:tcPr>
          <w:p w:rsidR="00396FDF" w:rsidRDefault="00396FDF">
            <w:pPr>
              <w:spacing w:before="0" w:line="240" w:lineRule="auto"/>
              <w:jc w:val="right"/>
              <w:rPr>
                <w:rFonts w:cstheme="minorHAnsi"/>
                <w:color w:val="000000"/>
                <w:sz w:val="22"/>
                <w:szCs w:val="22"/>
              </w:rPr>
            </w:pPr>
            <w:r>
              <w:rPr>
                <w:color w:val="000000"/>
                <w:sz w:val="22"/>
                <w:szCs w:val="22"/>
              </w:rPr>
              <w:t>49978.54</w:t>
            </w:r>
          </w:p>
        </w:tc>
        <w:tc>
          <w:tcPr>
            <w:tcW w:w="938" w:type="pct"/>
            <w:shd w:val="clear" w:color="auto" w:fill="auto"/>
            <w:noWrap/>
            <w:vAlign w:val="center"/>
            <w:hideMark/>
          </w:tcPr>
          <w:p w:rsidR="00396FDF" w:rsidRPr="00396FDF" w:rsidRDefault="00396FDF">
            <w:pPr>
              <w:jc w:val="right"/>
              <w:rPr>
                <w:color w:val="000000"/>
                <w:sz w:val="22"/>
                <w:szCs w:val="22"/>
              </w:rPr>
            </w:pPr>
            <w:r w:rsidRPr="00396FDF">
              <w:rPr>
                <w:color w:val="000000"/>
                <w:sz w:val="22"/>
                <w:szCs w:val="22"/>
              </w:rPr>
              <w:t>49877.91</w:t>
            </w:r>
          </w:p>
        </w:tc>
      </w:tr>
      <w:tr w:rsidR="00396FDF" w:rsidRPr="000B751E" w:rsidTr="00D920F1">
        <w:trPr>
          <w:trHeight w:val="300"/>
          <w:jc w:val="center"/>
        </w:trPr>
        <w:tc>
          <w:tcPr>
            <w:tcW w:w="3100" w:type="pct"/>
            <w:shd w:val="clear" w:color="auto" w:fill="auto"/>
            <w:vAlign w:val="center"/>
            <w:hideMark/>
          </w:tcPr>
          <w:p w:rsidR="00396FDF" w:rsidRDefault="00396FDF">
            <w:pPr>
              <w:spacing w:before="0" w:line="240" w:lineRule="auto"/>
              <w:rPr>
                <w:rFonts w:cstheme="minorHAnsi"/>
                <w:b/>
                <w:i/>
                <w:sz w:val="22"/>
                <w:szCs w:val="22"/>
              </w:rPr>
            </w:pPr>
            <w:r w:rsidRPr="00E34329">
              <w:rPr>
                <w:rFonts w:cstheme="minorHAnsi"/>
                <w:b/>
                <w:color w:val="000000"/>
                <w:sz w:val="22"/>
                <w:szCs w:val="22"/>
              </w:rPr>
              <w:t>Net Revenue Gap for FY 2016-17 after tariff increase (Including gap for FY 2013-14)</w:t>
            </w:r>
          </w:p>
        </w:tc>
        <w:tc>
          <w:tcPr>
            <w:tcW w:w="962" w:type="pct"/>
            <w:vAlign w:val="center"/>
          </w:tcPr>
          <w:p w:rsidR="00396FDF" w:rsidRDefault="00396FDF">
            <w:pPr>
              <w:spacing w:before="0" w:line="240" w:lineRule="auto"/>
              <w:jc w:val="right"/>
              <w:rPr>
                <w:rFonts w:cstheme="minorHAnsi"/>
                <w:b/>
                <w:color w:val="000000"/>
                <w:sz w:val="22"/>
                <w:szCs w:val="22"/>
              </w:rPr>
            </w:pPr>
            <w:r>
              <w:rPr>
                <w:b/>
                <w:color w:val="000000"/>
                <w:sz w:val="22"/>
                <w:szCs w:val="22"/>
              </w:rPr>
              <w:t>15625.80</w:t>
            </w:r>
          </w:p>
        </w:tc>
        <w:tc>
          <w:tcPr>
            <w:tcW w:w="938" w:type="pct"/>
            <w:shd w:val="clear" w:color="auto" w:fill="auto"/>
            <w:noWrap/>
            <w:vAlign w:val="center"/>
            <w:hideMark/>
          </w:tcPr>
          <w:p w:rsidR="00396FDF" w:rsidRPr="00396FDF" w:rsidRDefault="00396FDF">
            <w:pPr>
              <w:jc w:val="right"/>
              <w:rPr>
                <w:color w:val="000000"/>
                <w:sz w:val="22"/>
                <w:szCs w:val="22"/>
              </w:rPr>
            </w:pPr>
            <w:r w:rsidRPr="00396FDF">
              <w:rPr>
                <w:color w:val="000000"/>
                <w:sz w:val="22"/>
                <w:szCs w:val="22"/>
              </w:rPr>
              <w:t>7598.86</w:t>
            </w:r>
          </w:p>
        </w:tc>
      </w:tr>
    </w:tbl>
    <w:p w:rsidR="00D5771F" w:rsidRDefault="00D5771F">
      <w:pPr>
        <w:spacing w:before="0"/>
        <w:rPr>
          <w:rFonts w:cstheme="minorHAnsi"/>
        </w:rPr>
      </w:pPr>
    </w:p>
    <w:p w:rsidR="00D5771F" w:rsidRDefault="009B19CF">
      <w:pPr>
        <w:pStyle w:val="Heading3"/>
        <w:tabs>
          <w:tab w:val="clear" w:pos="720"/>
        </w:tabs>
        <w:spacing w:after="120"/>
        <w:ind w:left="993" w:hanging="993"/>
        <w:rPr>
          <w:rFonts w:asciiTheme="minorHAnsi" w:hAnsiTheme="minorHAnsi" w:cstheme="minorHAnsi"/>
        </w:rPr>
      </w:pPr>
      <w:r>
        <w:rPr>
          <w:szCs w:val="24"/>
        </w:rPr>
        <w:t>The Commission in its Tariff Orders for FY 2014-15 and FY 2015-16 for the State Discoms has allowed carrying cost with an interest rate of 10% on regulatory assets accumulated over the years. Hon’ble APTEL in its various Judgments has also held that sufficient carrying cost should be entitled to the Distribution Licensees for the regulatory assets. The Commission has been considering 12.50% as rate of interest for calculating the interest on working capital. So, the Commission is of the view that the Discoms should be allowed carrying cost at a rate same as that of interest on working capital. Thus, the Commission in this Order has considered rate of 12.50% while calculating carrying cost of the regulatory assets.</w:t>
      </w:r>
    </w:p>
    <w:p w:rsidR="00D5771F" w:rsidRDefault="009B19CF">
      <w:pPr>
        <w:pStyle w:val="Heading3"/>
        <w:tabs>
          <w:tab w:val="clear" w:pos="720"/>
        </w:tabs>
        <w:ind w:left="993" w:hanging="993"/>
        <w:rPr>
          <w:rFonts w:asciiTheme="minorHAnsi" w:hAnsiTheme="minorHAnsi" w:cstheme="minorHAnsi"/>
        </w:rPr>
      </w:pPr>
      <w:r w:rsidRPr="00C60AD1">
        <w:t>It may be observed that even after a considerable increase in Tariff allowed by the Commission in this Order, there is still a large accumulated revenue gap. The huge and ever increasing cumulative revenue gap to be recovered from the consumers is a matter of great concern for the Commission as well as the Licensees.</w:t>
      </w:r>
      <w:r>
        <w:t xml:space="preserve"> As discussed in the regulatory surcharge chapter the Discoms </w:t>
      </w:r>
      <w:r>
        <w:lastRenderedPageBreak/>
        <w:t>despite the directions, Orders, reminders and follow up by the Commission have not submitted the actual amount recovered under Regulatory Surcharge-1 (RS-1) and Regulatory Surcharge-2 (RS-2) separately as a result of which the Commission could not make computations for determination of Regulatory Surharge-2 to be made applicable for FY 2016-17.</w:t>
      </w:r>
    </w:p>
    <w:p w:rsidR="000D14AF" w:rsidRPr="000D14AF" w:rsidRDefault="003F0D35" w:rsidP="005B1438">
      <w:pPr>
        <w:pStyle w:val="Heading3"/>
        <w:numPr>
          <w:ilvl w:val="2"/>
          <w:numId w:val="5"/>
        </w:numPr>
        <w:tabs>
          <w:tab w:val="clear" w:pos="720"/>
        </w:tabs>
        <w:spacing w:after="120"/>
        <w:ind w:left="993" w:hanging="993"/>
        <w:rPr>
          <w:rFonts w:asciiTheme="minorHAnsi" w:hAnsiTheme="minorHAnsi" w:cstheme="minorHAnsi"/>
        </w:rPr>
      </w:pPr>
      <w:r w:rsidRPr="003F0D35">
        <w:t xml:space="preserve">Thus, </w:t>
      </w:r>
      <w:r w:rsidRPr="003F0D35">
        <w:rPr>
          <w:rFonts w:asciiTheme="minorHAnsi" w:hAnsiTheme="minorHAnsi" w:cstheme="minorHAnsi"/>
          <w:szCs w:val="24"/>
        </w:rPr>
        <w:t xml:space="preserve">the </w:t>
      </w:r>
      <w:r w:rsidRPr="003F0D35">
        <w:t>Commission</w:t>
      </w:r>
      <w:r w:rsidR="000D14AF" w:rsidRPr="00C60AD1">
        <w:t xml:space="preserve"> for liquidation of the Regulatory asset for past years</w:t>
      </w:r>
      <w:r w:rsidR="00AA038B">
        <w:t xml:space="preserve"> </w:t>
      </w:r>
      <w:r w:rsidR="000D14AF">
        <w:rPr>
          <w:rFonts w:asciiTheme="minorHAnsi" w:hAnsiTheme="minorHAnsi" w:cstheme="minorHAnsi"/>
          <w:b/>
          <w:szCs w:val="24"/>
        </w:rPr>
        <w:t xml:space="preserve">directs </w:t>
      </w:r>
      <w:r w:rsidR="000D14AF" w:rsidRPr="00A04692">
        <w:rPr>
          <w:rFonts w:asciiTheme="minorHAnsi" w:hAnsiTheme="minorHAnsi" w:cstheme="minorHAnsi"/>
          <w:b/>
          <w:szCs w:val="24"/>
        </w:rPr>
        <w:t>DVVNL, MVVNL</w:t>
      </w:r>
      <w:r w:rsidR="00B63E46">
        <w:rPr>
          <w:rFonts w:asciiTheme="minorHAnsi" w:hAnsiTheme="minorHAnsi" w:cstheme="minorHAnsi"/>
          <w:b/>
          <w:szCs w:val="24"/>
        </w:rPr>
        <w:t xml:space="preserve"> </w:t>
      </w:r>
      <w:r w:rsidR="000D14AF" w:rsidRPr="00A04692">
        <w:rPr>
          <w:rFonts w:asciiTheme="minorHAnsi" w:hAnsiTheme="minorHAnsi" w:cstheme="minorHAnsi"/>
          <w:b/>
          <w:szCs w:val="24"/>
        </w:rPr>
        <w:t xml:space="preserve">and PuVVNL to continue levy of Regulatory Surcharge-2 </w:t>
      </w:r>
      <w:r w:rsidR="000D14AF">
        <w:rPr>
          <w:rFonts w:asciiTheme="minorHAnsi" w:hAnsiTheme="minorHAnsi" w:cstheme="minorHAnsi"/>
          <w:b/>
          <w:szCs w:val="24"/>
        </w:rPr>
        <w:t xml:space="preserve">for FY 2016-17 </w:t>
      </w:r>
      <w:r w:rsidR="000D14AF" w:rsidRPr="00A04692">
        <w:rPr>
          <w:rFonts w:asciiTheme="minorHAnsi" w:hAnsiTheme="minorHAnsi" w:cstheme="minorHAnsi"/>
          <w:b/>
          <w:szCs w:val="24"/>
        </w:rPr>
        <w:t xml:space="preserve">at the </w:t>
      </w:r>
      <w:r w:rsidR="000D14AF">
        <w:rPr>
          <w:rFonts w:asciiTheme="minorHAnsi" w:hAnsiTheme="minorHAnsi" w:cstheme="minorHAnsi"/>
          <w:b/>
          <w:szCs w:val="24"/>
        </w:rPr>
        <w:t xml:space="preserve">same </w:t>
      </w:r>
      <w:r w:rsidR="000D14AF" w:rsidRPr="00A04692">
        <w:rPr>
          <w:rFonts w:asciiTheme="minorHAnsi" w:hAnsiTheme="minorHAnsi" w:cstheme="minorHAnsi"/>
          <w:b/>
          <w:szCs w:val="24"/>
        </w:rPr>
        <w:t xml:space="preserve">rate </w:t>
      </w:r>
      <w:r w:rsidR="000D14AF">
        <w:rPr>
          <w:rFonts w:asciiTheme="minorHAnsi" w:hAnsiTheme="minorHAnsi" w:cstheme="minorHAnsi"/>
          <w:b/>
          <w:szCs w:val="24"/>
        </w:rPr>
        <w:t xml:space="preserve">as </w:t>
      </w:r>
      <w:r w:rsidR="000D14AF" w:rsidRPr="00A04692">
        <w:rPr>
          <w:rFonts w:asciiTheme="minorHAnsi" w:hAnsiTheme="minorHAnsi" w:cstheme="minorHAnsi"/>
          <w:b/>
          <w:szCs w:val="24"/>
        </w:rPr>
        <w:t>specified in the Tariff Order for FY 2015-16 i.e. 4.28% till issuance of further Order in this regard.</w:t>
      </w:r>
    </w:p>
    <w:p w:rsidR="000D14AF" w:rsidRPr="000D14AF" w:rsidRDefault="000D14AF" w:rsidP="005B1438">
      <w:pPr>
        <w:pStyle w:val="Heading3"/>
        <w:numPr>
          <w:ilvl w:val="2"/>
          <w:numId w:val="5"/>
        </w:numPr>
        <w:tabs>
          <w:tab w:val="clear" w:pos="720"/>
        </w:tabs>
        <w:spacing w:after="120"/>
        <w:ind w:left="993" w:hanging="993"/>
        <w:rPr>
          <w:rFonts w:asciiTheme="minorHAnsi" w:hAnsiTheme="minorHAnsi" w:cstheme="minorHAnsi"/>
        </w:rPr>
      </w:pPr>
      <w:r>
        <w:t>It has been observed that there will be over recovery for PVVNL if Regulatory Surcharge</w:t>
      </w:r>
      <w:r w:rsidR="00B63E46">
        <w:t>-2</w:t>
      </w:r>
      <w:r>
        <w:t xml:space="preserve"> is allowed to be recovered at the same rate of 4.28% as that for PuVVNL, DVVNL and MVVNL applicable for the period of applicability of Tariff Order for FY 2016-17. Regulatory Surcharge is being levied on the consumers for recovery of regulatory asset created out of past revenue gaps. Once the Regulatory Asset is fully recovered then the consumers should not be liable to pay any Regulatory Surcharge which is also in line with the principles of natural justice and Electricity Act, 2003.</w:t>
      </w:r>
    </w:p>
    <w:p w:rsidR="00337C98" w:rsidRDefault="000D14AF" w:rsidP="00337C98">
      <w:pPr>
        <w:pStyle w:val="Heading3"/>
        <w:numPr>
          <w:ilvl w:val="2"/>
          <w:numId w:val="5"/>
        </w:numPr>
        <w:tabs>
          <w:tab w:val="clear" w:pos="720"/>
        </w:tabs>
        <w:spacing w:after="120"/>
        <w:ind w:left="993" w:hanging="993"/>
        <w:rPr>
          <w:rFonts w:asciiTheme="minorHAnsi" w:hAnsiTheme="minorHAnsi" w:cstheme="minorHAnsi"/>
        </w:rPr>
      </w:pPr>
      <w:r>
        <w:t>The Commission has analysed that if the rate of Regulatory Surcharge</w:t>
      </w:r>
      <w:r w:rsidR="00B63E46">
        <w:t>-2</w:t>
      </w:r>
      <w:r>
        <w:t xml:space="preserve"> applicable to the consumers of PVVNL is reduced by 1.</w:t>
      </w:r>
      <w:r w:rsidR="00DE2B4B">
        <w:t>25</w:t>
      </w:r>
      <w:r>
        <w:t>% over the current rate of 4.28% i.e. if the Regulatory Surcharge</w:t>
      </w:r>
      <w:r w:rsidR="00B63E46">
        <w:t>-2</w:t>
      </w:r>
      <w:r>
        <w:t xml:space="preserve"> applicable to the consumers of PVVNL is limited to </w:t>
      </w:r>
      <w:r w:rsidR="00DE2B4B">
        <w:t>3.03</w:t>
      </w:r>
      <w:r>
        <w:t>% then there will be full recovery of the regulatory asset during FY 2016-17.</w:t>
      </w:r>
      <w:r w:rsidR="009362F9">
        <w:t xml:space="preserve">  </w:t>
      </w:r>
      <w:r>
        <w:t>In this manner by keeping the retail tariff same for all the State Discoms and by varying only a percentage of Regulatory Surcharge</w:t>
      </w:r>
      <w:r w:rsidR="00B63E46">
        <w:t>-2</w:t>
      </w:r>
      <w:r>
        <w:t xml:space="preserve"> levied for recovery of past revenue gap, it will be ensured that the PVVNL is not allowed excess recovery.</w:t>
      </w:r>
      <w:r w:rsidR="00AE367D" w:rsidRPr="002F69C6">
        <w:rPr>
          <w:rFonts w:asciiTheme="minorHAnsi" w:hAnsiTheme="minorHAnsi" w:cstheme="minorHAnsi"/>
          <w:b/>
          <w:szCs w:val="24"/>
        </w:rPr>
        <w:t>Thus, f</w:t>
      </w:r>
      <w:r w:rsidR="00B63E46">
        <w:rPr>
          <w:rFonts w:asciiTheme="minorHAnsi" w:hAnsiTheme="minorHAnsi" w:cstheme="minorHAnsi"/>
          <w:b/>
          <w:szCs w:val="24"/>
        </w:rPr>
        <w:t>or PVVNL the Regulatory Surch</w:t>
      </w:r>
      <w:r w:rsidRPr="002F69C6">
        <w:rPr>
          <w:rFonts w:asciiTheme="minorHAnsi" w:hAnsiTheme="minorHAnsi" w:cstheme="minorHAnsi"/>
          <w:b/>
          <w:szCs w:val="24"/>
        </w:rPr>
        <w:t>arge</w:t>
      </w:r>
      <w:r w:rsidR="00B63E46">
        <w:rPr>
          <w:rFonts w:asciiTheme="minorHAnsi" w:hAnsiTheme="minorHAnsi" w:cstheme="minorHAnsi"/>
          <w:b/>
          <w:szCs w:val="24"/>
        </w:rPr>
        <w:t>-2</w:t>
      </w:r>
      <w:r w:rsidRPr="002F69C6">
        <w:rPr>
          <w:rFonts w:asciiTheme="minorHAnsi" w:hAnsiTheme="minorHAnsi" w:cstheme="minorHAnsi"/>
          <w:b/>
          <w:szCs w:val="24"/>
        </w:rPr>
        <w:t xml:space="preserve"> applicable for FY 2016-17 shall be </w:t>
      </w:r>
      <w:r w:rsidR="00DE2B4B">
        <w:rPr>
          <w:rFonts w:asciiTheme="minorHAnsi" w:hAnsiTheme="minorHAnsi" w:cstheme="minorHAnsi"/>
          <w:b/>
          <w:szCs w:val="24"/>
        </w:rPr>
        <w:t>3.03</w:t>
      </w:r>
      <w:r w:rsidRPr="002F69C6">
        <w:rPr>
          <w:rFonts w:asciiTheme="minorHAnsi" w:hAnsiTheme="minorHAnsi" w:cstheme="minorHAnsi"/>
          <w:b/>
          <w:szCs w:val="24"/>
        </w:rPr>
        <w:t xml:space="preserve">% in view of total liquidation of </w:t>
      </w:r>
      <w:r w:rsidR="00AE367D" w:rsidRPr="002F69C6">
        <w:rPr>
          <w:rFonts w:asciiTheme="minorHAnsi" w:hAnsiTheme="minorHAnsi" w:cstheme="minorHAnsi"/>
          <w:b/>
          <w:szCs w:val="24"/>
        </w:rPr>
        <w:t xml:space="preserve">its </w:t>
      </w:r>
      <w:r w:rsidRPr="002F69C6">
        <w:rPr>
          <w:rFonts w:asciiTheme="minorHAnsi" w:hAnsiTheme="minorHAnsi" w:cstheme="minorHAnsi"/>
          <w:b/>
          <w:szCs w:val="24"/>
        </w:rPr>
        <w:t>regulatory assets during FY 2016-17.</w:t>
      </w:r>
      <w:r w:rsidR="00337C98" w:rsidRPr="00337C98">
        <w:rPr>
          <w:rFonts w:asciiTheme="minorHAnsi" w:hAnsiTheme="minorHAnsi" w:cstheme="minorHAnsi"/>
          <w:szCs w:val="24"/>
        </w:rPr>
        <w:t xml:space="preserve"> </w:t>
      </w:r>
    </w:p>
    <w:p w:rsidR="00337C98" w:rsidRPr="00337C98" w:rsidRDefault="00337C98" w:rsidP="00337C98">
      <w:pPr>
        <w:pStyle w:val="Heading3"/>
        <w:numPr>
          <w:ilvl w:val="2"/>
          <w:numId w:val="5"/>
        </w:numPr>
        <w:tabs>
          <w:tab w:val="clear" w:pos="720"/>
        </w:tabs>
        <w:spacing w:after="120"/>
        <w:ind w:left="993" w:hanging="993"/>
        <w:rPr>
          <w:rFonts w:asciiTheme="minorHAnsi" w:hAnsiTheme="minorHAnsi" w:cstheme="minorHAnsi"/>
        </w:rPr>
      </w:pPr>
      <w:r w:rsidRPr="00337C98">
        <w:rPr>
          <w:rFonts w:asciiTheme="minorHAnsi" w:hAnsiTheme="minorHAnsi" w:cstheme="minorHAnsi"/>
          <w:szCs w:val="24"/>
        </w:rPr>
        <w:t xml:space="preserve">Further, </w:t>
      </w:r>
      <w:r w:rsidR="009362F9" w:rsidRPr="009362F9">
        <w:rPr>
          <w:rFonts w:asciiTheme="minorHAnsi" w:hAnsiTheme="minorHAnsi" w:cstheme="minorHAnsi"/>
          <w:szCs w:val="24"/>
        </w:rPr>
        <w:t>t</w:t>
      </w:r>
      <w:r w:rsidR="009362F9" w:rsidRPr="00E34329">
        <w:rPr>
          <w:rFonts w:asciiTheme="minorHAnsi" w:hAnsiTheme="minorHAnsi" w:cstheme="minorHAnsi"/>
          <w:szCs w:val="24"/>
        </w:rPr>
        <w:t>he Petitioner has submitted that given the significant amount of revenue gap, the whole impact may</w:t>
      </w:r>
      <w:r w:rsidR="009362F9">
        <w:rPr>
          <w:rFonts w:asciiTheme="minorHAnsi" w:hAnsiTheme="minorHAnsi" w:cstheme="minorHAnsi"/>
          <w:szCs w:val="24"/>
        </w:rPr>
        <w:t xml:space="preserve"> </w:t>
      </w:r>
      <w:r w:rsidR="009362F9" w:rsidRPr="00E34329">
        <w:rPr>
          <w:rFonts w:asciiTheme="minorHAnsi" w:hAnsiTheme="minorHAnsi" w:cstheme="minorHAnsi"/>
          <w:szCs w:val="24"/>
        </w:rPr>
        <w:t xml:space="preserve">not be able to be passed through a revision in retail tariffs, as it may lead to massive tariff shock. In view, of the same the Petitioner has requested the Commission to find out a suitable way in which the Petitioner can recover its revenue gap and also the least burden can be passed on to the retail consumers to protect them from tariff shock. The Commission </w:t>
      </w:r>
      <w:r w:rsidR="00BA4BF9">
        <w:rPr>
          <w:rFonts w:asciiTheme="minorHAnsi" w:hAnsiTheme="minorHAnsi" w:cstheme="minorHAnsi"/>
          <w:szCs w:val="24"/>
        </w:rPr>
        <w:t>direct</w:t>
      </w:r>
      <w:r w:rsidR="009362F9" w:rsidRPr="00E34329">
        <w:rPr>
          <w:rFonts w:asciiTheme="minorHAnsi" w:hAnsiTheme="minorHAnsi" w:cstheme="minorHAnsi"/>
          <w:szCs w:val="24"/>
        </w:rPr>
        <w:t xml:space="preserve">s that the Petitioner </w:t>
      </w:r>
      <w:r w:rsidR="00BA4BF9">
        <w:rPr>
          <w:rFonts w:asciiTheme="minorHAnsi" w:hAnsiTheme="minorHAnsi" w:cstheme="minorHAnsi"/>
          <w:szCs w:val="24"/>
        </w:rPr>
        <w:t>to</w:t>
      </w:r>
      <w:r w:rsidR="009362F9" w:rsidRPr="00E34329">
        <w:rPr>
          <w:rFonts w:asciiTheme="minorHAnsi" w:hAnsiTheme="minorHAnsi" w:cstheme="minorHAnsi"/>
          <w:szCs w:val="24"/>
        </w:rPr>
        <w:t xml:space="preserve"> optimally utilize its resources and undertake various efficiency improvement measures to recover its </w:t>
      </w:r>
      <w:r w:rsidR="009362F9" w:rsidRPr="00E34329">
        <w:rPr>
          <w:rFonts w:asciiTheme="minorHAnsi" w:hAnsiTheme="minorHAnsi" w:cstheme="minorHAnsi"/>
          <w:szCs w:val="24"/>
        </w:rPr>
        <w:lastRenderedPageBreak/>
        <w:t>revenue gap for FY 2016-17, which is the best way possible to recover the balance gap thereby passing least burden to the consumers.</w:t>
      </w:r>
      <w:r w:rsidR="009362F9">
        <w:rPr>
          <w:rFonts w:asciiTheme="minorHAnsi" w:hAnsiTheme="minorHAnsi" w:cstheme="minorHAnsi"/>
          <w:szCs w:val="24"/>
        </w:rPr>
        <w:t xml:space="preserve"> </w:t>
      </w:r>
    </w:p>
    <w:p w:rsidR="006C63AF" w:rsidRDefault="005B1438" w:rsidP="006C63AF">
      <w:pPr>
        <w:pStyle w:val="Heading3"/>
        <w:numPr>
          <w:ilvl w:val="2"/>
          <w:numId w:val="5"/>
        </w:numPr>
        <w:tabs>
          <w:tab w:val="clear" w:pos="720"/>
        </w:tabs>
        <w:spacing w:after="120"/>
        <w:ind w:left="993" w:hanging="993"/>
        <w:rPr>
          <w:rFonts w:asciiTheme="minorHAnsi" w:hAnsiTheme="minorHAnsi" w:cstheme="minorHAnsi"/>
        </w:rPr>
      </w:pPr>
      <w:r w:rsidRPr="00C60AD1">
        <w:t>The detail</w:t>
      </w:r>
      <w:r w:rsidR="002F69C6">
        <w:t xml:space="preserve">ed calculation </w:t>
      </w:r>
      <w:r w:rsidR="006B6277">
        <w:t xml:space="preserve">of Regulatory Surcharge and regulatory assets </w:t>
      </w:r>
      <w:r w:rsidR="002F69C6">
        <w:t>for the 4 State Discoms (DVVNL, MVVNL, PuVVNL and PVVNL)</w:t>
      </w:r>
      <w:r w:rsidRPr="00C60AD1">
        <w:t xml:space="preserve"> are provided in the table below:</w:t>
      </w:r>
    </w:p>
    <w:p w:rsidR="009B19CF" w:rsidRPr="00F67978" w:rsidRDefault="006C63AF" w:rsidP="009B19CF">
      <w:pPr>
        <w:pStyle w:val="Heading3"/>
        <w:numPr>
          <w:ilvl w:val="0"/>
          <w:numId w:val="0"/>
        </w:numPr>
        <w:ind w:left="936"/>
        <w:jc w:val="center"/>
        <w:rPr>
          <w:rFonts w:asciiTheme="minorHAnsi" w:hAnsiTheme="minorHAnsi" w:cstheme="minorHAnsi"/>
          <w:b/>
          <w:sz w:val="22"/>
          <w:szCs w:val="24"/>
        </w:rPr>
      </w:pPr>
      <w:bookmarkStart w:id="1848" w:name="_Toc457604093"/>
      <w:r w:rsidRPr="006C63AF">
        <w:rPr>
          <w:rFonts w:asciiTheme="minorHAnsi" w:hAnsiTheme="minorHAnsi" w:cstheme="minorHAnsi"/>
          <w:b/>
          <w:sz w:val="22"/>
          <w:szCs w:val="24"/>
        </w:rPr>
        <w:t>Table 8</w:t>
      </w:r>
      <w:r w:rsidRPr="006C63AF">
        <w:rPr>
          <w:rFonts w:asciiTheme="minorHAnsi" w:hAnsiTheme="minorHAnsi" w:cstheme="minorHAnsi"/>
          <w:b/>
          <w:sz w:val="22"/>
          <w:szCs w:val="24"/>
        </w:rPr>
        <w:noBreakHyphen/>
      </w:r>
      <w:r w:rsidR="009741CA" w:rsidRPr="006C63AF">
        <w:rPr>
          <w:rFonts w:asciiTheme="minorHAnsi" w:hAnsiTheme="minorHAnsi" w:cstheme="minorHAnsi"/>
          <w:b/>
          <w:sz w:val="22"/>
          <w:szCs w:val="24"/>
        </w:rPr>
        <w:fldChar w:fldCharType="begin"/>
      </w:r>
      <w:r w:rsidRPr="006C63AF">
        <w:rPr>
          <w:rFonts w:asciiTheme="minorHAnsi" w:hAnsiTheme="minorHAnsi" w:cstheme="minorHAnsi"/>
          <w:b/>
          <w:sz w:val="22"/>
          <w:szCs w:val="24"/>
        </w:rPr>
        <w:instrText xml:space="preserve"> SEQ Table \* ARABIC \s 1 </w:instrText>
      </w:r>
      <w:r w:rsidR="009741CA" w:rsidRPr="006C63AF">
        <w:rPr>
          <w:rFonts w:asciiTheme="minorHAnsi" w:hAnsiTheme="minorHAnsi" w:cstheme="minorHAnsi"/>
          <w:b/>
          <w:sz w:val="22"/>
          <w:szCs w:val="24"/>
        </w:rPr>
        <w:fldChar w:fldCharType="separate"/>
      </w:r>
      <w:r w:rsidR="00BA08F0">
        <w:rPr>
          <w:rFonts w:asciiTheme="minorHAnsi" w:hAnsiTheme="minorHAnsi" w:cstheme="minorHAnsi"/>
          <w:b/>
          <w:noProof/>
          <w:sz w:val="22"/>
          <w:szCs w:val="24"/>
        </w:rPr>
        <w:t>6</w:t>
      </w:r>
      <w:r w:rsidR="009741CA" w:rsidRPr="006C63AF">
        <w:rPr>
          <w:rFonts w:asciiTheme="minorHAnsi" w:hAnsiTheme="minorHAnsi" w:cstheme="minorHAnsi"/>
          <w:b/>
          <w:sz w:val="22"/>
          <w:szCs w:val="24"/>
        </w:rPr>
        <w:fldChar w:fldCharType="end"/>
      </w:r>
      <w:r w:rsidRPr="006C63AF">
        <w:rPr>
          <w:rFonts w:asciiTheme="minorHAnsi" w:hAnsiTheme="minorHAnsi" w:cstheme="minorHAnsi"/>
          <w:b/>
          <w:sz w:val="22"/>
          <w:szCs w:val="24"/>
        </w:rPr>
        <w:t>:</w:t>
      </w:r>
      <w:r w:rsidRPr="006C63AF">
        <w:rPr>
          <w:rFonts w:asciiTheme="minorHAnsi" w:hAnsiTheme="minorHAnsi" w:cstheme="minorHAnsi"/>
          <w:sz w:val="22"/>
          <w:szCs w:val="24"/>
        </w:rPr>
        <w:t xml:space="preserve"> </w:t>
      </w:r>
      <w:r w:rsidRPr="006C63AF">
        <w:rPr>
          <w:rFonts w:asciiTheme="minorHAnsi" w:hAnsiTheme="minorHAnsi" w:cstheme="minorHAnsi"/>
          <w:b/>
          <w:sz w:val="22"/>
          <w:szCs w:val="24"/>
        </w:rPr>
        <w:t>REGULATORY SURCHARGE FOR FY 2016-17</w:t>
      </w:r>
      <w:bookmarkEnd w:id="1848"/>
    </w:p>
    <w:tbl>
      <w:tblPr>
        <w:tblW w:w="5622" w:type="pct"/>
        <w:jc w:val="center"/>
        <w:tblInd w:w="-10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328"/>
        <w:gridCol w:w="1261"/>
        <w:gridCol w:w="1261"/>
        <w:gridCol w:w="1263"/>
        <w:gridCol w:w="1261"/>
        <w:gridCol w:w="1616"/>
      </w:tblGrid>
      <w:tr w:rsidR="005B1438" w:rsidRPr="009B19CF" w:rsidTr="000355BC">
        <w:trPr>
          <w:trHeight w:val="600"/>
          <w:tblHeader/>
          <w:jc w:val="center"/>
        </w:trPr>
        <w:tc>
          <w:tcPr>
            <w:tcW w:w="1666" w:type="pct"/>
            <w:shd w:val="clear" w:color="auto" w:fill="DBE5F1" w:themeFill="accent1" w:themeFillTint="33"/>
            <w:hideMark/>
          </w:tcPr>
          <w:p w:rsidR="005B1438" w:rsidRDefault="005B1438" w:rsidP="000355BC">
            <w:pPr>
              <w:spacing w:before="0" w:line="240" w:lineRule="auto"/>
              <w:jc w:val="center"/>
              <w:rPr>
                <w:rFonts w:asciiTheme="minorHAnsi" w:hAnsiTheme="minorHAnsi"/>
                <w:b/>
                <w:bCs/>
                <w:color w:val="000000"/>
                <w:sz w:val="22"/>
                <w:szCs w:val="22"/>
                <w:lang w:val="en-IN" w:eastAsia="en-IN"/>
              </w:rPr>
            </w:pPr>
            <w:r w:rsidRPr="00A04692">
              <w:rPr>
                <w:rFonts w:asciiTheme="minorHAnsi" w:hAnsiTheme="minorHAnsi"/>
                <w:b/>
                <w:bCs/>
                <w:color w:val="000000"/>
                <w:sz w:val="22"/>
                <w:szCs w:val="22"/>
                <w:lang w:val="en-IN" w:eastAsia="en-IN"/>
              </w:rPr>
              <w:t>Particulars</w:t>
            </w:r>
          </w:p>
        </w:tc>
        <w:tc>
          <w:tcPr>
            <w:tcW w:w="631" w:type="pct"/>
            <w:shd w:val="clear" w:color="auto" w:fill="DBE5F1" w:themeFill="accent1" w:themeFillTint="33"/>
            <w:noWrap/>
            <w:hideMark/>
          </w:tcPr>
          <w:p w:rsidR="005B1438" w:rsidRDefault="005B1438" w:rsidP="000355BC">
            <w:pPr>
              <w:spacing w:before="0" w:line="240" w:lineRule="auto"/>
              <w:jc w:val="center"/>
              <w:rPr>
                <w:rFonts w:asciiTheme="minorHAnsi" w:hAnsiTheme="minorHAnsi"/>
                <w:b/>
                <w:bCs/>
                <w:color w:val="000000"/>
                <w:sz w:val="22"/>
                <w:szCs w:val="22"/>
                <w:lang w:val="en-IN" w:eastAsia="en-IN"/>
              </w:rPr>
            </w:pPr>
            <w:r w:rsidRPr="00A04692">
              <w:rPr>
                <w:rFonts w:asciiTheme="minorHAnsi" w:hAnsiTheme="minorHAnsi"/>
                <w:b/>
                <w:bCs/>
                <w:color w:val="000000"/>
                <w:sz w:val="22"/>
                <w:szCs w:val="22"/>
                <w:lang w:val="en-IN" w:eastAsia="en-IN"/>
              </w:rPr>
              <w:t>PVVNL</w:t>
            </w:r>
          </w:p>
        </w:tc>
        <w:tc>
          <w:tcPr>
            <w:tcW w:w="631" w:type="pct"/>
            <w:shd w:val="clear" w:color="auto" w:fill="DBE5F1" w:themeFill="accent1" w:themeFillTint="33"/>
            <w:noWrap/>
            <w:hideMark/>
          </w:tcPr>
          <w:p w:rsidR="005B1438" w:rsidRDefault="005B1438" w:rsidP="000355BC">
            <w:pPr>
              <w:spacing w:before="0" w:line="240" w:lineRule="auto"/>
              <w:jc w:val="center"/>
              <w:rPr>
                <w:rFonts w:asciiTheme="minorHAnsi" w:hAnsiTheme="minorHAnsi"/>
                <w:b/>
                <w:bCs/>
                <w:color w:val="000000"/>
                <w:sz w:val="22"/>
                <w:szCs w:val="22"/>
                <w:lang w:val="en-IN" w:eastAsia="en-IN"/>
              </w:rPr>
            </w:pPr>
            <w:r w:rsidRPr="00A04692">
              <w:rPr>
                <w:rFonts w:asciiTheme="minorHAnsi" w:hAnsiTheme="minorHAnsi"/>
                <w:b/>
                <w:bCs/>
                <w:color w:val="000000"/>
                <w:sz w:val="22"/>
                <w:szCs w:val="22"/>
                <w:lang w:val="en-IN" w:eastAsia="en-IN"/>
              </w:rPr>
              <w:t>MVVNL</w:t>
            </w:r>
          </w:p>
        </w:tc>
        <w:tc>
          <w:tcPr>
            <w:tcW w:w="632" w:type="pct"/>
            <w:shd w:val="clear" w:color="auto" w:fill="DBE5F1" w:themeFill="accent1" w:themeFillTint="33"/>
            <w:noWrap/>
            <w:hideMark/>
          </w:tcPr>
          <w:p w:rsidR="005B1438" w:rsidRDefault="005B1438" w:rsidP="000355BC">
            <w:pPr>
              <w:spacing w:before="0" w:line="240" w:lineRule="auto"/>
              <w:jc w:val="center"/>
              <w:rPr>
                <w:rFonts w:asciiTheme="minorHAnsi" w:hAnsiTheme="minorHAnsi"/>
                <w:b/>
                <w:bCs/>
                <w:color w:val="000000"/>
                <w:sz w:val="22"/>
                <w:szCs w:val="22"/>
                <w:lang w:val="en-IN" w:eastAsia="en-IN"/>
              </w:rPr>
            </w:pPr>
            <w:r w:rsidRPr="00A04692">
              <w:rPr>
                <w:rFonts w:asciiTheme="minorHAnsi" w:hAnsiTheme="minorHAnsi"/>
                <w:b/>
                <w:bCs/>
                <w:color w:val="000000"/>
                <w:sz w:val="22"/>
                <w:szCs w:val="22"/>
                <w:lang w:val="en-IN" w:eastAsia="en-IN"/>
              </w:rPr>
              <w:t>DVVNL</w:t>
            </w:r>
          </w:p>
        </w:tc>
        <w:tc>
          <w:tcPr>
            <w:tcW w:w="631" w:type="pct"/>
            <w:shd w:val="clear" w:color="auto" w:fill="DBE5F1" w:themeFill="accent1" w:themeFillTint="33"/>
            <w:noWrap/>
            <w:hideMark/>
          </w:tcPr>
          <w:p w:rsidR="005B1438" w:rsidRDefault="005B1438" w:rsidP="000355BC">
            <w:pPr>
              <w:spacing w:before="0" w:line="240" w:lineRule="auto"/>
              <w:jc w:val="center"/>
              <w:rPr>
                <w:rFonts w:asciiTheme="minorHAnsi" w:hAnsiTheme="minorHAnsi"/>
                <w:b/>
                <w:bCs/>
                <w:color w:val="000000"/>
                <w:sz w:val="22"/>
                <w:szCs w:val="22"/>
                <w:lang w:val="en-IN" w:eastAsia="en-IN"/>
              </w:rPr>
            </w:pPr>
            <w:r w:rsidRPr="00A04692">
              <w:rPr>
                <w:rFonts w:asciiTheme="minorHAnsi" w:hAnsiTheme="minorHAnsi"/>
                <w:b/>
                <w:bCs/>
                <w:color w:val="000000"/>
                <w:sz w:val="22"/>
                <w:szCs w:val="22"/>
                <w:lang w:val="en-IN" w:eastAsia="en-IN"/>
              </w:rPr>
              <w:t>PuVVNL</w:t>
            </w:r>
          </w:p>
        </w:tc>
        <w:tc>
          <w:tcPr>
            <w:tcW w:w="809" w:type="pct"/>
            <w:shd w:val="clear" w:color="auto" w:fill="DBE5F1" w:themeFill="accent1" w:themeFillTint="33"/>
            <w:hideMark/>
          </w:tcPr>
          <w:p w:rsidR="005B1438" w:rsidRDefault="005B1438" w:rsidP="000355BC">
            <w:pPr>
              <w:spacing w:before="0" w:line="240" w:lineRule="auto"/>
              <w:jc w:val="center"/>
              <w:rPr>
                <w:rFonts w:asciiTheme="minorHAnsi" w:hAnsiTheme="minorHAnsi"/>
                <w:b/>
                <w:bCs/>
                <w:color w:val="000000"/>
                <w:sz w:val="22"/>
                <w:szCs w:val="22"/>
                <w:lang w:val="en-IN" w:eastAsia="en-IN"/>
              </w:rPr>
            </w:pPr>
            <w:r w:rsidRPr="00A04692">
              <w:rPr>
                <w:rFonts w:asciiTheme="minorHAnsi" w:hAnsiTheme="minorHAnsi"/>
                <w:b/>
                <w:bCs/>
                <w:color w:val="000000"/>
                <w:sz w:val="22"/>
                <w:szCs w:val="22"/>
                <w:lang w:val="en-IN" w:eastAsia="en-IN"/>
              </w:rPr>
              <w:t>Consolidated for 4 Discoms</w:t>
            </w:r>
          </w:p>
        </w:tc>
      </w:tr>
      <w:tr w:rsidR="005B1438" w:rsidRPr="009B19CF" w:rsidTr="000355BC">
        <w:trPr>
          <w:trHeight w:val="300"/>
          <w:jc w:val="center"/>
        </w:trPr>
        <w:tc>
          <w:tcPr>
            <w:tcW w:w="1666" w:type="pct"/>
            <w:shd w:val="clear" w:color="000000" w:fill="FFFFFF"/>
            <w:vAlign w:val="bottom"/>
            <w:hideMark/>
          </w:tcPr>
          <w:p w:rsidR="005B1438" w:rsidRDefault="005B1438" w:rsidP="000355BC">
            <w:pPr>
              <w:spacing w:before="0" w:line="240" w:lineRule="auto"/>
              <w:rPr>
                <w:rFonts w:asciiTheme="minorHAnsi" w:hAnsiTheme="minorHAnsi"/>
                <w:color w:val="000000"/>
                <w:sz w:val="22"/>
                <w:szCs w:val="22"/>
                <w:lang w:val="en-IN" w:eastAsia="en-IN"/>
              </w:rPr>
            </w:pPr>
            <w:r>
              <w:rPr>
                <w:b/>
                <w:bCs/>
                <w:color w:val="000000"/>
                <w:sz w:val="22"/>
                <w:szCs w:val="22"/>
              </w:rPr>
              <w:t>Net Regulatory Asset after considering part recovery of Regulatory Asset admitted by the Commission in the Tariff Order for FY 2015-16 dated June 18, 2015</w:t>
            </w:r>
          </w:p>
        </w:tc>
        <w:tc>
          <w:tcPr>
            <w:tcW w:w="631"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293.74</w:t>
            </w:r>
          </w:p>
        </w:tc>
        <w:tc>
          <w:tcPr>
            <w:tcW w:w="631"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5</w:t>
            </w:r>
            <w:r>
              <w:rPr>
                <w:b/>
                <w:color w:val="000000"/>
                <w:sz w:val="22"/>
                <w:szCs w:val="22"/>
              </w:rPr>
              <w:t>,</w:t>
            </w:r>
            <w:r w:rsidRPr="006864FB">
              <w:rPr>
                <w:b/>
                <w:color w:val="000000"/>
                <w:sz w:val="22"/>
                <w:szCs w:val="22"/>
              </w:rPr>
              <w:t>871.03</w:t>
            </w:r>
          </w:p>
        </w:tc>
        <w:tc>
          <w:tcPr>
            <w:tcW w:w="632"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7</w:t>
            </w:r>
            <w:r>
              <w:rPr>
                <w:b/>
                <w:color w:val="000000"/>
                <w:sz w:val="22"/>
                <w:szCs w:val="22"/>
              </w:rPr>
              <w:t>,</w:t>
            </w:r>
            <w:r w:rsidRPr="006864FB">
              <w:rPr>
                <w:b/>
                <w:color w:val="000000"/>
                <w:sz w:val="22"/>
                <w:szCs w:val="22"/>
              </w:rPr>
              <w:t>212.41</w:t>
            </w:r>
          </w:p>
        </w:tc>
        <w:tc>
          <w:tcPr>
            <w:tcW w:w="631"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6</w:t>
            </w:r>
            <w:r>
              <w:rPr>
                <w:b/>
                <w:color w:val="000000"/>
                <w:sz w:val="22"/>
                <w:szCs w:val="22"/>
              </w:rPr>
              <w:t>,</w:t>
            </w:r>
            <w:r w:rsidRPr="006864FB">
              <w:rPr>
                <w:b/>
                <w:color w:val="000000"/>
                <w:sz w:val="22"/>
                <w:szCs w:val="22"/>
              </w:rPr>
              <w:t>883.92</w:t>
            </w:r>
          </w:p>
        </w:tc>
        <w:tc>
          <w:tcPr>
            <w:tcW w:w="809"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20</w:t>
            </w:r>
            <w:r>
              <w:rPr>
                <w:b/>
                <w:color w:val="000000"/>
                <w:sz w:val="22"/>
                <w:szCs w:val="22"/>
              </w:rPr>
              <w:t>,</w:t>
            </w:r>
            <w:r w:rsidRPr="006864FB">
              <w:rPr>
                <w:b/>
                <w:color w:val="000000"/>
                <w:sz w:val="22"/>
                <w:szCs w:val="22"/>
              </w:rPr>
              <w:t>261.10</w:t>
            </w:r>
          </w:p>
        </w:tc>
      </w:tr>
      <w:tr w:rsidR="005B1438" w:rsidRPr="009B19CF" w:rsidTr="000355BC">
        <w:trPr>
          <w:trHeight w:val="300"/>
          <w:jc w:val="center"/>
        </w:trPr>
        <w:tc>
          <w:tcPr>
            <w:tcW w:w="1666" w:type="pct"/>
            <w:shd w:val="clear" w:color="000000" w:fill="FFFFFF"/>
            <w:vAlign w:val="center"/>
            <w:hideMark/>
          </w:tcPr>
          <w:p w:rsidR="005B1438" w:rsidRDefault="005B1438" w:rsidP="000355BC">
            <w:pPr>
              <w:spacing w:before="0" w:line="240" w:lineRule="auto"/>
              <w:rPr>
                <w:rFonts w:asciiTheme="minorHAnsi" w:hAnsiTheme="minorHAnsi"/>
                <w:color w:val="000000"/>
                <w:sz w:val="22"/>
                <w:szCs w:val="22"/>
                <w:lang w:val="en-IN" w:eastAsia="en-IN"/>
              </w:rPr>
            </w:pPr>
            <w:r>
              <w:rPr>
                <w:color w:val="000000"/>
                <w:sz w:val="22"/>
                <w:szCs w:val="22"/>
              </w:rPr>
              <w:t>Carrying Cost on the Regulatory Asset as admitted in Order dated  June 18, 2015 @ 12.50%</w:t>
            </w:r>
          </w:p>
        </w:tc>
        <w:tc>
          <w:tcPr>
            <w:tcW w:w="631" w:type="pct"/>
            <w:shd w:val="clear" w:color="000000" w:fill="FFFFFF"/>
            <w:noWrap/>
            <w:vAlign w:val="center"/>
            <w:hideMark/>
          </w:tcPr>
          <w:p w:rsidR="005B1438" w:rsidRDefault="005B1438" w:rsidP="000355BC">
            <w:pPr>
              <w:spacing w:before="0" w:line="240" w:lineRule="auto"/>
              <w:jc w:val="right"/>
              <w:rPr>
                <w:rFonts w:asciiTheme="minorHAnsi" w:hAnsiTheme="minorHAnsi"/>
                <w:color w:val="000000"/>
                <w:sz w:val="22"/>
                <w:szCs w:val="22"/>
                <w:lang w:val="en-IN" w:eastAsia="en-IN"/>
              </w:rPr>
            </w:pPr>
            <w:r>
              <w:rPr>
                <w:color w:val="000000"/>
                <w:sz w:val="22"/>
                <w:szCs w:val="22"/>
              </w:rPr>
              <w:t>36.72</w:t>
            </w:r>
          </w:p>
        </w:tc>
        <w:tc>
          <w:tcPr>
            <w:tcW w:w="631" w:type="pct"/>
            <w:shd w:val="clear" w:color="000000" w:fill="FFFFFF"/>
            <w:noWrap/>
            <w:vAlign w:val="center"/>
            <w:hideMark/>
          </w:tcPr>
          <w:p w:rsidR="005B1438" w:rsidRDefault="005B1438" w:rsidP="000355BC">
            <w:pPr>
              <w:spacing w:before="0" w:line="240" w:lineRule="auto"/>
              <w:jc w:val="right"/>
              <w:rPr>
                <w:rFonts w:asciiTheme="minorHAnsi" w:hAnsiTheme="minorHAnsi"/>
                <w:color w:val="000000"/>
                <w:sz w:val="22"/>
                <w:szCs w:val="22"/>
                <w:lang w:val="en-IN" w:eastAsia="en-IN"/>
              </w:rPr>
            </w:pPr>
            <w:r>
              <w:rPr>
                <w:color w:val="000000"/>
                <w:sz w:val="22"/>
                <w:szCs w:val="22"/>
              </w:rPr>
              <w:t>733.88</w:t>
            </w:r>
          </w:p>
        </w:tc>
        <w:tc>
          <w:tcPr>
            <w:tcW w:w="632" w:type="pct"/>
            <w:shd w:val="clear" w:color="000000" w:fill="FFFFFF"/>
            <w:noWrap/>
            <w:vAlign w:val="center"/>
            <w:hideMark/>
          </w:tcPr>
          <w:p w:rsidR="005B1438" w:rsidRDefault="005B1438" w:rsidP="000355BC">
            <w:pPr>
              <w:spacing w:before="0" w:line="240" w:lineRule="auto"/>
              <w:jc w:val="right"/>
              <w:rPr>
                <w:rFonts w:asciiTheme="minorHAnsi" w:hAnsiTheme="minorHAnsi"/>
                <w:color w:val="000000"/>
                <w:sz w:val="22"/>
                <w:szCs w:val="22"/>
                <w:lang w:val="en-IN" w:eastAsia="en-IN"/>
              </w:rPr>
            </w:pPr>
            <w:r>
              <w:rPr>
                <w:color w:val="000000"/>
                <w:sz w:val="22"/>
                <w:szCs w:val="22"/>
              </w:rPr>
              <w:t>901.55</w:t>
            </w:r>
          </w:p>
        </w:tc>
        <w:tc>
          <w:tcPr>
            <w:tcW w:w="631" w:type="pct"/>
            <w:shd w:val="clear" w:color="000000" w:fill="FFFFFF"/>
            <w:noWrap/>
            <w:vAlign w:val="center"/>
            <w:hideMark/>
          </w:tcPr>
          <w:p w:rsidR="005B1438" w:rsidRDefault="005B1438" w:rsidP="000355BC">
            <w:pPr>
              <w:spacing w:before="0" w:line="240" w:lineRule="auto"/>
              <w:jc w:val="right"/>
              <w:rPr>
                <w:rFonts w:asciiTheme="minorHAnsi" w:hAnsiTheme="minorHAnsi"/>
                <w:color w:val="000000"/>
                <w:sz w:val="22"/>
                <w:szCs w:val="22"/>
                <w:lang w:val="en-IN" w:eastAsia="en-IN"/>
              </w:rPr>
            </w:pPr>
            <w:r>
              <w:rPr>
                <w:color w:val="000000"/>
                <w:sz w:val="22"/>
                <w:szCs w:val="22"/>
              </w:rPr>
              <w:t>860.49</w:t>
            </w:r>
          </w:p>
        </w:tc>
        <w:tc>
          <w:tcPr>
            <w:tcW w:w="809" w:type="pct"/>
            <w:shd w:val="clear" w:color="000000" w:fill="FFFFFF"/>
            <w:noWrap/>
            <w:vAlign w:val="center"/>
            <w:hideMark/>
          </w:tcPr>
          <w:p w:rsidR="005B1438" w:rsidRDefault="005B1438" w:rsidP="000355BC">
            <w:pPr>
              <w:spacing w:before="0" w:line="240" w:lineRule="auto"/>
              <w:jc w:val="right"/>
              <w:rPr>
                <w:rFonts w:asciiTheme="minorHAnsi" w:hAnsiTheme="minorHAnsi"/>
                <w:color w:val="000000"/>
                <w:sz w:val="22"/>
                <w:szCs w:val="22"/>
                <w:lang w:val="en-IN" w:eastAsia="en-IN"/>
              </w:rPr>
            </w:pPr>
            <w:r>
              <w:rPr>
                <w:color w:val="000000"/>
                <w:sz w:val="22"/>
                <w:szCs w:val="22"/>
              </w:rPr>
              <w:t>2,532.64</w:t>
            </w:r>
          </w:p>
        </w:tc>
      </w:tr>
      <w:tr w:rsidR="005B1438" w:rsidRPr="009B19CF" w:rsidTr="000355BC">
        <w:trPr>
          <w:trHeight w:val="600"/>
          <w:jc w:val="center"/>
        </w:trPr>
        <w:tc>
          <w:tcPr>
            <w:tcW w:w="1666" w:type="pct"/>
            <w:shd w:val="clear" w:color="000000" w:fill="FFFFFF"/>
            <w:vAlign w:val="center"/>
            <w:hideMark/>
          </w:tcPr>
          <w:p w:rsidR="005B1438" w:rsidRDefault="005B1438" w:rsidP="000355BC">
            <w:pPr>
              <w:spacing w:before="0" w:line="240" w:lineRule="auto"/>
              <w:rPr>
                <w:rFonts w:asciiTheme="minorHAnsi" w:hAnsiTheme="minorHAnsi"/>
                <w:color w:val="000000"/>
                <w:sz w:val="22"/>
                <w:szCs w:val="22"/>
                <w:lang w:val="en-IN" w:eastAsia="en-IN"/>
              </w:rPr>
            </w:pPr>
            <w:r>
              <w:rPr>
                <w:b/>
                <w:bCs/>
                <w:color w:val="000000"/>
                <w:sz w:val="22"/>
                <w:szCs w:val="22"/>
              </w:rPr>
              <w:t>Total Regulatory Asset (Including Carrying Cost)</w:t>
            </w:r>
          </w:p>
        </w:tc>
        <w:tc>
          <w:tcPr>
            <w:tcW w:w="631"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330.46</w:t>
            </w:r>
          </w:p>
        </w:tc>
        <w:tc>
          <w:tcPr>
            <w:tcW w:w="631"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6</w:t>
            </w:r>
            <w:r>
              <w:rPr>
                <w:b/>
                <w:color w:val="000000"/>
                <w:sz w:val="22"/>
                <w:szCs w:val="22"/>
              </w:rPr>
              <w:t>,</w:t>
            </w:r>
            <w:r w:rsidRPr="006864FB">
              <w:rPr>
                <w:b/>
                <w:color w:val="000000"/>
                <w:sz w:val="22"/>
                <w:szCs w:val="22"/>
              </w:rPr>
              <w:t>604.91</w:t>
            </w:r>
          </w:p>
        </w:tc>
        <w:tc>
          <w:tcPr>
            <w:tcW w:w="632"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8</w:t>
            </w:r>
            <w:r>
              <w:rPr>
                <w:b/>
                <w:color w:val="000000"/>
                <w:sz w:val="22"/>
                <w:szCs w:val="22"/>
              </w:rPr>
              <w:t>,</w:t>
            </w:r>
            <w:r w:rsidRPr="006864FB">
              <w:rPr>
                <w:b/>
                <w:color w:val="000000"/>
                <w:sz w:val="22"/>
                <w:szCs w:val="22"/>
              </w:rPr>
              <w:t>113.96</w:t>
            </w:r>
          </w:p>
        </w:tc>
        <w:tc>
          <w:tcPr>
            <w:tcW w:w="631"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7</w:t>
            </w:r>
            <w:r>
              <w:rPr>
                <w:b/>
                <w:color w:val="000000"/>
                <w:sz w:val="22"/>
                <w:szCs w:val="22"/>
              </w:rPr>
              <w:t>,</w:t>
            </w:r>
            <w:r w:rsidRPr="006864FB">
              <w:rPr>
                <w:b/>
                <w:color w:val="000000"/>
                <w:sz w:val="22"/>
                <w:szCs w:val="22"/>
              </w:rPr>
              <w:t>744.41</w:t>
            </w:r>
          </w:p>
        </w:tc>
        <w:tc>
          <w:tcPr>
            <w:tcW w:w="809"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22</w:t>
            </w:r>
            <w:r>
              <w:rPr>
                <w:b/>
                <w:color w:val="000000"/>
                <w:sz w:val="22"/>
                <w:szCs w:val="22"/>
              </w:rPr>
              <w:t>,</w:t>
            </w:r>
            <w:r w:rsidRPr="006864FB">
              <w:rPr>
                <w:b/>
                <w:color w:val="000000"/>
                <w:sz w:val="22"/>
                <w:szCs w:val="22"/>
              </w:rPr>
              <w:t>793.73</w:t>
            </w:r>
          </w:p>
        </w:tc>
      </w:tr>
      <w:tr w:rsidR="00396FDF" w:rsidRPr="009B19CF" w:rsidTr="00CC6609">
        <w:trPr>
          <w:trHeight w:val="600"/>
          <w:jc w:val="center"/>
        </w:trPr>
        <w:tc>
          <w:tcPr>
            <w:tcW w:w="1666" w:type="pct"/>
            <w:shd w:val="clear" w:color="000000" w:fill="FFFFFF"/>
            <w:vAlign w:val="bottom"/>
            <w:hideMark/>
          </w:tcPr>
          <w:p w:rsidR="00396FDF" w:rsidRDefault="00396FDF" w:rsidP="000355BC">
            <w:pPr>
              <w:spacing w:before="0" w:line="240" w:lineRule="auto"/>
              <w:rPr>
                <w:rFonts w:asciiTheme="minorHAnsi" w:hAnsiTheme="minorHAnsi"/>
                <w:color w:val="000000"/>
                <w:sz w:val="22"/>
                <w:szCs w:val="22"/>
                <w:lang w:val="en-IN" w:eastAsia="en-IN"/>
              </w:rPr>
            </w:pPr>
            <w:r>
              <w:rPr>
                <w:b/>
                <w:bCs/>
                <w:color w:val="000000"/>
                <w:sz w:val="22"/>
                <w:szCs w:val="22"/>
              </w:rPr>
              <w:t>Revenue Gap for FY 2013-14 (Trued Up)</w:t>
            </w:r>
          </w:p>
        </w:tc>
        <w:tc>
          <w:tcPr>
            <w:tcW w:w="631" w:type="pct"/>
            <w:shd w:val="clear" w:color="000000" w:fill="FFFFFF"/>
            <w:noWrap/>
            <w:vAlign w:val="center"/>
            <w:hideMark/>
          </w:tcPr>
          <w:p w:rsidR="00396FDF" w:rsidRPr="006864FB" w:rsidRDefault="00396FDF"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418.85</w:t>
            </w:r>
          </w:p>
        </w:tc>
        <w:tc>
          <w:tcPr>
            <w:tcW w:w="631" w:type="pct"/>
            <w:shd w:val="clear" w:color="000000" w:fill="FFFFFF"/>
            <w:noWrap/>
            <w:vAlign w:val="center"/>
            <w:hideMark/>
          </w:tcPr>
          <w:p w:rsidR="00396FDF" w:rsidRPr="006864FB" w:rsidRDefault="00396FDF" w:rsidP="00CC6609">
            <w:pPr>
              <w:spacing w:before="0" w:line="240" w:lineRule="auto"/>
              <w:jc w:val="right"/>
              <w:rPr>
                <w:rFonts w:asciiTheme="minorHAnsi" w:hAnsiTheme="minorHAnsi"/>
                <w:b/>
                <w:color w:val="000000"/>
                <w:sz w:val="22"/>
                <w:szCs w:val="22"/>
                <w:lang w:val="en-IN" w:eastAsia="en-IN"/>
              </w:rPr>
            </w:pPr>
            <w:r w:rsidRPr="006864FB">
              <w:rPr>
                <w:b/>
                <w:color w:val="000000"/>
                <w:sz w:val="22"/>
                <w:szCs w:val="22"/>
              </w:rPr>
              <w:t>1</w:t>
            </w:r>
            <w:r>
              <w:rPr>
                <w:b/>
                <w:color w:val="000000"/>
                <w:sz w:val="22"/>
                <w:szCs w:val="22"/>
              </w:rPr>
              <w:t>,</w:t>
            </w:r>
            <w:r w:rsidRPr="006864FB">
              <w:rPr>
                <w:b/>
                <w:color w:val="000000"/>
                <w:sz w:val="22"/>
                <w:szCs w:val="22"/>
              </w:rPr>
              <w:t>3</w:t>
            </w:r>
            <w:r w:rsidR="00CC6609">
              <w:rPr>
                <w:b/>
                <w:color w:val="000000"/>
                <w:sz w:val="22"/>
                <w:szCs w:val="22"/>
              </w:rPr>
              <w:t>15.68</w:t>
            </w:r>
          </w:p>
        </w:tc>
        <w:tc>
          <w:tcPr>
            <w:tcW w:w="632" w:type="pct"/>
            <w:shd w:val="clear" w:color="000000" w:fill="FFFFFF"/>
            <w:noWrap/>
            <w:vAlign w:val="center"/>
            <w:hideMark/>
          </w:tcPr>
          <w:p w:rsidR="00396FDF" w:rsidRPr="006864FB" w:rsidRDefault="00396FDF"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1</w:t>
            </w:r>
            <w:r>
              <w:rPr>
                <w:b/>
                <w:color w:val="000000"/>
                <w:sz w:val="22"/>
                <w:szCs w:val="22"/>
              </w:rPr>
              <w:t>,</w:t>
            </w:r>
            <w:r w:rsidRPr="006864FB">
              <w:rPr>
                <w:b/>
                <w:color w:val="000000"/>
                <w:sz w:val="22"/>
                <w:szCs w:val="22"/>
              </w:rPr>
              <w:t>979.03</w:t>
            </w:r>
          </w:p>
        </w:tc>
        <w:tc>
          <w:tcPr>
            <w:tcW w:w="631" w:type="pct"/>
            <w:shd w:val="clear" w:color="000000" w:fill="FFFFFF"/>
            <w:noWrap/>
            <w:vAlign w:val="center"/>
            <w:hideMark/>
          </w:tcPr>
          <w:p w:rsidR="00396FDF" w:rsidRPr="006864FB" w:rsidRDefault="00396FDF"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1</w:t>
            </w:r>
            <w:r>
              <w:rPr>
                <w:b/>
                <w:color w:val="000000"/>
                <w:sz w:val="22"/>
                <w:szCs w:val="22"/>
              </w:rPr>
              <w:t>,</w:t>
            </w:r>
            <w:r w:rsidRPr="006864FB">
              <w:rPr>
                <w:b/>
                <w:color w:val="000000"/>
                <w:sz w:val="22"/>
                <w:szCs w:val="22"/>
              </w:rPr>
              <w:t>179.85</w:t>
            </w:r>
          </w:p>
        </w:tc>
        <w:tc>
          <w:tcPr>
            <w:tcW w:w="809" w:type="pct"/>
            <w:shd w:val="clear" w:color="000000" w:fill="FFFFFF"/>
            <w:noWrap/>
            <w:vAlign w:val="center"/>
            <w:hideMark/>
          </w:tcPr>
          <w:p w:rsidR="00396FDF" w:rsidRPr="00CC6609" w:rsidRDefault="00396FDF" w:rsidP="00CC6609">
            <w:pPr>
              <w:spacing w:before="0" w:line="240" w:lineRule="auto"/>
              <w:jc w:val="right"/>
              <w:rPr>
                <w:b/>
                <w:color w:val="000000"/>
                <w:sz w:val="22"/>
                <w:szCs w:val="22"/>
              </w:rPr>
            </w:pPr>
            <w:r w:rsidRPr="00CC6609">
              <w:rPr>
                <w:b/>
                <w:color w:val="000000"/>
                <w:sz w:val="22"/>
                <w:szCs w:val="22"/>
              </w:rPr>
              <w:t>4893.40</w:t>
            </w:r>
          </w:p>
        </w:tc>
      </w:tr>
      <w:tr w:rsidR="00396FDF" w:rsidRPr="009B19CF" w:rsidTr="00CC6609">
        <w:trPr>
          <w:trHeight w:val="300"/>
          <w:jc w:val="center"/>
        </w:trPr>
        <w:tc>
          <w:tcPr>
            <w:tcW w:w="1666" w:type="pct"/>
            <w:shd w:val="clear" w:color="000000" w:fill="FFFFFF"/>
            <w:noWrap/>
            <w:vAlign w:val="bottom"/>
            <w:hideMark/>
          </w:tcPr>
          <w:p w:rsidR="00396FDF" w:rsidRDefault="00396FDF" w:rsidP="000355BC">
            <w:pPr>
              <w:spacing w:before="0" w:line="240" w:lineRule="auto"/>
              <w:rPr>
                <w:rFonts w:asciiTheme="minorHAnsi" w:hAnsiTheme="minorHAnsi"/>
                <w:color w:val="000000"/>
                <w:sz w:val="22"/>
                <w:szCs w:val="22"/>
                <w:lang w:val="en-IN" w:eastAsia="en-IN"/>
              </w:rPr>
            </w:pPr>
            <w:r>
              <w:rPr>
                <w:color w:val="000000"/>
                <w:sz w:val="22"/>
                <w:szCs w:val="22"/>
              </w:rPr>
              <w:t>Carrying Cost on the Regulatory Asset for the Revenue Gap for FY 2013-14 @ 12.5%</w:t>
            </w:r>
          </w:p>
        </w:tc>
        <w:tc>
          <w:tcPr>
            <w:tcW w:w="631" w:type="pct"/>
            <w:shd w:val="clear" w:color="000000" w:fill="FFFFFF"/>
            <w:noWrap/>
            <w:vAlign w:val="center"/>
            <w:hideMark/>
          </w:tcPr>
          <w:p w:rsidR="00396FDF" w:rsidRDefault="00396FDF" w:rsidP="000355BC">
            <w:pPr>
              <w:spacing w:before="0" w:line="240" w:lineRule="auto"/>
              <w:jc w:val="right"/>
              <w:rPr>
                <w:rFonts w:asciiTheme="minorHAnsi" w:hAnsiTheme="minorHAnsi"/>
                <w:color w:val="000000"/>
                <w:sz w:val="22"/>
                <w:szCs w:val="22"/>
                <w:lang w:val="en-IN" w:eastAsia="en-IN"/>
              </w:rPr>
            </w:pPr>
            <w:r>
              <w:rPr>
                <w:color w:val="000000"/>
                <w:sz w:val="22"/>
                <w:szCs w:val="22"/>
              </w:rPr>
              <w:t>35.00</w:t>
            </w:r>
          </w:p>
        </w:tc>
        <w:tc>
          <w:tcPr>
            <w:tcW w:w="631" w:type="pct"/>
            <w:shd w:val="clear" w:color="000000" w:fill="FFFFFF"/>
            <w:noWrap/>
            <w:vAlign w:val="center"/>
            <w:hideMark/>
          </w:tcPr>
          <w:p w:rsidR="00396FDF" w:rsidRDefault="00CC6609" w:rsidP="000355BC">
            <w:pPr>
              <w:spacing w:before="0" w:line="240" w:lineRule="auto"/>
              <w:jc w:val="right"/>
              <w:rPr>
                <w:rFonts w:asciiTheme="minorHAnsi" w:hAnsiTheme="minorHAnsi"/>
                <w:color w:val="000000"/>
                <w:sz w:val="22"/>
                <w:szCs w:val="22"/>
                <w:lang w:val="en-IN" w:eastAsia="en-IN"/>
              </w:rPr>
            </w:pPr>
            <w:r>
              <w:rPr>
                <w:rFonts w:asciiTheme="minorHAnsi" w:hAnsiTheme="minorHAnsi"/>
                <w:color w:val="000000"/>
                <w:sz w:val="22"/>
                <w:szCs w:val="22"/>
                <w:lang w:val="en-IN" w:eastAsia="en-IN"/>
              </w:rPr>
              <w:t>109.94</w:t>
            </w:r>
          </w:p>
        </w:tc>
        <w:tc>
          <w:tcPr>
            <w:tcW w:w="632" w:type="pct"/>
            <w:shd w:val="clear" w:color="000000" w:fill="FFFFFF"/>
            <w:noWrap/>
            <w:vAlign w:val="center"/>
            <w:hideMark/>
          </w:tcPr>
          <w:p w:rsidR="00396FDF" w:rsidRDefault="00396FDF" w:rsidP="000355BC">
            <w:pPr>
              <w:spacing w:before="0" w:line="240" w:lineRule="auto"/>
              <w:jc w:val="right"/>
              <w:rPr>
                <w:rFonts w:asciiTheme="minorHAnsi" w:hAnsiTheme="minorHAnsi"/>
                <w:color w:val="000000"/>
                <w:sz w:val="22"/>
                <w:szCs w:val="22"/>
                <w:lang w:val="en-IN" w:eastAsia="en-IN"/>
              </w:rPr>
            </w:pPr>
            <w:r>
              <w:rPr>
                <w:color w:val="000000"/>
                <w:sz w:val="22"/>
                <w:szCs w:val="22"/>
              </w:rPr>
              <w:t>165.37</w:t>
            </w:r>
          </w:p>
        </w:tc>
        <w:tc>
          <w:tcPr>
            <w:tcW w:w="631" w:type="pct"/>
            <w:shd w:val="clear" w:color="000000" w:fill="FFFFFF"/>
            <w:noWrap/>
            <w:vAlign w:val="center"/>
            <w:hideMark/>
          </w:tcPr>
          <w:p w:rsidR="00396FDF" w:rsidRDefault="00396FDF" w:rsidP="000355BC">
            <w:pPr>
              <w:spacing w:before="0" w:line="240" w:lineRule="auto"/>
              <w:jc w:val="right"/>
              <w:rPr>
                <w:rFonts w:asciiTheme="minorHAnsi" w:hAnsiTheme="minorHAnsi"/>
                <w:color w:val="000000"/>
                <w:sz w:val="22"/>
                <w:szCs w:val="22"/>
                <w:lang w:val="en-IN" w:eastAsia="en-IN"/>
              </w:rPr>
            </w:pPr>
            <w:r>
              <w:rPr>
                <w:color w:val="000000"/>
                <w:sz w:val="22"/>
                <w:szCs w:val="22"/>
              </w:rPr>
              <w:t>98.59</w:t>
            </w:r>
          </w:p>
        </w:tc>
        <w:tc>
          <w:tcPr>
            <w:tcW w:w="809" w:type="pct"/>
            <w:shd w:val="clear" w:color="000000" w:fill="FFFFFF"/>
            <w:noWrap/>
            <w:vAlign w:val="center"/>
            <w:hideMark/>
          </w:tcPr>
          <w:p w:rsidR="00396FDF" w:rsidRDefault="00396FDF" w:rsidP="00CC6609">
            <w:pPr>
              <w:jc w:val="right"/>
              <w:rPr>
                <w:color w:val="000000"/>
                <w:sz w:val="22"/>
                <w:szCs w:val="22"/>
              </w:rPr>
            </w:pPr>
            <w:r>
              <w:rPr>
                <w:color w:val="000000"/>
                <w:sz w:val="22"/>
                <w:szCs w:val="22"/>
              </w:rPr>
              <w:t>408.90</w:t>
            </w:r>
          </w:p>
        </w:tc>
      </w:tr>
      <w:tr w:rsidR="00396FDF" w:rsidRPr="009B19CF" w:rsidTr="00CC6609">
        <w:trPr>
          <w:trHeight w:val="300"/>
          <w:jc w:val="center"/>
        </w:trPr>
        <w:tc>
          <w:tcPr>
            <w:tcW w:w="1666" w:type="pct"/>
            <w:shd w:val="clear" w:color="000000" w:fill="FFFFFF"/>
            <w:vAlign w:val="bottom"/>
            <w:hideMark/>
          </w:tcPr>
          <w:p w:rsidR="00396FDF" w:rsidRDefault="00396FDF" w:rsidP="000355BC">
            <w:pPr>
              <w:spacing w:before="0" w:line="240" w:lineRule="auto"/>
              <w:rPr>
                <w:rFonts w:asciiTheme="minorHAnsi" w:hAnsiTheme="minorHAnsi"/>
                <w:b/>
                <w:bCs/>
                <w:color w:val="000000"/>
                <w:sz w:val="22"/>
                <w:szCs w:val="22"/>
                <w:lang w:val="en-IN" w:eastAsia="en-IN"/>
              </w:rPr>
            </w:pPr>
            <w:r>
              <w:rPr>
                <w:color w:val="000000"/>
                <w:sz w:val="22"/>
                <w:szCs w:val="22"/>
              </w:rPr>
              <w:t>Total Regulatory Asset for FY 2013-14 including Carrying Cost</w:t>
            </w:r>
          </w:p>
        </w:tc>
        <w:tc>
          <w:tcPr>
            <w:tcW w:w="631" w:type="pct"/>
            <w:shd w:val="clear" w:color="000000" w:fill="FFFFFF"/>
            <w:noWrap/>
            <w:vAlign w:val="center"/>
            <w:hideMark/>
          </w:tcPr>
          <w:p w:rsidR="00396FDF" w:rsidRDefault="00396FDF" w:rsidP="000355BC">
            <w:pPr>
              <w:spacing w:before="0" w:line="240" w:lineRule="auto"/>
              <w:jc w:val="right"/>
              <w:rPr>
                <w:rFonts w:asciiTheme="minorHAnsi" w:hAnsiTheme="minorHAnsi"/>
                <w:b/>
                <w:color w:val="000000"/>
                <w:sz w:val="22"/>
                <w:szCs w:val="22"/>
                <w:lang w:val="en-IN" w:eastAsia="en-IN"/>
              </w:rPr>
            </w:pPr>
            <w:r>
              <w:rPr>
                <w:color w:val="000000"/>
                <w:sz w:val="22"/>
                <w:szCs w:val="22"/>
              </w:rPr>
              <w:t>453.85</w:t>
            </w:r>
          </w:p>
        </w:tc>
        <w:tc>
          <w:tcPr>
            <w:tcW w:w="631" w:type="pct"/>
            <w:shd w:val="clear" w:color="000000" w:fill="FFFFFF"/>
            <w:noWrap/>
            <w:vAlign w:val="center"/>
            <w:hideMark/>
          </w:tcPr>
          <w:p w:rsidR="00396FDF" w:rsidRDefault="00396FDF" w:rsidP="00CC6609">
            <w:pPr>
              <w:spacing w:before="0" w:line="240" w:lineRule="auto"/>
              <w:jc w:val="right"/>
              <w:rPr>
                <w:rFonts w:asciiTheme="minorHAnsi" w:hAnsiTheme="minorHAnsi"/>
                <w:b/>
                <w:color w:val="000000"/>
                <w:sz w:val="22"/>
                <w:szCs w:val="22"/>
                <w:lang w:val="en-IN" w:eastAsia="en-IN"/>
              </w:rPr>
            </w:pPr>
            <w:r>
              <w:rPr>
                <w:color w:val="000000"/>
                <w:sz w:val="22"/>
                <w:szCs w:val="22"/>
              </w:rPr>
              <w:t>1,4</w:t>
            </w:r>
            <w:r w:rsidR="00CC6609">
              <w:rPr>
                <w:color w:val="000000"/>
                <w:sz w:val="22"/>
                <w:szCs w:val="22"/>
              </w:rPr>
              <w:t>25.62</w:t>
            </w:r>
          </w:p>
        </w:tc>
        <w:tc>
          <w:tcPr>
            <w:tcW w:w="632" w:type="pct"/>
            <w:shd w:val="clear" w:color="000000" w:fill="FFFFFF"/>
            <w:noWrap/>
            <w:vAlign w:val="center"/>
            <w:hideMark/>
          </w:tcPr>
          <w:p w:rsidR="00396FDF" w:rsidRDefault="00396FDF" w:rsidP="000355BC">
            <w:pPr>
              <w:spacing w:before="0" w:line="240" w:lineRule="auto"/>
              <w:jc w:val="right"/>
              <w:rPr>
                <w:rFonts w:asciiTheme="minorHAnsi" w:hAnsiTheme="minorHAnsi"/>
                <w:b/>
                <w:color w:val="000000"/>
                <w:sz w:val="22"/>
                <w:szCs w:val="22"/>
                <w:lang w:val="en-IN" w:eastAsia="en-IN"/>
              </w:rPr>
            </w:pPr>
            <w:r>
              <w:rPr>
                <w:color w:val="000000"/>
                <w:sz w:val="22"/>
                <w:szCs w:val="22"/>
              </w:rPr>
              <w:t>2,144.40</w:t>
            </w:r>
          </w:p>
        </w:tc>
        <w:tc>
          <w:tcPr>
            <w:tcW w:w="631" w:type="pct"/>
            <w:shd w:val="clear" w:color="000000" w:fill="FFFFFF"/>
            <w:noWrap/>
            <w:vAlign w:val="center"/>
            <w:hideMark/>
          </w:tcPr>
          <w:p w:rsidR="00396FDF" w:rsidRDefault="00396FDF" w:rsidP="000355BC">
            <w:pPr>
              <w:spacing w:before="0" w:line="240" w:lineRule="auto"/>
              <w:jc w:val="right"/>
              <w:rPr>
                <w:rFonts w:asciiTheme="minorHAnsi" w:hAnsiTheme="minorHAnsi"/>
                <w:b/>
                <w:color w:val="000000"/>
                <w:sz w:val="22"/>
                <w:szCs w:val="22"/>
                <w:lang w:val="en-IN" w:eastAsia="en-IN"/>
              </w:rPr>
            </w:pPr>
            <w:r>
              <w:rPr>
                <w:color w:val="000000"/>
                <w:sz w:val="22"/>
                <w:szCs w:val="22"/>
              </w:rPr>
              <w:t>1,278.44</w:t>
            </w:r>
          </w:p>
        </w:tc>
        <w:tc>
          <w:tcPr>
            <w:tcW w:w="809" w:type="pct"/>
            <w:shd w:val="clear" w:color="000000" w:fill="FFFFFF"/>
            <w:noWrap/>
            <w:vAlign w:val="center"/>
            <w:hideMark/>
          </w:tcPr>
          <w:p w:rsidR="00396FDF" w:rsidRDefault="00396FDF" w:rsidP="00CC6609">
            <w:pPr>
              <w:jc w:val="right"/>
              <w:rPr>
                <w:color w:val="000000"/>
                <w:sz w:val="22"/>
                <w:szCs w:val="22"/>
              </w:rPr>
            </w:pPr>
            <w:r>
              <w:rPr>
                <w:color w:val="000000"/>
                <w:sz w:val="22"/>
                <w:szCs w:val="22"/>
              </w:rPr>
              <w:t>5302.30</w:t>
            </w:r>
          </w:p>
        </w:tc>
      </w:tr>
      <w:tr w:rsidR="005B1438" w:rsidRPr="009B19CF" w:rsidTr="000355BC">
        <w:trPr>
          <w:trHeight w:val="600"/>
          <w:jc w:val="center"/>
        </w:trPr>
        <w:tc>
          <w:tcPr>
            <w:tcW w:w="1666" w:type="pct"/>
            <w:shd w:val="clear" w:color="000000" w:fill="FFFFFF"/>
            <w:vAlign w:val="bottom"/>
            <w:hideMark/>
          </w:tcPr>
          <w:p w:rsidR="005B1438" w:rsidRDefault="005B1438" w:rsidP="000355BC">
            <w:pPr>
              <w:spacing w:before="0" w:line="240" w:lineRule="auto"/>
              <w:rPr>
                <w:rFonts w:asciiTheme="minorHAnsi" w:hAnsiTheme="minorHAnsi"/>
                <w:color w:val="000000"/>
                <w:sz w:val="22"/>
                <w:szCs w:val="22"/>
                <w:lang w:val="en-IN" w:eastAsia="en-IN"/>
              </w:rPr>
            </w:pPr>
            <w:r>
              <w:rPr>
                <w:b/>
                <w:bCs/>
                <w:color w:val="000000"/>
                <w:sz w:val="22"/>
                <w:szCs w:val="22"/>
              </w:rPr>
              <w:t>Total Regulatory Asset till FY 2013-14 (including Gap of previous years)</w:t>
            </w:r>
          </w:p>
        </w:tc>
        <w:tc>
          <w:tcPr>
            <w:tcW w:w="631"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784.31</w:t>
            </w:r>
          </w:p>
        </w:tc>
        <w:tc>
          <w:tcPr>
            <w:tcW w:w="631" w:type="pct"/>
            <w:shd w:val="clear" w:color="000000" w:fill="FFFFFF"/>
            <w:noWrap/>
            <w:vAlign w:val="center"/>
            <w:hideMark/>
          </w:tcPr>
          <w:p w:rsidR="005B1438" w:rsidRPr="006864FB" w:rsidRDefault="005B1438" w:rsidP="00CC6609">
            <w:pPr>
              <w:spacing w:before="0" w:line="240" w:lineRule="auto"/>
              <w:jc w:val="right"/>
              <w:rPr>
                <w:rFonts w:asciiTheme="minorHAnsi" w:hAnsiTheme="minorHAnsi"/>
                <w:b/>
                <w:color w:val="000000"/>
                <w:sz w:val="22"/>
                <w:szCs w:val="22"/>
                <w:lang w:val="en-IN" w:eastAsia="en-IN"/>
              </w:rPr>
            </w:pPr>
            <w:r w:rsidRPr="006864FB">
              <w:rPr>
                <w:b/>
                <w:color w:val="000000"/>
                <w:sz w:val="22"/>
                <w:szCs w:val="22"/>
              </w:rPr>
              <w:t>8</w:t>
            </w:r>
            <w:r>
              <w:rPr>
                <w:b/>
                <w:color w:val="000000"/>
                <w:sz w:val="22"/>
                <w:szCs w:val="22"/>
              </w:rPr>
              <w:t>,</w:t>
            </w:r>
            <w:r w:rsidRPr="006864FB">
              <w:rPr>
                <w:b/>
                <w:color w:val="000000"/>
                <w:sz w:val="22"/>
                <w:szCs w:val="22"/>
              </w:rPr>
              <w:t>0</w:t>
            </w:r>
            <w:r w:rsidR="00CC6609">
              <w:rPr>
                <w:b/>
                <w:color w:val="000000"/>
                <w:sz w:val="22"/>
                <w:szCs w:val="22"/>
              </w:rPr>
              <w:t>30.53</w:t>
            </w:r>
          </w:p>
        </w:tc>
        <w:tc>
          <w:tcPr>
            <w:tcW w:w="632"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10</w:t>
            </w:r>
            <w:r>
              <w:rPr>
                <w:b/>
                <w:color w:val="000000"/>
                <w:sz w:val="22"/>
                <w:szCs w:val="22"/>
              </w:rPr>
              <w:t>,</w:t>
            </w:r>
            <w:r w:rsidRPr="006864FB">
              <w:rPr>
                <w:b/>
                <w:color w:val="000000"/>
                <w:sz w:val="22"/>
                <w:szCs w:val="22"/>
              </w:rPr>
              <w:t>258.36</w:t>
            </w:r>
          </w:p>
        </w:tc>
        <w:tc>
          <w:tcPr>
            <w:tcW w:w="631" w:type="pct"/>
            <w:shd w:val="clear" w:color="000000" w:fill="FFFFFF"/>
            <w:noWrap/>
            <w:vAlign w:val="center"/>
            <w:hideMark/>
          </w:tcPr>
          <w:p w:rsidR="005B1438" w:rsidRPr="006864FB" w:rsidRDefault="005B1438" w:rsidP="000355BC">
            <w:pPr>
              <w:spacing w:before="0" w:line="240" w:lineRule="auto"/>
              <w:jc w:val="right"/>
              <w:rPr>
                <w:rFonts w:asciiTheme="minorHAnsi" w:hAnsiTheme="minorHAnsi"/>
                <w:b/>
                <w:color w:val="000000"/>
                <w:sz w:val="22"/>
                <w:szCs w:val="22"/>
                <w:lang w:val="en-IN" w:eastAsia="en-IN"/>
              </w:rPr>
            </w:pPr>
            <w:r w:rsidRPr="006864FB">
              <w:rPr>
                <w:b/>
                <w:color w:val="000000"/>
                <w:sz w:val="22"/>
                <w:szCs w:val="22"/>
              </w:rPr>
              <w:t>9</w:t>
            </w:r>
            <w:r>
              <w:rPr>
                <w:b/>
                <w:color w:val="000000"/>
                <w:sz w:val="22"/>
                <w:szCs w:val="22"/>
              </w:rPr>
              <w:t>,</w:t>
            </w:r>
            <w:r w:rsidRPr="006864FB">
              <w:rPr>
                <w:b/>
                <w:color w:val="000000"/>
                <w:sz w:val="22"/>
                <w:szCs w:val="22"/>
              </w:rPr>
              <w:t>022.84</w:t>
            </w:r>
          </w:p>
        </w:tc>
        <w:tc>
          <w:tcPr>
            <w:tcW w:w="809" w:type="pct"/>
            <w:shd w:val="clear" w:color="000000" w:fill="FFFFFF"/>
            <w:noWrap/>
            <w:vAlign w:val="center"/>
            <w:hideMark/>
          </w:tcPr>
          <w:p w:rsidR="005B1438" w:rsidRPr="006864FB" w:rsidRDefault="005B1438" w:rsidP="00396FDF">
            <w:pPr>
              <w:spacing w:before="0" w:line="240" w:lineRule="auto"/>
              <w:jc w:val="right"/>
              <w:rPr>
                <w:rFonts w:asciiTheme="minorHAnsi" w:hAnsiTheme="minorHAnsi"/>
                <w:b/>
                <w:color w:val="000000"/>
                <w:sz w:val="22"/>
                <w:szCs w:val="22"/>
                <w:lang w:val="en-IN" w:eastAsia="en-IN"/>
              </w:rPr>
            </w:pPr>
            <w:r w:rsidRPr="006864FB">
              <w:rPr>
                <w:b/>
                <w:color w:val="000000"/>
                <w:sz w:val="22"/>
                <w:szCs w:val="22"/>
              </w:rPr>
              <w:t>28</w:t>
            </w:r>
            <w:r>
              <w:rPr>
                <w:b/>
                <w:color w:val="000000"/>
                <w:sz w:val="22"/>
                <w:szCs w:val="22"/>
              </w:rPr>
              <w:t>,</w:t>
            </w:r>
            <w:r w:rsidR="00396FDF">
              <w:rPr>
                <w:b/>
                <w:color w:val="000000"/>
                <w:sz w:val="22"/>
                <w:szCs w:val="22"/>
              </w:rPr>
              <w:t>096.04</w:t>
            </w:r>
          </w:p>
        </w:tc>
      </w:tr>
      <w:tr w:rsidR="003E5014" w:rsidRPr="009B19CF" w:rsidTr="003E5014">
        <w:trPr>
          <w:trHeight w:val="300"/>
          <w:jc w:val="center"/>
        </w:trPr>
        <w:tc>
          <w:tcPr>
            <w:tcW w:w="1666" w:type="pct"/>
            <w:shd w:val="clear" w:color="auto" w:fill="auto"/>
            <w:vAlign w:val="bottom"/>
          </w:tcPr>
          <w:p w:rsidR="003E5014" w:rsidRPr="00A04692" w:rsidRDefault="003E5014" w:rsidP="000355BC">
            <w:pPr>
              <w:spacing w:before="0" w:line="240" w:lineRule="auto"/>
              <w:rPr>
                <w:rFonts w:asciiTheme="minorHAnsi" w:hAnsiTheme="minorHAnsi"/>
                <w:b/>
                <w:bCs/>
                <w:color w:val="000000"/>
                <w:sz w:val="22"/>
                <w:szCs w:val="22"/>
                <w:lang w:val="en-IN" w:eastAsia="en-IN"/>
              </w:rPr>
            </w:pPr>
            <w:r>
              <w:rPr>
                <w:b/>
                <w:bCs/>
                <w:color w:val="000000"/>
                <w:sz w:val="22"/>
                <w:szCs w:val="22"/>
              </w:rPr>
              <w:t>Net Revenue Gap for FY 2016-17 after tariff increase</w:t>
            </w:r>
          </w:p>
        </w:tc>
        <w:tc>
          <w:tcPr>
            <w:tcW w:w="631" w:type="pct"/>
            <w:shd w:val="clear" w:color="000000" w:fill="FFFFFF"/>
            <w:noWrap/>
            <w:vAlign w:val="center"/>
          </w:tcPr>
          <w:p w:rsidR="00155677" w:rsidRDefault="003E5014">
            <w:pPr>
              <w:spacing w:before="0" w:line="240" w:lineRule="auto"/>
              <w:jc w:val="right"/>
              <w:rPr>
                <w:rFonts w:asciiTheme="minorHAnsi" w:hAnsiTheme="minorHAnsi"/>
                <w:b/>
                <w:color w:val="000000"/>
                <w:sz w:val="22"/>
                <w:szCs w:val="22"/>
              </w:rPr>
            </w:pPr>
            <w:r>
              <w:rPr>
                <w:b/>
                <w:color w:val="000000"/>
                <w:sz w:val="22"/>
                <w:szCs w:val="22"/>
              </w:rPr>
              <w:t>(</w:t>
            </w:r>
            <w:r w:rsidRPr="006864FB">
              <w:rPr>
                <w:b/>
                <w:color w:val="000000"/>
                <w:sz w:val="22"/>
                <w:szCs w:val="22"/>
              </w:rPr>
              <w:t>4</w:t>
            </w:r>
            <w:r w:rsidR="00DE2B4B">
              <w:rPr>
                <w:b/>
                <w:color w:val="000000"/>
                <w:sz w:val="22"/>
                <w:szCs w:val="22"/>
              </w:rPr>
              <w:t>60.21</w:t>
            </w:r>
            <w:r>
              <w:rPr>
                <w:b/>
                <w:color w:val="000000"/>
                <w:sz w:val="22"/>
                <w:szCs w:val="22"/>
              </w:rPr>
              <w:t>)</w:t>
            </w:r>
          </w:p>
        </w:tc>
        <w:tc>
          <w:tcPr>
            <w:tcW w:w="631" w:type="pct"/>
            <w:shd w:val="clear" w:color="000000" w:fill="FFFFFF"/>
            <w:noWrap/>
            <w:vAlign w:val="center"/>
          </w:tcPr>
          <w:p w:rsidR="003E5014" w:rsidRPr="003E5014" w:rsidRDefault="00337C98" w:rsidP="003E5014">
            <w:pPr>
              <w:spacing w:before="0" w:line="240" w:lineRule="auto"/>
              <w:jc w:val="right"/>
              <w:rPr>
                <w:rFonts w:asciiTheme="minorHAnsi" w:hAnsiTheme="minorHAnsi"/>
                <w:b/>
                <w:color w:val="000000" w:themeColor="text1"/>
                <w:sz w:val="22"/>
                <w:szCs w:val="22"/>
              </w:rPr>
            </w:pPr>
            <w:r w:rsidRPr="00337C98">
              <w:rPr>
                <w:b/>
                <w:color w:val="000000" w:themeColor="text1"/>
                <w:sz w:val="22"/>
                <w:szCs w:val="22"/>
              </w:rPr>
              <w:t>0.00</w:t>
            </w:r>
          </w:p>
        </w:tc>
        <w:tc>
          <w:tcPr>
            <w:tcW w:w="632" w:type="pct"/>
            <w:shd w:val="clear" w:color="000000" w:fill="FFFFFF"/>
            <w:noWrap/>
            <w:vAlign w:val="center"/>
          </w:tcPr>
          <w:p w:rsidR="003E5014" w:rsidRPr="003E5014" w:rsidRDefault="00337C98" w:rsidP="003E5014">
            <w:pPr>
              <w:spacing w:before="0" w:line="240" w:lineRule="auto"/>
              <w:jc w:val="right"/>
              <w:rPr>
                <w:rFonts w:asciiTheme="minorHAnsi" w:hAnsiTheme="minorHAnsi"/>
                <w:b/>
                <w:color w:val="000000" w:themeColor="text1"/>
                <w:sz w:val="22"/>
                <w:szCs w:val="22"/>
              </w:rPr>
            </w:pPr>
            <w:r w:rsidRPr="00337C98">
              <w:rPr>
                <w:b/>
                <w:color w:val="000000" w:themeColor="text1"/>
                <w:sz w:val="22"/>
                <w:szCs w:val="22"/>
              </w:rPr>
              <w:t>0.00</w:t>
            </w:r>
          </w:p>
        </w:tc>
        <w:tc>
          <w:tcPr>
            <w:tcW w:w="631" w:type="pct"/>
            <w:shd w:val="clear" w:color="000000" w:fill="FFFFFF"/>
            <w:noWrap/>
            <w:vAlign w:val="center"/>
          </w:tcPr>
          <w:p w:rsidR="003E5014" w:rsidRPr="003E5014" w:rsidRDefault="00337C98" w:rsidP="003E5014">
            <w:pPr>
              <w:spacing w:before="0" w:line="240" w:lineRule="auto"/>
              <w:jc w:val="right"/>
              <w:rPr>
                <w:rFonts w:asciiTheme="minorHAnsi" w:hAnsiTheme="minorHAnsi"/>
                <w:b/>
                <w:color w:val="000000" w:themeColor="text1"/>
                <w:sz w:val="22"/>
                <w:szCs w:val="22"/>
              </w:rPr>
            </w:pPr>
            <w:r w:rsidRPr="00337C98">
              <w:rPr>
                <w:b/>
                <w:color w:val="000000" w:themeColor="text1"/>
                <w:sz w:val="22"/>
                <w:szCs w:val="22"/>
              </w:rPr>
              <w:t>0.00</w:t>
            </w:r>
          </w:p>
        </w:tc>
        <w:tc>
          <w:tcPr>
            <w:tcW w:w="809" w:type="pct"/>
            <w:shd w:val="clear" w:color="000000" w:fill="FFFFFF"/>
            <w:noWrap/>
            <w:vAlign w:val="center"/>
          </w:tcPr>
          <w:p w:rsidR="003E5014" w:rsidRPr="003E5014" w:rsidRDefault="003E5014" w:rsidP="003E5014">
            <w:pPr>
              <w:spacing w:before="0" w:line="240" w:lineRule="auto"/>
              <w:jc w:val="right"/>
              <w:rPr>
                <w:rFonts w:asciiTheme="minorHAnsi" w:hAnsiTheme="minorHAnsi"/>
                <w:b/>
                <w:color w:val="000000" w:themeColor="text1"/>
                <w:sz w:val="22"/>
                <w:szCs w:val="22"/>
              </w:rPr>
            </w:pPr>
            <w:r>
              <w:rPr>
                <w:b/>
                <w:color w:val="000000" w:themeColor="text1"/>
                <w:sz w:val="22"/>
                <w:szCs w:val="22"/>
              </w:rPr>
              <w:t>(</w:t>
            </w:r>
            <w:r w:rsidR="00337C98" w:rsidRPr="00337C98">
              <w:rPr>
                <w:b/>
                <w:color w:val="000000" w:themeColor="text1"/>
                <w:sz w:val="22"/>
                <w:szCs w:val="22"/>
              </w:rPr>
              <w:t>4</w:t>
            </w:r>
            <w:r w:rsidR="00DE2B4B">
              <w:rPr>
                <w:b/>
                <w:color w:val="000000" w:themeColor="text1"/>
                <w:sz w:val="22"/>
                <w:szCs w:val="22"/>
              </w:rPr>
              <w:t>60.21</w:t>
            </w:r>
            <w:r>
              <w:rPr>
                <w:b/>
                <w:color w:val="000000" w:themeColor="text1"/>
                <w:sz w:val="22"/>
                <w:szCs w:val="22"/>
              </w:rPr>
              <w:t>)</w:t>
            </w:r>
          </w:p>
        </w:tc>
      </w:tr>
      <w:tr w:rsidR="003E5014" w:rsidRPr="009B19CF" w:rsidTr="003E5014">
        <w:trPr>
          <w:trHeight w:val="300"/>
          <w:jc w:val="center"/>
        </w:trPr>
        <w:tc>
          <w:tcPr>
            <w:tcW w:w="1666" w:type="pct"/>
            <w:shd w:val="clear" w:color="auto" w:fill="auto"/>
            <w:vAlign w:val="bottom"/>
          </w:tcPr>
          <w:p w:rsidR="003E5014" w:rsidRPr="002B6E52" w:rsidRDefault="003E5014" w:rsidP="000355BC">
            <w:pPr>
              <w:spacing w:before="0" w:line="240" w:lineRule="auto"/>
              <w:rPr>
                <w:b/>
                <w:bCs/>
                <w:color w:val="000000"/>
                <w:sz w:val="22"/>
                <w:szCs w:val="22"/>
              </w:rPr>
            </w:pPr>
            <w:r w:rsidRPr="002B6E52">
              <w:rPr>
                <w:b/>
                <w:bCs/>
                <w:color w:val="000000"/>
                <w:sz w:val="22"/>
                <w:szCs w:val="22"/>
              </w:rPr>
              <w:t>Regulatory Surcharge (in %)</w:t>
            </w:r>
          </w:p>
        </w:tc>
        <w:tc>
          <w:tcPr>
            <w:tcW w:w="631" w:type="pct"/>
            <w:shd w:val="clear" w:color="000000" w:fill="FFFFFF"/>
            <w:noWrap/>
            <w:vAlign w:val="center"/>
          </w:tcPr>
          <w:p w:rsidR="003E5014" w:rsidRPr="006864FB" w:rsidRDefault="00DE2B4B" w:rsidP="000355BC">
            <w:pPr>
              <w:spacing w:before="0" w:line="240" w:lineRule="auto"/>
              <w:jc w:val="right"/>
              <w:rPr>
                <w:b/>
                <w:color w:val="000000"/>
                <w:sz w:val="22"/>
                <w:szCs w:val="22"/>
              </w:rPr>
            </w:pPr>
            <w:r>
              <w:rPr>
                <w:b/>
                <w:color w:val="000000"/>
                <w:sz w:val="22"/>
                <w:szCs w:val="22"/>
              </w:rPr>
              <w:t>3.03</w:t>
            </w:r>
            <w:r w:rsidR="003E5014" w:rsidRPr="006864FB">
              <w:rPr>
                <w:b/>
                <w:color w:val="000000"/>
                <w:sz w:val="22"/>
                <w:szCs w:val="22"/>
              </w:rPr>
              <w:t>%</w:t>
            </w:r>
          </w:p>
        </w:tc>
        <w:tc>
          <w:tcPr>
            <w:tcW w:w="631" w:type="pct"/>
            <w:shd w:val="clear" w:color="000000" w:fill="FFFFFF"/>
            <w:noWrap/>
            <w:vAlign w:val="center"/>
          </w:tcPr>
          <w:p w:rsidR="003E5014" w:rsidRPr="003E5014" w:rsidRDefault="00337C98" w:rsidP="003E5014">
            <w:pPr>
              <w:spacing w:before="0" w:line="240" w:lineRule="auto"/>
              <w:jc w:val="right"/>
              <w:rPr>
                <w:b/>
                <w:color w:val="000000" w:themeColor="text1"/>
                <w:sz w:val="22"/>
                <w:szCs w:val="22"/>
              </w:rPr>
            </w:pPr>
            <w:r w:rsidRPr="00337C98">
              <w:rPr>
                <w:b/>
                <w:color w:val="000000" w:themeColor="text1"/>
                <w:sz w:val="22"/>
                <w:szCs w:val="22"/>
              </w:rPr>
              <w:t>4.28%</w:t>
            </w:r>
          </w:p>
        </w:tc>
        <w:tc>
          <w:tcPr>
            <w:tcW w:w="632" w:type="pct"/>
            <w:shd w:val="clear" w:color="000000" w:fill="FFFFFF"/>
            <w:noWrap/>
            <w:vAlign w:val="center"/>
          </w:tcPr>
          <w:p w:rsidR="003E5014" w:rsidRPr="003E5014" w:rsidRDefault="00337C98" w:rsidP="003E5014">
            <w:pPr>
              <w:spacing w:before="0" w:line="240" w:lineRule="auto"/>
              <w:jc w:val="right"/>
              <w:rPr>
                <w:b/>
                <w:color w:val="000000" w:themeColor="text1"/>
                <w:sz w:val="22"/>
                <w:szCs w:val="22"/>
              </w:rPr>
            </w:pPr>
            <w:r w:rsidRPr="00337C98">
              <w:rPr>
                <w:b/>
                <w:color w:val="000000" w:themeColor="text1"/>
                <w:sz w:val="22"/>
                <w:szCs w:val="22"/>
              </w:rPr>
              <w:t>4.28%</w:t>
            </w:r>
          </w:p>
        </w:tc>
        <w:tc>
          <w:tcPr>
            <w:tcW w:w="631" w:type="pct"/>
            <w:shd w:val="clear" w:color="000000" w:fill="FFFFFF"/>
            <w:noWrap/>
            <w:vAlign w:val="center"/>
          </w:tcPr>
          <w:p w:rsidR="003E5014" w:rsidRPr="003E5014" w:rsidRDefault="00337C98" w:rsidP="003E5014">
            <w:pPr>
              <w:spacing w:before="0" w:line="240" w:lineRule="auto"/>
              <w:jc w:val="right"/>
              <w:rPr>
                <w:b/>
                <w:color w:val="000000" w:themeColor="text1"/>
                <w:sz w:val="22"/>
                <w:szCs w:val="22"/>
              </w:rPr>
            </w:pPr>
            <w:r w:rsidRPr="00337C98">
              <w:rPr>
                <w:b/>
                <w:color w:val="000000" w:themeColor="text1"/>
                <w:sz w:val="22"/>
                <w:szCs w:val="22"/>
              </w:rPr>
              <w:t>4.28%</w:t>
            </w:r>
          </w:p>
        </w:tc>
        <w:tc>
          <w:tcPr>
            <w:tcW w:w="809" w:type="pct"/>
            <w:shd w:val="clear" w:color="000000" w:fill="FFFFFF"/>
            <w:noWrap/>
            <w:vAlign w:val="center"/>
          </w:tcPr>
          <w:p w:rsidR="003E5014" w:rsidRPr="003E5014" w:rsidRDefault="003E5014" w:rsidP="003E5014">
            <w:pPr>
              <w:spacing w:before="0" w:line="240" w:lineRule="auto"/>
              <w:jc w:val="right"/>
              <w:rPr>
                <w:b/>
                <w:color w:val="000000" w:themeColor="text1"/>
                <w:sz w:val="22"/>
                <w:szCs w:val="22"/>
              </w:rPr>
            </w:pPr>
          </w:p>
        </w:tc>
      </w:tr>
      <w:tr w:rsidR="003E5014" w:rsidRPr="009B19CF" w:rsidTr="003E5014">
        <w:trPr>
          <w:trHeight w:val="300"/>
          <w:jc w:val="center"/>
        </w:trPr>
        <w:tc>
          <w:tcPr>
            <w:tcW w:w="1666" w:type="pct"/>
            <w:shd w:val="clear" w:color="auto" w:fill="auto"/>
            <w:vAlign w:val="bottom"/>
          </w:tcPr>
          <w:p w:rsidR="003E5014" w:rsidRPr="00A04692" w:rsidRDefault="003E5014" w:rsidP="000355BC">
            <w:pPr>
              <w:spacing w:before="0" w:line="240" w:lineRule="auto"/>
              <w:rPr>
                <w:rFonts w:asciiTheme="minorHAnsi" w:hAnsiTheme="minorHAnsi"/>
                <w:color w:val="000000"/>
                <w:sz w:val="22"/>
                <w:szCs w:val="22"/>
                <w:lang w:val="en-IN" w:eastAsia="en-IN"/>
              </w:rPr>
            </w:pPr>
            <w:r>
              <w:rPr>
                <w:color w:val="000000"/>
                <w:sz w:val="22"/>
                <w:szCs w:val="22"/>
              </w:rPr>
              <w:t>Recovery through Regulatory Surcharge</w:t>
            </w:r>
          </w:p>
        </w:tc>
        <w:tc>
          <w:tcPr>
            <w:tcW w:w="631" w:type="pct"/>
            <w:shd w:val="clear" w:color="000000" w:fill="FFFFFF"/>
            <w:noWrap/>
            <w:vAlign w:val="center"/>
          </w:tcPr>
          <w:p w:rsidR="00155677" w:rsidRDefault="003E5014">
            <w:pPr>
              <w:spacing w:before="0" w:line="240" w:lineRule="auto"/>
              <w:jc w:val="right"/>
              <w:rPr>
                <w:color w:val="000000"/>
                <w:sz w:val="22"/>
                <w:szCs w:val="22"/>
              </w:rPr>
            </w:pPr>
            <w:r>
              <w:rPr>
                <w:color w:val="000000"/>
                <w:sz w:val="22"/>
                <w:szCs w:val="22"/>
              </w:rPr>
              <w:t xml:space="preserve"> </w:t>
            </w:r>
            <w:r w:rsidR="00DE2B4B">
              <w:rPr>
                <w:color w:val="000000"/>
                <w:sz w:val="22"/>
                <w:szCs w:val="22"/>
              </w:rPr>
              <w:t>324.10</w:t>
            </w:r>
            <w:r>
              <w:rPr>
                <w:color w:val="000000"/>
                <w:sz w:val="22"/>
                <w:szCs w:val="22"/>
              </w:rPr>
              <w:t xml:space="preserve"> </w:t>
            </w:r>
          </w:p>
        </w:tc>
        <w:tc>
          <w:tcPr>
            <w:tcW w:w="631" w:type="pct"/>
            <w:shd w:val="clear" w:color="000000" w:fill="FFFFFF"/>
            <w:noWrap/>
            <w:vAlign w:val="center"/>
          </w:tcPr>
          <w:p w:rsidR="003E5014" w:rsidRPr="003E5014" w:rsidRDefault="003E5014" w:rsidP="003E5014">
            <w:pPr>
              <w:spacing w:before="0" w:line="240" w:lineRule="auto"/>
              <w:jc w:val="right"/>
              <w:rPr>
                <w:color w:val="000000"/>
                <w:sz w:val="22"/>
                <w:szCs w:val="22"/>
              </w:rPr>
            </w:pPr>
            <w:r w:rsidRPr="003E5014">
              <w:rPr>
                <w:color w:val="000000"/>
                <w:sz w:val="22"/>
                <w:szCs w:val="22"/>
              </w:rPr>
              <w:t xml:space="preserve">        278.72 </w:t>
            </w:r>
          </w:p>
        </w:tc>
        <w:tc>
          <w:tcPr>
            <w:tcW w:w="632" w:type="pct"/>
            <w:shd w:val="clear" w:color="000000" w:fill="FFFFFF"/>
            <w:noWrap/>
            <w:vAlign w:val="center"/>
          </w:tcPr>
          <w:p w:rsidR="003E5014" w:rsidRPr="003E5014" w:rsidRDefault="003E5014" w:rsidP="003E5014">
            <w:pPr>
              <w:spacing w:before="0" w:line="240" w:lineRule="auto"/>
              <w:jc w:val="right"/>
              <w:rPr>
                <w:color w:val="000000"/>
                <w:sz w:val="22"/>
                <w:szCs w:val="22"/>
              </w:rPr>
            </w:pPr>
            <w:r w:rsidRPr="003E5014">
              <w:rPr>
                <w:color w:val="000000"/>
                <w:sz w:val="22"/>
                <w:szCs w:val="22"/>
              </w:rPr>
              <w:t xml:space="preserve"> 301.94 </w:t>
            </w:r>
          </w:p>
        </w:tc>
        <w:tc>
          <w:tcPr>
            <w:tcW w:w="631" w:type="pct"/>
            <w:shd w:val="clear" w:color="000000" w:fill="FFFFFF"/>
            <w:noWrap/>
            <w:vAlign w:val="center"/>
          </w:tcPr>
          <w:p w:rsidR="003E5014" w:rsidRPr="003E5014" w:rsidRDefault="003E5014" w:rsidP="003E5014">
            <w:pPr>
              <w:spacing w:before="0" w:line="240" w:lineRule="auto"/>
              <w:jc w:val="right"/>
              <w:rPr>
                <w:color w:val="000000"/>
                <w:sz w:val="22"/>
                <w:szCs w:val="22"/>
              </w:rPr>
            </w:pPr>
            <w:r w:rsidRPr="003E5014">
              <w:rPr>
                <w:color w:val="000000"/>
                <w:sz w:val="22"/>
                <w:szCs w:val="22"/>
              </w:rPr>
              <w:t xml:space="preserve">        388.98 </w:t>
            </w:r>
          </w:p>
        </w:tc>
        <w:tc>
          <w:tcPr>
            <w:tcW w:w="809" w:type="pct"/>
            <w:shd w:val="clear" w:color="000000" w:fill="FFFFFF"/>
            <w:noWrap/>
            <w:vAlign w:val="center"/>
          </w:tcPr>
          <w:p w:rsidR="00155677" w:rsidRDefault="003E5014">
            <w:pPr>
              <w:spacing w:before="0" w:line="240" w:lineRule="auto"/>
              <w:jc w:val="right"/>
              <w:rPr>
                <w:color w:val="000000"/>
                <w:sz w:val="22"/>
                <w:szCs w:val="22"/>
              </w:rPr>
            </w:pPr>
            <w:r w:rsidRPr="003E5014">
              <w:rPr>
                <w:color w:val="000000"/>
                <w:sz w:val="22"/>
                <w:szCs w:val="22"/>
              </w:rPr>
              <w:t xml:space="preserve">           1,2</w:t>
            </w:r>
            <w:r w:rsidR="00DE2B4B">
              <w:rPr>
                <w:color w:val="000000"/>
                <w:sz w:val="22"/>
                <w:szCs w:val="22"/>
              </w:rPr>
              <w:t>93.75</w:t>
            </w:r>
            <w:r w:rsidRPr="003E5014">
              <w:rPr>
                <w:color w:val="000000"/>
                <w:sz w:val="22"/>
                <w:szCs w:val="22"/>
              </w:rPr>
              <w:t xml:space="preserve"> </w:t>
            </w:r>
          </w:p>
        </w:tc>
      </w:tr>
      <w:tr w:rsidR="003E5014" w:rsidRPr="009B19CF" w:rsidTr="003E5014">
        <w:trPr>
          <w:trHeight w:val="300"/>
          <w:jc w:val="center"/>
        </w:trPr>
        <w:tc>
          <w:tcPr>
            <w:tcW w:w="1666" w:type="pct"/>
            <w:shd w:val="clear" w:color="auto" w:fill="auto"/>
            <w:vAlign w:val="bottom"/>
          </w:tcPr>
          <w:p w:rsidR="003E5014" w:rsidRPr="00A04692" w:rsidRDefault="003E5014" w:rsidP="000355BC">
            <w:pPr>
              <w:spacing w:before="0" w:line="240" w:lineRule="auto"/>
              <w:rPr>
                <w:rFonts w:asciiTheme="minorHAnsi" w:hAnsiTheme="minorHAnsi"/>
                <w:color w:val="000000"/>
                <w:sz w:val="22"/>
                <w:szCs w:val="22"/>
                <w:lang w:val="en-IN" w:eastAsia="en-IN"/>
              </w:rPr>
            </w:pPr>
            <w:r>
              <w:rPr>
                <w:b/>
                <w:bCs/>
                <w:color w:val="000000"/>
                <w:sz w:val="22"/>
                <w:szCs w:val="22"/>
              </w:rPr>
              <w:t>Net Regulatory Asset after considering part recovery of Regulatory Asset admitted by the Commission in this Order</w:t>
            </w:r>
          </w:p>
        </w:tc>
        <w:tc>
          <w:tcPr>
            <w:tcW w:w="631" w:type="pct"/>
            <w:shd w:val="clear" w:color="000000" w:fill="FFFFFF"/>
            <w:noWrap/>
            <w:vAlign w:val="center"/>
          </w:tcPr>
          <w:p w:rsidR="003E5014" w:rsidRPr="003E5014" w:rsidRDefault="003E5014" w:rsidP="000355BC">
            <w:pPr>
              <w:spacing w:before="0" w:line="240" w:lineRule="auto"/>
              <w:jc w:val="right"/>
              <w:rPr>
                <w:rFonts w:asciiTheme="minorHAnsi" w:hAnsiTheme="minorHAnsi"/>
                <w:b/>
                <w:color w:val="000000"/>
                <w:sz w:val="22"/>
                <w:szCs w:val="22"/>
              </w:rPr>
            </w:pPr>
            <w:r w:rsidRPr="003E5014">
              <w:rPr>
                <w:b/>
                <w:color w:val="000000"/>
                <w:sz w:val="22"/>
                <w:szCs w:val="22"/>
              </w:rPr>
              <w:t xml:space="preserve">                  -   </w:t>
            </w:r>
          </w:p>
        </w:tc>
        <w:tc>
          <w:tcPr>
            <w:tcW w:w="631" w:type="pct"/>
            <w:shd w:val="clear" w:color="000000" w:fill="FFFFFF"/>
            <w:noWrap/>
            <w:vAlign w:val="center"/>
          </w:tcPr>
          <w:p w:rsidR="003E5014" w:rsidRPr="003E5014" w:rsidRDefault="00337C98" w:rsidP="00CC6609">
            <w:pPr>
              <w:spacing w:before="0" w:line="240" w:lineRule="auto"/>
              <w:jc w:val="right"/>
              <w:rPr>
                <w:rFonts w:asciiTheme="minorHAnsi" w:hAnsiTheme="minorHAnsi"/>
                <w:b/>
                <w:color w:val="000000" w:themeColor="text1"/>
                <w:sz w:val="22"/>
                <w:szCs w:val="22"/>
              </w:rPr>
            </w:pPr>
            <w:r w:rsidRPr="00337C98">
              <w:rPr>
                <w:b/>
                <w:color w:val="000000" w:themeColor="text1"/>
                <w:sz w:val="22"/>
                <w:szCs w:val="22"/>
              </w:rPr>
              <w:t xml:space="preserve">    7,7</w:t>
            </w:r>
            <w:r w:rsidR="00CC6609">
              <w:rPr>
                <w:b/>
                <w:color w:val="000000" w:themeColor="text1"/>
                <w:sz w:val="22"/>
                <w:szCs w:val="22"/>
              </w:rPr>
              <w:t>51.80</w:t>
            </w:r>
          </w:p>
        </w:tc>
        <w:tc>
          <w:tcPr>
            <w:tcW w:w="632" w:type="pct"/>
            <w:shd w:val="clear" w:color="000000" w:fill="FFFFFF"/>
            <w:noWrap/>
            <w:vAlign w:val="center"/>
          </w:tcPr>
          <w:p w:rsidR="003E5014" w:rsidRPr="003E5014" w:rsidRDefault="00337C98" w:rsidP="003E5014">
            <w:pPr>
              <w:spacing w:before="0" w:line="240" w:lineRule="auto"/>
              <w:jc w:val="right"/>
              <w:rPr>
                <w:rFonts w:asciiTheme="minorHAnsi" w:hAnsiTheme="minorHAnsi"/>
                <w:b/>
                <w:color w:val="000000" w:themeColor="text1"/>
                <w:sz w:val="22"/>
                <w:szCs w:val="22"/>
              </w:rPr>
            </w:pPr>
            <w:r w:rsidRPr="00337C98">
              <w:rPr>
                <w:b/>
                <w:color w:val="000000" w:themeColor="text1"/>
                <w:sz w:val="22"/>
                <w:szCs w:val="22"/>
              </w:rPr>
              <w:t xml:space="preserve">9,956.42 </w:t>
            </w:r>
          </w:p>
        </w:tc>
        <w:tc>
          <w:tcPr>
            <w:tcW w:w="631" w:type="pct"/>
            <w:shd w:val="clear" w:color="000000" w:fill="FFFFFF"/>
            <w:noWrap/>
            <w:vAlign w:val="center"/>
          </w:tcPr>
          <w:p w:rsidR="003E5014" w:rsidRPr="003E5014" w:rsidRDefault="00337C98" w:rsidP="003E5014">
            <w:pPr>
              <w:spacing w:before="0" w:line="240" w:lineRule="auto"/>
              <w:jc w:val="right"/>
              <w:rPr>
                <w:rFonts w:asciiTheme="minorHAnsi" w:hAnsiTheme="minorHAnsi"/>
                <w:b/>
                <w:color w:val="000000" w:themeColor="text1"/>
                <w:sz w:val="22"/>
                <w:szCs w:val="22"/>
              </w:rPr>
            </w:pPr>
            <w:r w:rsidRPr="00337C98">
              <w:rPr>
                <w:b/>
                <w:color w:val="000000" w:themeColor="text1"/>
                <w:sz w:val="22"/>
                <w:szCs w:val="22"/>
              </w:rPr>
              <w:t xml:space="preserve">     8,633.86 </w:t>
            </w:r>
          </w:p>
        </w:tc>
        <w:tc>
          <w:tcPr>
            <w:tcW w:w="809" w:type="pct"/>
            <w:shd w:val="clear" w:color="000000" w:fill="FFFFFF"/>
            <w:noWrap/>
            <w:vAlign w:val="center"/>
          </w:tcPr>
          <w:p w:rsidR="003E5014" w:rsidRPr="003E5014" w:rsidRDefault="00337C98" w:rsidP="00396FDF">
            <w:pPr>
              <w:spacing w:before="0" w:line="240" w:lineRule="auto"/>
              <w:jc w:val="right"/>
              <w:rPr>
                <w:rFonts w:asciiTheme="minorHAnsi" w:hAnsiTheme="minorHAnsi"/>
                <w:b/>
                <w:color w:val="000000" w:themeColor="text1"/>
                <w:sz w:val="22"/>
                <w:szCs w:val="22"/>
              </w:rPr>
            </w:pPr>
            <w:r w:rsidRPr="00337C98">
              <w:rPr>
                <w:b/>
                <w:color w:val="000000" w:themeColor="text1"/>
                <w:sz w:val="22"/>
                <w:szCs w:val="22"/>
              </w:rPr>
              <w:t xml:space="preserve">         26,3</w:t>
            </w:r>
            <w:r w:rsidR="00396FDF">
              <w:rPr>
                <w:b/>
                <w:color w:val="000000" w:themeColor="text1"/>
                <w:sz w:val="22"/>
                <w:szCs w:val="22"/>
              </w:rPr>
              <w:t>42.08</w:t>
            </w:r>
            <w:r w:rsidRPr="00337C98">
              <w:rPr>
                <w:b/>
                <w:color w:val="000000" w:themeColor="text1"/>
                <w:sz w:val="22"/>
                <w:szCs w:val="22"/>
              </w:rPr>
              <w:t xml:space="preserve"> </w:t>
            </w:r>
          </w:p>
        </w:tc>
      </w:tr>
    </w:tbl>
    <w:bookmarkEnd w:id="1837"/>
    <w:p w:rsidR="00337C98" w:rsidRDefault="00092B54" w:rsidP="00337C98">
      <w:pPr>
        <w:pStyle w:val="Heading3"/>
        <w:numPr>
          <w:ilvl w:val="0"/>
          <w:numId w:val="0"/>
        </w:numPr>
        <w:tabs>
          <w:tab w:val="left" w:pos="3104"/>
        </w:tabs>
        <w:spacing w:before="0"/>
        <w:ind w:left="936"/>
        <w:rPr>
          <w:rFonts w:asciiTheme="minorHAnsi" w:hAnsiTheme="minorHAnsi" w:cstheme="minorHAnsi"/>
          <w:b/>
          <w:szCs w:val="24"/>
        </w:rPr>
      </w:pPr>
      <w:r>
        <w:rPr>
          <w:rFonts w:asciiTheme="minorHAnsi" w:hAnsiTheme="minorHAnsi" w:cstheme="minorHAnsi"/>
          <w:b/>
          <w:szCs w:val="24"/>
        </w:rPr>
        <w:tab/>
      </w:r>
    </w:p>
    <w:p w:rsidR="00D5771F" w:rsidRDefault="009B19CF">
      <w:pPr>
        <w:pStyle w:val="Heading3"/>
        <w:tabs>
          <w:tab w:val="clear" w:pos="720"/>
        </w:tabs>
        <w:spacing w:before="0"/>
        <w:ind w:left="993" w:hanging="993"/>
        <w:rPr>
          <w:rFonts w:asciiTheme="minorHAnsi" w:hAnsiTheme="minorHAnsi" w:cstheme="minorHAnsi"/>
          <w:szCs w:val="24"/>
        </w:rPr>
      </w:pPr>
      <w:r w:rsidRPr="00C60AD1">
        <w:rPr>
          <w:rFonts w:asciiTheme="minorHAnsi" w:hAnsiTheme="minorHAnsi" w:cstheme="minorHAnsi"/>
          <w:szCs w:val="24"/>
        </w:rPr>
        <w:t xml:space="preserve">The Licensees are directed to depict the Regulatory Surcharge separately and distinctly in the electricity bills of the consumers. The Commission directs the Licensee to maintain separate accounting fields for the regulatory surcharge </w:t>
      </w:r>
      <w:r w:rsidRPr="00C60AD1">
        <w:rPr>
          <w:rFonts w:asciiTheme="minorHAnsi" w:hAnsiTheme="minorHAnsi" w:cstheme="minorHAnsi"/>
          <w:szCs w:val="24"/>
        </w:rPr>
        <w:lastRenderedPageBreak/>
        <w:t>and capture the amounts collected as Regulatory Surcharge in both of its financial and commercial statements. This would enable the Licensee to correctly report the amounts collect</w:t>
      </w:r>
      <w:r>
        <w:rPr>
          <w:rFonts w:asciiTheme="minorHAnsi" w:hAnsiTheme="minorHAnsi" w:cstheme="minorHAnsi"/>
          <w:szCs w:val="24"/>
        </w:rPr>
        <w:t>ed towards Regulatory Surcharge</w:t>
      </w:r>
      <w:r w:rsidRPr="00C60AD1">
        <w:rPr>
          <w:rFonts w:asciiTheme="minorHAnsi" w:hAnsiTheme="minorHAnsi" w:cstheme="minorHAnsi"/>
          <w:szCs w:val="24"/>
        </w:rPr>
        <w:t>.</w:t>
      </w:r>
    </w:p>
    <w:p w:rsidR="00D5771F" w:rsidRDefault="009B19CF">
      <w:pPr>
        <w:pStyle w:val="Heading3"/>
        <w:tabs>
          <w:tab w:val="clear" w:pos="720"/>
        </w:tabs>
        <w:ind w:left="993" w:hanging="993"/>
        <w:rPr>
          <w:rFonts w:asciiTheme="minorHAnsi" w:hAnsiTheme="minorHAnsi" w:cstheme="minorHAnsi"/>
          <w:szCs w:val="24"/>
        </w:rPr>
      </w:pPr>
      <w:r w:rsidRPr="00C60AD1">
        <w:rPr>
          <w:rFonts w:asciiTheme="minorHAnsi" w:hAnsiTheme="minorHAnsi" w:cstheme="minorHAnsi"/>
          <w:szCs w:val="24"/>
        </w:rPr>
        <w:t>The Distribution Licensees are directed to submit the actual Regulatory Surcharge recovered in FY 2016</w:t>
      </w:r>
      <w:r>
        <w:rPr>
          <w:rFonts w:asciiTheme="minorHAnsi" w:hAnsiTheme="minorHAnsi" w:cstheme="minorHAnsi"/>
          <w:szCs w:val="24"/>
        </w:rPr>
        <w:t>-17</w:t>
      </w:r>
      <w:r w:rsidRPr="00C60AD1">
        <w:rPr>
          <w:rFonts w:asciiTheme="minorHAnsi" w:hAnsiTheme="minorHAnsi" w:cstheme="minorHAnsi"/>
          <w:szCs w:val="24"/>
        </w:rPr>
        <w:t xml:space="preserve"> on account of the Revenue Gap / Regulatory Asset admitted by the Commission in this Order along with the actual Distribution Losses achieved in FY 2016</w:t>
      </w:r>
      <w:r>
        <w:rPr>
          <w:rFonts w:asciiTheme="minorHAnsi" w:hAnsiTheme="minorHAnsi" w:cstheme="minorHAnsi"/>
          <w:szCs w:val="24"/>
        </w:rPr>
        <w:t>-1</w:t>
      </w:r>
      <w:r w:rsidR="008310D7">
        <w:rPr>
          <w:rFonts w:asciiTheme="minorHAnsi" w:hAnsiTheme="minorHAnsi" w:cstheme="minorHAnsi"/>
          <w:szCs w:val="24"/>
        </w:rPr>
        <w:t>7.</w:t>
      </w:r>
    </w:p>
    <w:p w:rsidR="009B19CF" w:rsidRDefault="009B19CF" w:rsidP="007B6435">
      <w:pPr>
        <w:pStyle w:val="Heading3"/>
        <w:numPr>
          <w:ilvl w:val="0"/>
          <w:numId w:val="0"/>
        </w:numPr>
        <w:tabs>
          <w:tab w:val="clear" w:pos="720"/>
        </w:tabs>
        <w:ind w:left="993"/>
      </w:pPr>
    </w:p>
    <w:p w:rsidR="002136A7" w:rsidRPr="002136A7" w:rsidRDefault="002136A7" w:rsidP="009B19CF">
      <w:pPr>
        <w:sectPr w:rsidR="002136A7" w:rsidRPr="002136A7" w:rsidSect="00675499">
          <w:pgSz w:w="11909" w:h="16834"/>
          <w:pgMar w:top="1440" w:right="1440" w:bottom="1440" w:left="1800" w:header="720" w:footer="720" w:gutter="0"/>
          <w:pgNumType w:chapSep="colon"/>
          <w:cols w:space="720"/>
          <w:docGrid w:linePitch="326"/>
        </w:sectPr>
      </w:pPr>
    </w:p>
    <w:p w:rsidR="00D5771F" w:rsidRDefault="00E72959">
      <w:pPr>
        <w:pStyle w:val="Heading1"/>
        <w:rPr>
          <w:rFonts w:asciiTheme="minorHAnsi" w:hAnsiTheme="minorHAnsi" w:cstheme="minorHAnsi"/>
          <w:szCs w:val="24"/>
        </w:rPr>
      </w:pPr>
      <w:bookmarkStart w:id="1849" w:name="_Toc357714429"/>
      <w:bookmarkStart w:id="1850" w:name="_Toc397332178"/>
      <w:bookmarkStart w:id="1851" w:name="_Toc397607933"/>
      <w:bookmarkStart w:id="1852" w:name="_Toc399623766"/>
      <w:bookmarkStart w:id="1853" w:name="_Toc422310092"/>
      <w:bookmarkStart w:id="1854" w:name="_Toc457603981"/>
      <w:r w:rsidRPr="00C60AD1">
        <w:rPr>
          <w:rFonts w:asciiTheme="minorHAnsi" w:hAnsiTheme="minorHAnsi" w:cstheme="minorHAnsi"/>
          <w:szCs w:val="24"/>
        </w:rPr>
        <w:lastRenderedPageBreak/>
        <w:t>DIRECTIVES</w:t>
      </w:r>
      <w:bookmarkEnd w:id="1849"/>
      <w:bookmarkEnd w:id="1850"/>
      <w:bookmarkEnd w:id="1851"/>
      <w:bookmarkEnd w:id="1852"/>
      <w:bookmarkEnd w:id="1853"/>
      <w:bookmarkEnd w:id="1854"/>
    </w:p>
    <w:p w:rsidR="00E72959" w:rsidRPr="00C60AD1" w:rsidRDefault="00E72959" w:rsidP="00E72959">
      <w:pPr>
        <w:pStyle w:val="Heading2"/>
        <w:numPr>
          <w:ilvl w:val="1"/>
          <w:numId w:val="31"/>
        </w:numPr>
      </w:pPr>
      <w:bookmarkStart w:id="1855" w:name="_Toc337201450"/>
      <w:bookmarkStart w:id="1856" w:name="_Toc357345054"/>
      <w:bookmarkStart w:id="1857" w:name="_Toc357714430"/>
      <w:bookmarkStart w:id="1858" w:name="_Toc397332179"/>
      <w:bookmarkStart w:id="1859" w:name="_Toc397607934"/>
      <w:bookmarkStart w:id="1860" w:name="_Toc399623767"/>
      <w:bookmarkStart w:id="1861" w:name="_Toc422310093"/>
      <w:bookmarkStart w:id="1862" w:name="_Toc457603982"/>
      <w:r w:rsidRPr="00C60AD1">
        <w:t xml:space="preserve">DIRECTIVES PROVIDED BY COMMISSION AND THEIR COMPLIANCE BY </w:t>
      </w:r>
      <w:bookmarkEnd w:id="1855"/>
      <w:bookmarkEnd w:id="1856"/>
      <w:r w:rsidRPr="00C60AD1">
        <w:t>LICENSEE</w:t>
      </w:r>
      <w:bookmarkEnd w:id="1857"/>
      <w:bookmarkEnd w:id="1858"/>
      <w:bookmarkEnd w:id="1859"/>
      <w:bookmarkEnd w:id="1860"/>
      <w:bookmarkEnd w:id="1861"/>
      <w:bookmarkEnd w:id="1862"/>
    </w:p>
    <w:p w:rsidR="00D5771F" w:rsidRDefault="00E72959">
      <w:pPr>
        <w:pStyle w:val="Heading3"/>
        <w:tabs>
          <w:tab w:val="clear" w:pos="720"/>
        </w:tabs>
        <w:spacing w:after="120"/>
        <w:ind w:left="993" w:hanging="993"/>
        <w:rPr>
          <w:rFonts w:asciiTheme="minorHAnsi" w:hAnsiTheme="minorHAnsi"/>
          <w:szCs w:val="24"/>
        </w:rPr>
      </w:pPr>
      <w:r w:rsidRPr="00C60AD1">
        <w:rPr>
          <w:rFonts w:asciiTheme="minorHAnsi" w:hAnsiTheme="minorHAnsi"/>
          <w:szCs w:val="24"/>
        </w:rPr>
        <w:t>The Commission had issued several directives to the Licensee in the previous</w:t>
      </w:r>
      <w:r>
        <w:rPr>
          <w:rFonts w:asciiTheme="minorHAnsi" w:hAnsiTheme="minorHAnsi"/>
          <w:szCs w:val="24"/>
        </w:rPr>
        <w:t xml:space="preserve"> Tariff Order dated May 31, 2013, </w:t>
      </w:r>
      <w:r w:rsidRPr="00C60AD1">
        <w:rPr>
          <w:rFonts w:asciiTheme="minorHAnsi" w:hAnsiTheme="minorHAnsi"/>
          <w:szCs w:val="24"/>
        </w:rPr>
        <w:t>October 1, 2014</w:t>
      </w:r>
      <w:r>
        <w:rPr>
          <w:rFonts w:asciiTheme="minorHAnsi" w:hAnsiTheme="minorHAnsi"/>
          <w:szCs w:val="24"/>
        </w:rPr>
        <w:t xml:space="preserve"> and June 18, 2015</w:t>
      </w:r>
      <w:r w:rsidRPr="00C60AD1">
        <w:rPr>
          <w:rFonts w:asciiTheme="minorHAnsi" w:hAnsiTheme="minorHAnsi"/>
          <w:szCs w:val="24"/>
        </w:rPr>
        <w:t>. The status of compliance as submitted by the Licensee is as detailed in the following Table:</w:t>
      </w:r>
    </w:p>
    <w:p w:rsidR="00E72959" w:rsidRPr="00F67978" w:rsidRDefault="006C63AF" w:rsidP="00E72959">
      <w:pPr>
        <w:spacing w:line="240" w:lineRule="auto"/>
        <w:jc w:val="center"/>
        <w:rPr>
          <w:b/>
        </w:rPr>
      </w:pPr>
      <w:bookmarkStart w:id="1863" w:name="_Toc399624147"/>
      <w:bookmarkStart w:id="1864" w:name="_Toc422309983"/>
      <w:bookmarkStart w:id="1865" w:name="_Toc457604094"/>
      <w:r w:rsidRPr="006C63AF">
        <w:rPr>
          <w:rFonts w:asciiTheme="minorHAnsi" w:hAnsiTheme="minorHAnsi" w:cstheme="minorHAnsi"/>
          <w:b/>
        </w:rPr>
        <w:t>Table 9</w:t>
      </w:r>
      <w:r w:rsidRPr="006C63AF">
        <w:rPr>
          <w:rFonts w:asciiTheme="minorHAnsi" w:hAnsiTheme="minorHAnsi" w:cstheme="minorHAnsi"/>
          <w:b/>
        </w:rPr>
        <w:noBreakHyphen/>
      </w:r>
      <w:r w:rsidR="009741CA" w:rsidRPr="006C63AF">
        <w:rPr>
          <w:rFonts w:asciiTheme="minorHAnsi" w:hAnsiTheme="minorHAnsi" w:cstheme="minorHAnsi"/>
          <w:b/>
        </w:rPr>
        <w:fldChar w:fldCharType="begin"/>
      </w:r>
      <w:r w:rsidRPr="006C63AF">
        <w:rPr>
          <w:rFonts w:asciiTheme="minorHAnsi" w:hAnsiTheme="minorHAnsi" w:cstheme="minorHAnsi"/>
          <w:b/>
        </w:rPr>
        <w:instrText xml:space="preserve"> SEQ Table \* ARABIC \s 1 </w:instrText>
      </w:r>
      <w:r w:rsidR="009741CA" w:rsidRPr="006C63AF">
        <w:rPr>
          <w:rFonts w:asciiTheme="minorHAnsi" w:hAnsiTheme="minorHAnsi" w:cstheme="minorHAnsi"/>
          <w:b/>
        </w:rPr>
        <w:fldChar w:fldCharType="separate"/>
      </w:r>
      <w:r w:rsidR="00BA08F0">
        <w:rPr>
          <w:rFonts w:asciiTheme="minorHAnsi" w:hAnsiTheme="minorHAnsi" w:cstheme="minorHAnsi"/>
          <w:b/>
          <w:noProof/>
        </w:rPr>
        <w:t>1</w:t>
      </w:r>
      <w:r w:rsidR="009741CA" w:rsidRPr="006C63AF">
        <w:rPr>
          <w:rFonts w:asciiTheme="minorHAnsi" w:hAnsiTheme="minorHAnsi" w:cstheme="minorHAnsi"/>
          <w:b/>
        </w:rPr>
        <w:fldChar w:fldCharType="end"/>
      </w:r>
      <w:r w:rsidRPr="006C63AF">
        <w:rPr>
          <w:rFonts w:asciiTheme="minorHAnsi" w:hAnsiTheme="minorHAnsi" w:cstheme="minorHAnsi"/>
          <w:b/>
        </w:rPr>
        <w:t>:</w:t>
      </w:r>
      <w:r w:rsidRPr="006C63AF">
        <w:rPr>
          <w:rFonts w:asciiTheme="minorHAnsi" w:hAnsiTheme="minorHAnsi" w:cstheme="minorHAnsi"/>
        </w:rPr>
        <w:t xml:space="preserve"> </w:t>
      </w:r>
      <w:r w:rsidRPr="006C63AF">
        <w:rPr>
          <w:rFonts w:asciiTheme="minorHAnsi" w:hAnsiTheme="minorHAnsi" w:cstheme="minorHAnsi"/>
          <w:b/>
        </w:rPr>
        <w:t>S</w:t>
      </w:r>
      <w:r w:rsidRPr="006C63AF">
        <w:rPr>
          <w:b/>
        </w:rPr>
        <w:t>TATUS OF COMPLIANCE OF DIRECTIVES</w:t>
      </w:r>
      <w:bookmarkEnd w:id="1863"/>
      <w:r w:rsidRPr="006C63AF">
        <w:rPr>
          <w:b/>
        </w:rPr>
        <w:t xml:space="preserve"> OF TARIFF ORDER FOR FY 2013-14 DATED MAY 31, 2013</w:t>
      </w:r>
      <w:bookmarkEnd w:id="1864"/>
      <w:bookmarkEnd w:id="1865"/>
    </w:p>
    <w:tbl>
      <w:tblPr>
        <w:tblW w:w="5335" w:type="pct"/>
        <w:tblInd w:w="-522" w:type="dxa"/>
        <w:tblLayout w:type="fixed"/>
        <w:tblLook w:val="04A0"/>
      </w:tblPr>
      <w:tblGrid>
        <w:gridCol w:w="720"/>
        <w:gridCol w:w="5851"/>
        <w:gridCol w:w="2340"/>
        <w:gridCol w:w="3964"/>
        <w:gridCol w:w="2244"/>
      </w:tblGrid>
      <w:tr w:rsidR="00C57509" w:rsidRPr="0035490D" w:rsidTr="00C801C6">
        <w:trPr>
          <w:trHeight w:val="340"/>
          <w:tblHeader/>
        </w:trPr>
        <w:tc>
          <w:tcPr>
            <w:tcW w:w="238" w:type="pct"/>
            <w:tcBorders>
              <w:top w:val="single" w:sz="4" w:space="0" w:color="auto"/>
              <w:left w:val="single" w:sz="8" w:space="0" w:color="auto"/>
              <w:bottom w:val="single" w:sz="4" w:space="0" w:color="auto"/>
              <w:right w:val="single" w:sz="4" w:space="0" w:color="auto"/>
            </w:tcBorders>
            <w:shd w:val="clear" w:color="auto" w:fill="DBE5F1" w:themeFill="accent1" w:themeFillTint="33"/>
            <w:hideMark/>
          </w:tcPr>
          <w:p w:rsidR="00337C98" w:rsidRDefault="00E34329" w:rsidP="00337C98">
            <w:pPr>
              <w:spacing w:before="0" w:line="240" w:lineRule="auto"/>
              <w:jc w:val="center"/>
              <w:rPr>
                <w:rFonts w:asciiTheme="minorHAnsi" w:hAnsiTheme="minorHAnsi"/>
                <w:b/>
                <w:sz w:val="22"/>
              </w:rPr>
            </w:pPr>
            <w:r w:rsidRPr="00E34329">
              <w:rPr>
                <w:rFonts w:asciiTheme="minorHAnsi" w:hAnsiTheme="minorHAnsi"/>
                <w:b/>
                <w:sz w:val="22"/>
              </w:rPr>
              <w:t>Sl. No</w:t>
            </w:r>
          </w:p>
        </w:tc>
        <w:tc>
          <w:tcPr>
            <w:tcW w:w="1935" w:type="pct"/>
            <w:tcBorders>
              <w:top w:val="single" w:sz="4" w:space="0" w:color="auto"/>
              <w:left w:val="nil"/>
              <w:bottom w:val="single" w:sz="4" w:space="0" w:color="auto"/>
              <w:right w:val="single" w:sz="4" w:space="0" w:color="auto"/>
            </w:tcBorders>
            <w:shd w:val="clear" w:color="auto" w:fill="DBE5F1" w:themeFill="accent1" w:themeFillTint="33"/>
            <w:hideMark/>
          </w:tcPr>
          <w:p w:rsidR="00337C98" w:rsidRDefault="00E34329" w:rsidP="00337C98">
            <w:pPr>
              <w:spacing w:before="0" w:line="240" w:lineRule="auto"/>
              <w:jc w:val="center"/>
              <w:rPr>
                <w:rFonts w:asciiTheme="minorHAnsi" w:hAnsiTheme="minorHAnsi"/>
                <w:b/>
                <w:sz w:val="22"/>
              </w:rPr>
            </w:pPr>
            <w:r w:rsidRPr="00E34329">
              <w:rPr>
                <w:rFonts w:asciiTheme="minorHAnsi" w:hAnsiTheme="minorHAnsi"/>
                <w:b/>
                <w:sz w:val="22"/>
              </w:rPr>
              <w:t>Description of Directive</w:t>
            </w:r>
          </w:p>
        </w:tc>
        <w:tc>
          <w:tcPr>
            <w:tcW w:w="774" w:type="pct"/>
            <w:tcBorders>
              <w:top w:val="single" w:sz="4" w:space="0" w:color="auto"/>
              <w:left w:val="nil"/>
              <w:bottom w:val="single" w:sz="4" w:space="0" w:color="auto"/>
              <w:right w:val="single" w:sz="4" w:space="0" w:color="auto"/>
            </w:tcBorders>
            <w:shd w:val="clear" w:color="auto" w:fill="DBE5F1" w:themeFill="accent1" w:themeFillTint="33"/>
            <w:hideMark/>
          </w:tcPr>
          <w:p w:rsidR="00337C98" w:rsidRDefault="00E34329" w:rsidP="00337C98">
            <w:pPr>
              <w:spacing w:before="0" w:line="240" w:lineRule="auto"/>
              <w:jc w:val="center"/>
              <w:rPr>
                <w:rFonts w:asciiTheme="minorHAnsi" w:hAnsiTheme="minorHAnsi"/>
                <w:b/>
                <w:sz w:val="22"/>
              </w:rPr>
            </w:pPr>
            <w:r w:rsidRPr="00E34329">
              <w:rPr>
                <w:rFonts w:asciiTheme="minorHAnsi" w:hAnsiTheme="minorHAnsi"/>
                <w:b/>
                <w:sz w:val="22"/>
              </w:rPr>
              <w:t>Time Period for compliance from the date of issue of the Tariff Order</w:t>
            </w:r>
          </w:p>
        </w:tc>
        <w:tc>
          <w:tcPr>
            <w:tcW w:w="1311" w:type="pct"/>
            <w:tcBorders>
              <w:top w:val="single" w:sz="4" w:space="0" w:color="auto"/>
              <w:left w:val="nil"/>
              <w:bottom w:val="single" w:sz="4" w:space="0" w:color="auto"/>
              <w:right w:val="single" w:sz="4" w:space="0" w:color="auto"/>
            </w:tcBorders>
            <w:shd w:val="clear" w:color="auto" w:fill="DBE5F1" w:themeFill="accent1" w:themeFillTint="33"/>
            <w:hideMark/>
          </w:tcPr>
          <w:p w:rsidR="00337C98" w:rsidRDefault="00E34329" w:rsidP="00337C98">
            <w:pPr>
              <w:spacing w:before="0" w:line="240" w:lineRule="auto"/>
              <w:jc w:val="center"/>
              <w:rPr>
                <w:rFonts w:asciiTheme="minorHAnsi" w:hAnsiTheme="minorHAnsi"/>
                <w:b/>
                <w:sz w:val="22"/>
              </w:rPr>
            </w:pPr>
            <w:r w:rsidRPr="00E34329">
              <w:rPr>
                <w:rFonts w:asciiTheme="minorHAnsi" w:hAnsiTheme="minorHAnsi"/>
                <w:b/>
                <w:sz w:val="22"/>
              </w:rPr>
              <w:t>Status of Compliance as submitted by Petitioner in Petition</w:t>
            </w:r>
          </w:p>
        </w:tc>
        <w:tc>
          <w:tcPr>
            <w:tcW w:w="742" w:type="pct"/>
            <w:tcBorders>
              <w:top w:val="single" w:sz="4" w:space="0" w:color="auto"/>
              <w:left w:val="nil"/>
              <w:bottom w:val="single" w:sz="4" w:space="0" w:color="auto"/>
              <w:right w:val="single" w:sz="8" w:space="0" w:color="auto"/>
            </w:tcBorders>
            <w:shd w:val="clear" w:color="auto" w:fill="DBE5F1" w:themeFill="accent1" w:themeFillTint="33"/>
            <w:hideMark/>
          </w:tcPr>
          <w:p w:rsidR="00337C98" w:rsidRDefault="00E34329" w:rsidP="00337C98">
            <w:pPr>
              <w:spacing w:before="0" w:line="240" w:lineRule="auto"/>
              <w:jc w:val="center"/>
              <w:rPr>
                <w:rFonts w:asciiTheme="minorHAnsi" w:hAnsiTheme="minorHAnsi"/>
                <w:b/>
                <w:sz w:val="22"/>
              </w:rPr>
            </w:pPr>
            <w:r w:rsidRPr="00E34329">
              <w:rPr>
                <w:rFonts w:asciiTheme="minorHAnsi" w:hAnsiTheme="minorHAnsi"/>
                <w:b/>
                <w:sz w:val="22"/>
              </w:rPr>
              <w:t>Commission's Direction</w:t>
            </w:r>
          </w:p>
        </w:tc>
      </w:tr>
      <w:tr w:rsidR="00C57509" w:rsidRPr="0035490D" w:rsidTr="0035490D">
        <w:trPr>
          <w:trHeight w:val="1592"/>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1</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pressingly pursue the proposal for allocation of PPAs to Discoms with GoUP and expedite the process of allocation.</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Immediate</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submitted that the process of allocation of PPAs to the Discoms has already been sent to the GoUP for notification and the matter is still pending at their level.</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 xml:space="preserve">The Licensee should pursue the matter with GoUP and complete the process at the earliest. </w:t>
            </w:r>
          </w:p>
        </w:tc>
      </w:tr>
      <w:tr w:rsidR="00C57509" w:rsidRPr="0035490D" w:rsidTr="0035490D">
        <w:trPr>
          <w:trHeight w:val="2132"/>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2</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pressingly pursue the GoUP for finalisation of the Transfer Scheme and submit a copy of the same.</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Within 3 months</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submitted that the matter is being handled through the holding company namely UPPCL on behalf of all the Discoms which is pressingly pursuing the matter with the GoUP for the finalization of the Transfer Scheme.</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r w:rsidR="00C57509" w:rsidRPr="0035490D" w:rsidTr="005828E5">
        <w:trPr>
          <w:trHeight w:val="10684"/>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lastRenderedPageBreak/>
              <w:t>3</w:t>
            </w:r>
          </w:p>
        </w:tc>
        <w:tc>
          <w:tcPr>
            <w:tcW w:w="1935"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 xml:space="preserve">The Commission reiterates its direction to the Licensee to ensure proper maintenance of detailed fixed assets registers as specified in the Distribution Tariff Regulations.  As the fixed asset registers are pending since the creation of Discom, the Commission directs the Licensee to submit a status report and provide the proposed timelines / milestones for clearing the backlog. </w:t>
            </w:r>
            <w:r w:rsidRPr="00E34329">
              <w:rPr>
                <w:rFonts w:asciiTheme="minorHAnsi" w:hAnsiTheme="minorHAnsi"/>
                <w:color w:val="000000"/>
                <w:sz w:val="22"/>
                <w:szCs w:val="22"/>
              </w:rPr>
              <w:br/>
              <w:t>The Commission understands that clearing the backlog would take substantive time. In order to ensure that fixed asset registers are timely and regularly prepared going forward, the Commission directs the Licensee to prepare the fixed asset registers duly accounting for the yearly capitalisation from FY 2012-13 onwards. The capitalisation for the period before that may be shown on gross level basis. This dispensation is merely to ensure that the proper asset registers capturing all necessary details of the asset, including the costs incurred, date of commissioning, location of asset, and all other technical details are maintained for the ensuing years. However, the Licensee would also be required to clear the backlog in a time bound manner. Upon finalisation of the Transfer Scheme and clearing of backlog, the Licensee may update the fixed asset registers appropriately by passing necessary adjustments.</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Immediate</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submitted that it has not been able to finalise the preparation of the FARs due to the huge backlog of previous financial years. The Petitioner requested time extension in this regard.</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r w:rsidR="00C57509" w:rsidRPr="0035490D" w:rsidTr="0035490D">
        <w:trPr>
          <w:trHeight w:val="3500"/>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lastRenderedPageBreak/>
              <w:t>4</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frame an appropriate policy on capitalization of (i) employee costs, and (ii) A&amp;G expenses.</w:t>
            </w:r>
          </w:p>
          <w:p w:rsidR="00337C98" w:rsidRDefault="00337C98" w:rsidP="00337C98">
            <w:pPr>
              <w:spacing w:before="0" w:line="240" w:lineRule="auto"/>
              <w:rPr>
                <w:rFonts w:asciiTheme="minorHAnsi" w:hAnsiTheme="minorHAnsi" w:cs="Arial"/>
                <w:bCs/>
                <w:sz w:val="22"/>
                <w:szCs w:val="22"/>
              </w:rPr>
            </w:pPr>
          </w:p>
          <w:p w:rsidR="00337C98" w:rsidRDefault="00337C98" w:rsidP="00337C98">
            <w:pPr>
              <w:spacing w:before="0" w:line="240" w:lineRule="auto"/>
              <w:rPr>
                <w:rFonts w:asciiTheme="minorHAnsi" w:hAnsiTheme="minorHAnsi" w:cs="Arial"/>
                <w:bCs/>
                <w:sz w:val="22"/>
                <w:szCs w:val="22"/>
              </w:rPr>
            </w:pPr>
          </w:p>
          <w:p w:rsidR="00337C98" w:rsidRDefault="00337C98" w:rsidP="00337C98">
            <w:pPr>
              <w:spacing w:before="0" w:line="240" w:lineRule="auto"/>
              <w:rPr>
                <w:rFonts w:asciiTheme="minorHAnsi" w:hAnsiTheme="minorHAnsi" w:cs="Arial"/>
                <w:bCs/>
                <w:sz w:val="22"/>
                <w:szCs w:val="22"/>
              </w:rPr>
            </w:pPr>
          </w:p>
          <w:p w:rsidR="00337C98" w:rsidRDefault="00337C98" w:rsidP="00337C98">
            <w:pPr>
              <w:spacing w:before="0" w:line="240" w:lineRule="auto"/>
              <w:rPr>
                <w:rFonts w:asciiTheme="minorHAnsi" w:hAnsiTheme="minorHAnsi" w:cs="Arial"/>
                <w:bCs/>
                <w:sz w:val="22"/>
                <w:szCs w:val="22"/>
              </w:rPr>
            </w:pPr>
          </w:p>
          <w:p w:rsidR="00337C98" w:rsidRDefault="00337C98" w:rsidP="00337C98">
            <w:pPr>
              <w:spacing w:before="0" w:line="240" w:lineRule="auto"/>
              <w:rPr>
                <w:rFonts w:asciiTheme="minorHAnsi" w:hAnsiTheme="minorHAnsi" w:cs="Arial"/>
                <w:bCs/>
                <w:sz w:val="22"/>
                <w:szCs w:val="22"/>
              </w:rPr>
            </w:pPr>
          </w:p>
          <w:p w:rsidR="00337C98" w:rsidRDefault="00337C98" w:rsidP="00337C98">
            <w:pPr>
              <w:spacing w:before="0" w:line="240" w:lineRule="auto"/>
              <w:rPr>
                <w:rFonts w:asciiTheme="minorHAnsi" w:hAnsiTheme="minorHAnsi" w:cs="Arial"/>
                <w:bCs/>
                <w:sz w:val="22"/>
                <w:szCs w:val="22"/>
              </w:rPr>
            </w:pPr>
          </w:p>
          <w:p w:rsidR="00337C98" w:rsidRDefault="00337C98" w:rsidP="00337C98">
            <w:pPr>
              <w:spacing w:before="0" w:line="240" w:lineRule="auto"/>
              <w:rPr>
                <w:rFonts w:asciiTheme="minorHAnsi" w:hAnsiTheme="minorHAnsi" w:cs="Arial"/>
                <w:bCs/>
                <w:sz w:val="22"/>
                <w:szCs w:val="22"/>
              </w:rPr>
            </w:pP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Along with the petition for FY 2014-15</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Petitioner’s policy on capitalization of (i) Employee costs, and (ii) A&amp;G expenses has been provided in the Notes on Accounts annexed with the audited accounts which is reproduced below:</w:t>
            </w:r>
            <w:r w:rsidRPr="00E34329">
              <w:rPr>
                <w:rFonts w:asciiTheme="minorHAnsi" w:hAnsiTheme="minorHAnsi"/>
                <w:i/>
                <w:color w:val="000000"/>
                <w:sz w:val="22"/>
                <w:szCs w:val="22"/>
              </w:rPr>
              <w:t>“Due to multiplicity of functional units as well as multiplicity of function at particular unit, employee cost and general &amp; administration expenses to capital works are capitalised @ 15% on distribution and deposit work, 11% on other works on the amount of total expenditure.”</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r w:rsidR="00C57509" w:rsidRPr="0035490D" w:rsidTr="0035490D">
        <w:trPr>
          <w:trHeight w:val="1547"/>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5</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submit Fresh Actuarial Valuation Study Report in respect to employee expenses.</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Along with the petition for FY 2014-15</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submitted that the matter would be taken up at UPPCL level as the employees of the Licensee are not its core employees but common employees across all Discoms, UPPTCL and UPPCL.</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r w:rsidR="00C57509" w:rsidRPr="0035490D" w:rsidTr="0035490D">
        <w:trPr>
          <w:trHeight w:val="85"/>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6</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 xml:space="preserve">As lack of approved transparent policy on identifying and writing off bad debts is hindering allowance of bad debts as an ARR component; the Commission directs the Licensee to submit ten sample cases of LT &amp; HT consumers where Orders have been issued for writing off bad debts, clearly depicting the procedure adopted for writing off bad debts along with policy framework for managing bad debts for the </w:t>
            </w:r>
            <w:r w:rsidRPr="00E34329">
              <w:rPr>
                <w:rFonts w:asciiTheme="minorHAnsi" w:hAnsiTheme="minorHAnsi"/>
                <w:color w:val="000000"/>
                <w:sz w:val="22"/>
                <w:szCs w:val="22"/>
              </w:rPr>
              <w:lastRenderedPageBreak/>
              <w:t>Commission’s perusal.</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lastRenderedPageBreak/>
              <w:t>Within 1 month</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 xml:space="preserve">The Petitioner submitted that it had submitted a procedure for identifying and writing off old arrears and a copy of the same was submitted to the Commission during the proceedings in respect of ARR and Tariff Petition for FY 2014-15. Appropriate directions have been issued </w:t>
            </w:r>
            <w:r w:rsidRPr="00E34329">
              <w:rPr>
                <w:rFonts w:asciiTheme="minorHAnsi" w:hAnsiTheme="minorHAnsi"/>
                <w:color w:val="000000"/>
                <w:sz w:val="22"/>
                <w:szCs w:val="22"/>
              </w:rPr>
              <w:lastRenderedPageBreak/>
              <w:t>to the field units to compile the sample cases based on such Order issued by the licensee.</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lastRenderedPageBreak/>
              <w:t>The Commission has addressed the same in its directive for FY 2016-17</w:t>
            </w:r>
          </w:p>
        </w:tc>
      </w:tr>
      <w:tr w:rsidR="00C57509" w:rsidRPr="0035490D" w:rsidTr="0035490D">
        <w:trPr>
          <w:trHeight w:val="1682"/>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lastRenderedPageBreak/>
              <w:t>7</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evolve principles for prudent segregation of ARR towards wheeling function and retail supply function embedded in the distribution function in accordance with Clause 2.1.2 of the Distribution Tariff Regulations.</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Within 4 months</w:t>
            </w:r>
          </w:p>
        </w:tc>
        <w:tc>
          <w:tcPr>
            <w:tcW w:w="1311"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Licensee submitted that the same would be taken up subsequent to the notification of the Multi Year Tariff Regulations which are currently under formulation.</w:t>
            </w:r>
          </w:p>
        </w:tc>
        <w:tc>
          <w:tcPr>
            <w:tcW w:w="742" w:type="pct"/>
            <w:tcBorders>
              <w:top w:val="nil"/>
              <w:left w:val="nil"/>
              <w:bottom w:val="single" w:sz="4" w:space="0" w:color="auto"/>
              <w:right w:val="single" w:sz="8"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should comply with the direction of the Commission as per the time lines mentioned in the UPERC MYT, Regulations, 2014.</w:t>
            </w:r>
          </w:p>
        </w:tc>
      </w:tr>
      <w:tr w:rsidR="00C57509" w:rsidRPr="0035490D" w:rsidTr="0035490D">
        <w:trPr>
          <w:trHeight w:val="3302"/>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8</w:t>
            </w:r>
          </w:p>
        </w:tc>
        <w:tc>
          <w:tcPr>
            <w:tcW w:w="1935"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 xml:space="preserve">The Commission directs the Licensee to submit a long term business plan in accordance with Clause 2.1.7 of the Distribution Tariff Regulations. </w:t>
            </w:r>
          </w:p>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Licensee in such business plan shall identify capex projects for the ensuing year and subsequent four years and submit detailed capital investment plan along with a financing plan for undertaking the identified projects in order to meet the requirement of load growth, refurbishment and replacement of equipment, reduction in distribution losses, improvement of voltage profile, improvement in quality of supply, system reliability, metering, communication and computerization, etc.</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Within 3 months</w:t>
            </w:r>
          </w:p>
        </w:tc>
        <w:tc>
          <w:tcPr>
            <w:tcW w:w="1311"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Licensee submitted that the same would be taken up subsequent to the notification of the Multi Year Tariff Regulations which are current under formulation.</w:t>
            </w:r>
          </w:p>
        </w:tc>
        <w:tc>
          <w:tcPr>
            <w:tcW w:w="742" w:type="pct"/>
            <w:tcBorders>
              <w:top w:val="nil"/>
              <w:left w:val="nil"/>
              <w:bottom w:val="single" w:sz="4" w:space="0" w:color="auto"/>
              <w:right w:val="single" w:sz="8"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should submit the business plan for the control period as per the UPERC MYT, Distribution Tariff Regulations, 2014 at the earliest.</w:t>
            </w:r>
          </w:p>
        </w:tc>
      </w:tr>
      <w:tr w:rsidR="00C57509" w:rsidRPr="0035490D" w:rsidTr="0035490D">
        <w:trPr>
          <w:trHeight w:val="1052"/>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lastRenderedPageBreak/>
              <w:t>9</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conduct benchmarking studies to determine the desired performance standards in accordance with Clause 2.1.8 of the Distribution Tariff Regulations.</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Within 3 months</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submits that as per the Uttar Pradesh Electricity Regulatory Commission (Multi Year Distribution Tariff) Regulations, 2014 the benchmarking studies have to be undertaken by the distribution companies are to be taken up. Accordingly, the distribution companies are most likely to take up the same at the earliest.</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r w:rsidR="00C57509" w:rsidRPr="0035490D" w:rsidTr="0035490D">
        <w:trPr>
          <w:trHeight w:val="3473"/>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10</w:t>
            </w:r>
          </w:p>
        </w:tc>
        <w:tc>
          <w:tcPr>
            <w:tcW w:w="1935"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conduct proper loss estimate studies for assessment of technical and commercial losses under its supervision so that the Commission may set the base line losses in accordance with Clause 3.2.3 and Clause 3.2.4 of the Distribution Tariff Regulations and submit the report to the Commission. The study shall segregate voltage-wise distribution losses into technical loss (i.e. Ohmic/Core loss in the lines, substations and equipment) and commercial loss (i.e. unaccounted energy due to metering inaccuracies/inadequacies, pilferage of energy, improper billing, no billing, unrealized revenues etc.).</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Within 3 months</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PFC Consulting Ltd has submitted a draft approach paper which is in discussion stage. Once the approach paper is finalised, the Petitioner would submit the same to the Commission.</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should submit the same at the earliest</w:t>
            </w:r>
          </w:p>
        </w:tc>
      </w:tr>
      <w:tr w:rsidR="00C57509" w:rsidRPr="0035490D" w:rsidTr="0035490D">
        <w:trPr>
          <w:trHeight w:val="1952"/>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lastRenderedPageBreak/>
              <w:t>11</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conduct Cost of Service studies which would serve as a tool for alignment of costs and charges and submit details regarding the cost of service studies for each category or voltage level.</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Within 6 months</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PFC Consulting Ltd. has submitted a draft approach paper which is in discussion stage. Once the approach paper is finalised, the Petitioner would submit the same to the Commission.</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should submit the same at the earliest</w:t>
            </w:r>
          </w:p>
        </w:tc>
      </w:tr>
      <w:tr w:rsidR="00C57509" w:rsidRPr="0035490D" w:rsidTr="0035490D">
        <w:trPr>
          <w:trHeight w:val="3230"/>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12</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Commission directs the Licensee to submit a road map for 100% metering in its licensed area. However, based on the ground realities, if the Distribution Licensee seeks exemption towards its metering obligation for any particular category of consumers, it must provide the Commission revised norms specific for its supply area, based on fresh studies, for assessment of consumption for these categories. Sales forecast for un-metered categories shall be validated with norms approved by the Commission on the basis of above study carried out by the Licensee.</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Within 2 months</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Petitioner submitted that as per the Uttar Pradesh Electricity Regulatory Commission (Multi Year Distribution Tariff) Regulations, 2014 the study for assessment of metered and unmetered consumers has to be completed within a defined time frame. The road map of 100% metering has already been defined by the Commission.</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r w:rsidR="00C57509" w:rsidRPr="0035490D" w:rsidTr="0035490D">
        <w:trPr>
          <w:trHeight w:val="4490"/>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lastRenderedPageBreak/>
              <w:t>13</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install electronic meters in the residential consumers under LMV-10 category and submit a progress report every month.</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Within one month</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submits that Section 23 (7) of Electricity Reforms Act, 1999 provides that “terms and condition of service of the personnel shall not be less favorable to the terms and condition which were applicable to them before the transfer”.  The same spirit has been echoed under first proviso of section 133 (2) of the Electricity Act, 2003. The benefits for employees / pensioners as provided in section 12 (b) (ii) of the Uttar Pradesh Reform Transfer Scheme, 2000 include “concessional rate of electricity”, which means concession in rate of electricity to the extent it is not inferior to what was existing before 14th January, 2000.</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r w:rsidR="00C57509" w:rsidRPr="0035490D" w:rsidTr="0035490D">
        <w:trPr>
          <w:trHeight w:val="1340"/>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14</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submit data related to its peak demand and off peak demand in MW along with its sales projections in accordance with Clause 3.1.4 of the Distribution Tariff Regulations.</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Along with the petition for FY 2014-15</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 The Petitioner has not submitted any reply.-</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r w:rsidR="00C57509" w:rsidRPr="0035490D" w:rsidTr="0035490D">
        <w:trPr>
          <w:trHeight w:val="2159"/>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lastRenderedPageBreak/>
              <w:t>15</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reconcile the inter-unit balances lying un-reconciled either itself or through independent chartered accountant firms.</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Along with the petition for FY 2014-15</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submitted that the determination of tariff is done by the  Commission on normative basis based on the Tariff Regulations. As such the inter-unit reconciliation has no forbearance on the ARR and Tariff determination and assessment of revenue gap.</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r w:rsidR="00C57509" w:rsidRPr="0035490D" w:rsidTr="0035490D">
        <w:trPr>
          <w:trHeight w:val="594"/>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16</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file submissions in respect of FPPCA in a timely and regular manner.</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Every quarter as per the time frame prescribed in the Regulations</w:t>
            </w:r>
          </w:p>
        </w:tc>
        <w:tc>
          <w:tcPr>
            <w:tcW w:w="1311"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may kindly be allowed some more time.</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r w:rsidR="00C57509" w:rsidRPr="0035490D" w:rsidTr="0035490D">
        <w:trPr>
          <w:trHeight w:val="590"/>
        </w:trPr>
        <w:tc>
          <w:tcPr>
            <w:tcW w:w="238" w:type="pct"/>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17</w:t>
            </w:r>
          </w:p>
        </w:tc>
        <w:tc>
          <w:tcPr>
            <w:tcW w:w="1935"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directs the Licensee to depict the regulatory surcharge distinctly in the electricity bills of the consumers and create separate accounting fields to capture the amounts collected as regulatory surcharge in both of its financial and commercial statements. The Commission directs the Licensee to provide the details of the regulatory surcharge so collected for FY 2013-14 duly certified by the statutory auditor.</w:t>
            </w:r>
          </w:p>
        </w:tc>
        <w:tc>
          <w:tcPr>
            <w:tcW w:w="774"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olor w:val="000000"/>
                <w:sz w:val="22"/>
                <w:szCs w:val="22"/>
              </w:rPr>
            </w:pPr>
            <w:r w:rsidRPr="00E34329">
              <w:rPr>
                <w:rFonts w:asciiTheme="minorHAnsi" w:hAnsiTheme="minorHAnsi"/>
                <w:color w:val="000000"/>
                <w:sz w:val="22"/>
                <w:szCs w:val="22"/>
              </w:rPr>
              <w:t>By 30th September 2014</w:t>
            </w:r>
          </w:p>
        </w:tc>
        <w:tc>
          <w:tcPr>
            <w:tcW w:w="1311"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Petitioner has not submitted any reply.</w:t>
            </w:r>
          </w:p>
        </w:tc>
        <w:tc>
          <w:tcPr>
            <w:tcW w:w="742" w:type="pct"/>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olor w:val="000000"/>
                <w:sz w:val="22"/>
                <w:szCs w:val="22"/>
              </w:rPr>
            </w:pPr>
            <w:r w:rsidRPr="00E34329">
              <w:rPr>
                <w:rFonts w:asciiTheme="minorHAnsi" w:hAnsiTheme="minorHAnsi"/>
                <w:color w:val="000000"/>
                <w:sz w:val="22"/>
                <w:szCs w:val="22"/>
              </w:rPr>
              <w:t>The Commission has addressed the same in its directive for FY 2016-17</w:t>
            </w:r>
          </w:p>
        </w:tc>
      </w:tr>
    </w:tbl>
    <w:p w:rsidR="00C02F83" w:rsidRDefault="00C02F83" w:rsidP="00DD22AB">
      <w:pPr>
        <w:spacing w:before="0"/>
        <w:rPr>
          <w:b/>
        </w:rPr>
        <w:sectPr w:rsidR="00C02F83" w:rsidSect="00077A9E">
          <w:pgSz w:w="16834" w:h="11909" w:orient="landscape"/>
          <w:pgMar w:top="1800" w:right="1440" w:bottom="1440" w:left="1440" w:header="720" w:footer="720" w:gutter="0"/>
          <w:pgNumType w:chapSep="colon"/>
          <w:cols w:space="720"/>
          <w:docGrid w:linePitch="326"/>
        </w:sectPr>
      </w:pPr>
    </w:p>
    <w:p w:rsidR="00E72959" w:rsidRDefault="005525A4" w:rsidP="00E72959">
      <w:pPr>
        <w:jc w:val="center"/>
        <w:rPr>
          <w:b/>
        </w:rPr>
      </w:pPr>
      <w:bookmarkStart w:id="1866" w:name="_Toc457604095"/>
      <w:r w:rsidRPr="005525A4">
        <w:rPr>
          <w:rFonts w:asciiTheme="minorHAnsi" w:hAnsiTheme="minorHAnsi" w:cstheme="minorHAnsi"/>
          <w:b/>
        </w:rPr>
        <w:lastRenderedPageBreak/>
        <w:t xml:space="preserve">Table </w:t>
      </w:r>
      <w:r>
        <w:rPr>
          <w:rFonts w:asciiTheme="minorHAnsi" w:hAnsiTheme="minorHAnsi" w:cstheme="minorHAnsi"/>
          <w:b/>
        </w:rPr>
        <w:t>9</w:t>
      </w:r>
      <w:r w:rsidRPr="005525A4">
        <w:rPr>
          <w:rFonts w:asciiTheme="minorHAnsi" w:hAnsiTheme="minorHAnsi" w:cstheme="minorHAnsi"/>
          <w:b/>
        </w:rPr>
        <w:noBreakHyphen/>
      </w:r>
      <w:r w:rsidR="009741CA" w:rsidRPr="005525A4">
        <w:rPr>
          <w:rFonts w:asciiTheme="minorHAnsi" w:hAnsiTheme="minorHAnsi" w:cstheme="minorHAnsi"/>
          <w:b/>
        </w:rPr>
        <w:fldChar w:fldCharType="begin"/>
      </w:r>
      <w:r w:rsidRPr="005525A4">
        <w:rPr>
          <w:rFonts w:asciiTheme="minorHAnsi" w:hAnsiTheme="minorHAnsi" w:cstheme="minorHAnsi"/>
          <w:b/>
        </w:rPr>
        <w:instrText xml:space="preserve"> SEQ Table \* ARABIC \s 1 </w:instrText>
      </w:r>
      <w:r w:rsidR="009741CA" w:rsidRPr="005525A4">
        <w:rPr>
          <w:rFonts w:asciiTheme="minorHAnsi" w:hAnsiTheme="minorHAnsi" w:cstheme="minorHAnsi"/>
          <w:b/>
        </w:rPr>
        <w:fldChar w:fldCharType="separate"/>
      </w:r>
      <w:r w:rsidR="00BA08F0">
        <w:rPr>
          <w:rFonts w:asciiTheme="minorHAnsi" w:hAnsiTheme="minorHAnsi" w:cstheme="minorHAnsi"/>
          <w:b/>
          <w:noProof/>
        </w:rPr>
        <w:t>2</w:t>
      </w:r>
      <w:r w:rsidR="009741CA" w:rsidRPr="005525A4">
        <w:rPr>
          <w:rFonts w:asciiTheme="minorHAnsi" w:hAnsiTheme="minorHAnsi" w:cstheme="minorHAnsi"/>
          <w:b/>
        </w:rPr>
        <w:fldChar w:fldCharType="end"/>
      </w:r>
      <w:r w:rsidRPr="005525A4">
        <w:rPr>
          <w:rFonts w:asciiTheme="minorHAnsi" w:hAnsiTheme="minorHAnsi" w:cstheme="minorHAnsi"/>
          <w:b/>
        </w:rPr>
        <w:t>:</w:t>
      </w:r>
      <w:r w:rsidRPr="00E34329">
        <w:rPr>
          <w:rFonts w:asciiTheme="minorHAnsi" w:hAnsiTheme="minorHAnsi" w:cstheme="minorHAnsi"/>
        </w:rPr>
        <w:t xml:space="preserve"> </w:t>
      </w:r>
      <w:r w:rsidR="00E34329" w:rsidRPr="00E34329">
        <w:rPr>
          <w:rFonts w:asciiTheme="minorHAnsi" w:hAnsiTheme="minorHAnsi" w:cstheme="minorHAnsi"/>
          <w:b/>
        </w:rPr>
        <w:t>S</w:t>
      </w:r>
      <w:r w:rsidR="00E34329" w:rsidRPr="00E34329">
        <w:rPr>
          <w:b/>
        </w:rPr>
        <w:t>TATUS</w:t>
      </w:r>
      <w:r w:rsidR="00E72959" w:rsidRPr="00C60AD1">
        <w:rPr>
          <w:b/>
        </w:rPr>
        <w:t xml:space="preserve"> OF COMPLIANCE OF DIRECTIVES OF TARIFF ORDER </w:t>
      </w:r>
      <w:r w:rsidR="00E72959">
        <w:rPr>
          <w:b/>
        </w:rPr>
        <w:t xml:space="preserve">FOR FY 2014-15 </w:t>
      </w:r>
      <w:r w:rsidR="00E72959" w:rsidRPr="00C60AD1">
        <w:rPr>
          <w:b/>
        </w:rPr>
        <w:t>DATED OCTOBER 1, 2014</w:t>
      </w:r>
      <w:bookmarkEnd w:id="1866"/>
    </w:p>
    <w:tbl>
      <w:tblPr>
        <w:tblW w:w="15480" w:type="dxa"/>
        <w:jc w:val="center"/>
        <w:tblInd w:w="-1102" w:type="dxa"/>
        <w:tblLayout w:type="fixed"/>
        <w:tblCellMar>
          <w:left w:w="115" w:type="dxa"/>
          <w:right w:w="115" w:type="dxa"/>
        </w:tblCellMar>
        <w:tblLook w:val="04A0"/>
      </w:tblPr>
      <w:tblGrid>
        <w:gridCol w:w="673"/>
        <w:gridCol w:w="4320"/>
        <w:gridCol w:w="2520"/>
        <w:gridCol w:w="5850"/>
        <w:gridCol w:w="2117"/>
      </w:tblGrid>
      <w:tr w:rsidR="00C02F83" w:rsidRPr="0035490D" w:rsidTr="005828E5">
        <w:trPr>
          <w:cantSplit/>
          <w:trHeight w:val="1088"/>
          <w:tblHeader/>
          <w:jc w:val="center"/>
        </w:trPr>
        <w:tc>
          <w:tcPr>
            <w:tcW w:w="673" w:type="dxa"/>
            <w:tcBorders>
              <w:top w:val="single" w:sz="4" w:space="0" w:color="auto"/>
              <w:left w:val="single" w:sz="8" w:space="0" w:color="auto"/>
              <w:bottom w:val="single" w:sz="4" w:space="0" w:color="auto"/>
              <w:right w:val="single" w:sz="4" w:space="0" w:color="auto"/>
            </w:tcBorders>
            <w:shd w:val="clear" w:color="auto" w:fill="DBE5F1" w:themeFill="accent1" w:themeFillTint="33"/>
            <w:hideMark/>
          </w:tcPr>
          <w:p w:rsidR="00337C98" w:rsidRDefault="00E34329" w:rsidP="00337C98">
            <w:pPr>
              <w:spacing w:before="0" w:line="240" w:lineRule="auto"/>
              <w:jc w:val="center"/>
              <w:rPr>
                <w:rFonts w:asciiTheme="minorHAnsi" w:hAnsiTheme="minorHAnsi" w:cstheme="minorHAnsi"/>
                <w:b/>
                <w:bCs/>
                <w:color w:val="000000" w:themeColor="text1"/>
                <w:sz w:val="22"/>
                <w:szCs w:val="22"/>
              </w:rPr>
            </w:pPr>
            <w:r w:rsidRPr="00E34329">
              <w:rPr>
                <w:rFonts w:asciiTheme="minorHAnsi" w:hAnsiTheme="minorHAnsi" w:cstheme="minorHAnsi"/>
                <w:b/>
                <w:bCs/>
                <w:color w:val="000000" w:themeColor="text1"/>
                <w:sz w:val="22"/>
                <w:szCs w:val="22"/>
              </w:rPr>
              <w:t>Sl. No</w:t>
            </w:r>
          </w:p>
        </w:tc>
        <w:tc>
          <w:tcPr>
            <w:tcW w:w="4320" w:type="dxa"/>
            <w:tcBorders>
              <w:top w:val="single" w:sz="4" w:space="0" w:color="auto"/>
              <w:left w:val="nil"/>
              <w:bottom w:val="single" w:sz="4" w:space="0" w:color="auto"/>
              <w:right w:val="single" w:sz="4" w:space="0" w:color="auto"/>
            </w:tcBorders>
            <w:shd w:val="clear" w:color="auto" w:fill="DBE5F1" w:themeFill="accent1" w:themeFillTint="33"/>
            <w:hideMark/>
          </w:tcPr>
          <w:p w:rsidR="00337C98" w:rsidRDefault="00E34329" w:rsidP="00337C98">
            <w:pPr>
              <w:spacing w:before="0" w:line="240" w:lineRule="auto"/>
              <w:jc w:val="center"/>
              <w:rPr>
                <w:rFonts w:asciiTheme="minorHAnsi" w:hAnsiTheme="minorHAnsi" w:cstheme="minorHAnsi"/>
                <w:b/>
                <w:bCs/>
                <w:color w:val="000000" w:themeColor="text1"/>
                <w:sz w:val="22"/>
                <w:szCs w:val="22"/>
              </w:rPr>
            </w:pPr>
            <w:r w:rsidRPr="00E34329">
              <w:rPr>
                <w:rFonts w:asciiTheme="minorHAnsi" w:hAnsiTheme="minorHAnsi" w:cstheme="minorHAnsi"/>
                <w:b/>
                <w:bCs/>
                <w:color w:val="000000" w:themeColor="text1"/>
                <w:sz w:val="22"/>
                <w:szCs w:val="22"/>
              </w:rPr>
              <w:t>Description of Directive</w:t>
            </w:r>
          </w:p>
        </w:tc>
        <w:tc>
          <w:tcPr>
            <w:tcW w:w="2520" w:type="dxa"/>
            <w:tcBorders>
              <w:top w:val="single" w:sz="4" w:space="0" w:color="auto"/>
              <w:left w:val="nil"/>
              <w:bottom w:val="single" w:sz="4" w:space="0" w:color="auto"/>
              <w:right w:val="single" w:sz="4" w:space="0" w:color="auto"/>
            </w:tcBorders>
            <w:shd w:val="clear" w:color="auto" w:fill="DBE5F1" w:themeFill="accent1" w:themeFillTint="33"/>
            <w:hideMark/>
          </w:tcPr>
          <w:p w:rsidR="00337C98" w:rsidRDefault="00E34329" w:rsidP="00337C98">
            <w:pPr>
              <w:spacing w:before="0" w:line="240" w:lineRule="auto"/>
              <w:jc w:val="center"/>
              <w:rPr>
                <w:rFonts w:asciiTheme="minorHAnsi" w:hAnsiTheme="minorHAnsi" w:cstheme="minorHAnsi"/>
                <w:b/>
                <w:bCs/>
                <w:color w:val="000000" w:themeColor="text1"/>
                <w:sz w:val="22"/>
                <w:szCs w:val="22"/>
              </w:rPr>
            </w:pPr>
            <w:r w:rsidRPr="00E34329">
              <w:rPr>
                <w:rFonts w:asciiTheme="minorHAnsi" w:hAnsiTheme="minorHAnsi" w:cstheme="minorHAnsi"/>
                <w:b/>
                <w:bCs/>
                <w:color w:val="000000" w:themeColor="text1"/>
                <w:sz w:val="22"/>
                <w:szCs w:val="22"/>
              </w:rPr>
              <w:t>Time Period for compliance from the date of issue of the Tariff Order</w:t>
            </w:r>
          </w:p>
        </w:tc>
        <w:tc>
          <w:tcPr>
            <w:tcW w:w="5850" w:type="dxa"/>
            <w:tcBorders>
              <w:top w:val="single" w:sz="4" w:space="0" w:color="auto"/>
              <w:left w:val="nil"/>
              <w:bottom w:val="single" w:sz="4" w:space="0" w:color="auto"/>
              <w:right w:val="single" w:sz="4" w:space="0" w:color="auto"/>
            </w:tcBorders>
            <w:shd w:val="clear" w:color="auto" w:fill="DBE5F1" w:themeFill="accent1" w:themeFillTint="33"/>
            <w:hideMark/>
          </w:tcPr>
          <w:p w:rsidR="00337C98" w:rsidRDefault="00E34329" w:rsidP="00337C98">
            <w:pPr>
              <w:spacing w:before="0" w:line="240" w:lineRule="auto"/>
              <w:jc w:val="center"/>
              <w:rPr>
                <w:rFonts w:asciiTheme="minorHAnsi" w:hAnsiTheme="minorHAnsi" w:cstheme="minorHAnsi"/>
                <w:b/>
                <w:bCs/>
                <w:color w:val="000000" w:themeColor="text1"/>
                <w:sz w:val="22"/>
                <w:szCs w:val="22"/>
              </w:rPr>
            </w:pPr>
            <w:r w:rsidRPr="00E34329">
              <w:rPr>
                <w:rFonts w:asciiTheme="minorHAnsi" w:hAnsiTheme="minorHAnsi" w:cstheme="minorHAnsi"/>
                <w:b/>
                <w:bCs/>
                <w:color w:val="000000" w:themeColor="text1"/>
                <w:sz w:val="22"/>
                <w:szCs w:val="22"/>
              </w:rPr>
              <w:t>Status of Compliance</w:t>
            </w:r>
          </w:p>
        </w:tc>
        <w:tc>
          <w:tcPr>
            <w:tcW w:w="2117" w:type="dxa"/>
            <w:tcBorders>
              <w:top w:val="single" w:sz="4" w:space="0" w:color="auto"/>
              <w:left w:val="nil"/>
              <w:bottom w:val="single" w:sz="4" w:space="0" w:color="auto"/>
              <w:right w:val="single" w:sz="8" w:space="0" w:color="auto"/>
            </w:tcBorders>
            <w:shd w:val="clear" w:color="auto" w:fill="DBE5F1" w:themeFill="accent1" w:themeFillTint="33"/>
            <w:hideMark/>
          </w:tcPr>
          <w:p w:rsidR="00337C98" w:rsidRDefault="00E34329" w:rsidP="00337C98">
            <w:pPr>
              <w:spacing w:before="0" w:line="240" w:lineRule="auto"/>
              <w:jc w:val="center"/>
              <w:rPr>
                <w:rFonts w:asciiTheme="minorHAnsi" w:hAnsiTheme="minorHAnsi" w:cstheme="minorHAnsi"/>
                <w:b/>
                <w:bCs/>
                <w:color w:val="000000" w:themeColor="text1"/>
                <w:sz w:val="22"/>
                <w:szCs w:val="22"/>
              </w:rPr>
            </w:pPr>
            <w:r w:rsidRPr="00E34329">
              <w:rPr>
                <w:rFonts w:asciiTheme="minorHAnsi" w:hAnsiTheme="minorHAnsi" w:cstheme="minorHAnsi"/>
                <w:b/>
                <w:bCs/>
                <w:color w:val="000000" w:themeColor="text1"/>
                <w:sz w:val="22"/>
                <w:szCs w:val="22"/>
              </w:rPr>
              <w:t>Commission's Direction</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Licensee are directed to arrange for quarterly meetings between the MDs of the Licensees and the consumer representatives for solving various grievances of the consumers and submit a status report containing details of such meetings along with the next ARR filing.</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consumer’s grievances are mostly resolved at the sub division level. All complaints are handled at the level of sub divisional officer of the respective Discom. The status report of pending issues, if any, would be submitted in respect of each Discom after the closure of the current financial year.</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Licensee should submit status report for FY 2015-16 at the earliest.</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2</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As regards the supply to the Taj Trapezium Zone, the Commission directs the Licensee to comply with the directions of the Hon’ble Supreme Court of India.</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submitted that the supply to Taj Trapezium Zone is being done as per the directions of the Hon’ble Supreme Court of India.</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In this regard, the Licensee should submit the details of the actual load shedding done in the Taj Trapezium area at the earliest.</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3</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to pay the applicable interest on consumer’s security deposit as per the Orders of the Commission and submit the compliance report with the next ARR filing. Licensees are directed to ensure the timely payment of the interest on security deposit to the consumers.</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submitted that the interest on consumer security deposit is being credited to the consumer’s account in terms of the Supply Code and Tariff Orders of the Commission.</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Licensee should submit the details of the actual interest on consumer security deposit paid to the consumers in FY 2014-15  &amp; FY 2015-16</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4</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As regards the various complaints of the stakeholders brought to the notice of the Commission during public hearing, the Licensee is directed to look into the matters and take appropriate action on the same. Further, the Licensee must ensure that proper advertising regarding CGRF is done to bring awareness amongst the consumers. The chairperson of the CGRF should also be part of such public hearings so that a direct interaction may take place and the grievances of the consumers could be settled in a more appropriate manner</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has noted the directions of the Commission and a constructive approach towards prompt address and disposal of consumer grievances is always adopted to the best satisfaction of consumers. The Petitioner also welcomes the suggestion of the Commission towards proper advertising of the CGRFs and is working towards it.</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Licensee should submit the advertisement given regarding CGRF to bring awareness amongst the consumers at the earliest</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5</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To provide accurate and effective consumption norms, the Commission directs the Petitioners to conduct a detailed study which should include all the relevant details pointed out by the Commission.</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Within 6 months from issue of this Order</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submitted that as per the Uttar Pradesh Electricity Regulatory Commission (Multi Year Distribution Tariff) Regulations, 2014 the study for assessment of metered and unmetered consumers has to be completed within a specified time frame.  The licensee seeks some more time.</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2016-17</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6</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As regards the Commission’s directives to submit a road map for 100% metering in its licensed area given in the Tariff Order dated 31st May, 2013, the Licensees has not complied with the directions of the Commission. The Commission once again directs the Licensee to comply with the direction given by the Commission in this Order and accordingly put it sincere efforts to achieve 100% metering.</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3 months from issue of this Order</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submitted that the licensee is endeavoring to comply with the targets set by the Commission in terms of metering. The roadmap for 100% metering has already been given by the Commission, which shall be complied with.</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2016-17</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7</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Distribution Licensees to formulate a mechanism so as to make their officials accountable by providing incentives or disincentives for achievement or non-achievement of the distribution loss and the collection efficiency targets. The Policy should include all the relevant details pointed out by the Commission in this Order</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Within 2 months from the issue of this Order</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requested some more time to comply with the directives of the Commission. However, presently, monthly review meetings are being conducted in the form of video conferencing wherein the progress for each division is been monitored at the central level.</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2016-17</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8</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further directs the Petitioner to sign the MoUs to be implemented at all levels and submit the copy of the same to the Commission within 2 months from the date of this Order.</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Within 2 months from the date of issuance of this Order</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requested for some more time to comply with the directives of the Commission.</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2016-17</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9</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Petitioner to provide the actual power purchase data in the format specified by the Commission along with the ARR Petition for FY 2015-16.</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Next ARR filing</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submitted that it has enclosed a detailed power procurement plan for the FY 2015-16 along with the ARR Petition.</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2015-16</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10</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As regards timely filing of FPPCA the Commission once again directs the Licensee that they should file FPPCA in a timely and regular manner in accordance with the Distribution Tariff Regulations, 2006 failing which the Commission may have to resort to take strict action against the Licensees.</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requested for some more time.</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2016-17</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11</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As regards the increasing number of unmetered consumers the Commission accords a final opportunity to the Distribution Licensee and directs them to ensure that all their unmetered consumers get converted into metered connection.</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By 31st March, 2015</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is committed to the target set by the Commission.</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should adhere to the timeline as specified by the Commission from time to time</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12</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As regards the RPO Obligation the Licensee are directed to ensure that they procure renewable energy in accordance with Regulation 4 of the UPERC (Promotion of Green Energy through Renewable Purchase Obligation) Regulations, 2010 during FY 2014-15 to meet their obligation.</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Next ARR filing</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is procuring power from various renewable energy sources such as bagasse based co-generation plants, small hydro power stations, biomass based renewable energy plants, solar, etc with a view to promote green energy sources and compliance with the UPERC RPO Obligations.</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2015-16</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13</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As regards the choice of connection, the Licensee, in accordance with the provisions of the supply code wherein the consumer has the choice to opt the supplier, is directed to release connections to all such consumers who desire to disconnect their connections from the single point supplier and instead wish to take connections directly from the Licensee and submit the status report on the same along with next ARR filing</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Next ARR filing</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Wherever feasible (both technical and economical), the Petitioner is complying with the provisions of the Supply Code.</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2015-16.</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14</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Licensee is directed to provide the monthly MRI reports to all the applicable consumers through email. The consumers would be required to register their email to the Licensee and submit the status report on the same along with next ARR filing</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MRI reports are being provided to the consumers. However, the possibilities of sending the same by email are being explored by the Petitioner.</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Licensee must expedite the process to comply with the direction given by the Commission and submit the compliance of the same at the earliest.</w:t>
            </w:r>
          </w:p>
        </w:tc>
      </w:tr>
      <w:tr w:rsidR="00C02F83" w:rsidRPr="0035490D" w:rsidTr="0035490D">
        <w:trPr>
          <w:cantSplit/>
          <w:trHeight w:val="6911"/>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15</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Licensee is directed to file a separate Petition for approval of prior period expenses / incomes. The Petition should clearly indicate the head-wise year-wise bifurcation of prior period expenses / incomes clearly indicating the impact of such expenses / incomes on various ARR components, and such impact should not exceed the normative expenses for any particular year.</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 month from the date of issuance of this Order</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submits that the prior period expenses / incomes are recognised in the financial statements in compliance with the Accounting Standards (AS 5) (Revised) on ‘Net Profit or Loss for the Period, Prior Period Items and Changes in Accounting Policies’ which does not require year wise classification of prior period items. As there was no statutory requirement of classifying the prior items with respect to the each year to which they pertain, such information was not specifically depicted in the audited accounts. Considering this, the expenses and incomes which are omitted to be accounted for in one or more financial years are accounted for as and when such omissions or errors are detected.</w:t>
            </w:r>
            <w:r w:rsidRPr="00E34329">
              <w:rPr>
                <w:rFonts w:asciiTheme="minorHAnsi" w:hAnsiTheme="minorHAnsi" w:cstheme="minorHAnsi"/>
                <w:color w:val="000000" w:themeColor="text1"/>
                <w:sz w:val="22"/>
                <w:szCs w:val="22"/>
              </w:rPr>
              <w:br/>
              <w:t xml:space="preserve">However, given the directive by the Commission, the Petitioner has instructed the field units to compile such information. The information made available by the field units would be compiled at the zonal level and then zonal accounts would be compiled at the corporate level. </w:t>
            </w:r>
            <w:r w:rsidRPr="00E34329">
              <w:rPr>
                <w:rFonts w:asciiTheme="minorHAnsi" w:hAnsiTheme="minorHAnsi" w:cstheme="minorHAnsi"/>
                <w:color w:val="000000" w:themeColor="text1"/>
                <w:sz w:val="22"/>
                <w:szCs w:val="22"/>
              </w:rPr>
              <w:br/>
              <w:t>Given the complexity of this task, the Petitioner seeks waiver from immediate submission of this information.</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2015-16</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16</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Licensee is directed to submit a note detailing the area-wise actual number of supply hours provided to rural areas by the end of FY 2014-15.</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By end of FY 2014-15</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same shall be submitted shortly.</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2015-16</w:t>
            </w:r>
          </w:p>
        </w:tc>
      </w:tr>
      <w:tr w:rsidR="00C02F83" w:rsidRPr="0035490D" w:rsidTr="0035490D">
        <w:trPr>
          <w:cantSplit/>
          <w:trHeight w:val="395"/>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17</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Licensee is directed to depict the Regulatory Surcharge separately and distinctly in the electricity bills of the consumers. The Commission directs the Licensee to maintain separate accounting fields for both the regulatory surcharges approved vis-a vis the Commission’s Order dated 6th June, 2014 and that approved in this Order, and capture the two different amounts collected as Regulatory Surcharges in both of its financial and commercial statements. This would enable the Licensee to correctly report the amounts collected towards Regulatory Surcharges.</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Suitable instructions have been issued to the billing agencies and field units to create a separate and distinct head under which the regulatory surcharges would be collected.</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2016-17</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E34329" w:rsidP="00337C98">
            <w:pPr>
              <w:tabs>
                <w:tab w:val="center" w:pos="132"/>
              </w:tabs>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18</w:t>
            </w:r>
          </w:p>
        </w:tc>
        <w:tc>
          <w:tcPr>
            <w:tcW w:w="4320" w:type="dxa"/>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Distribution Licensee is directed to submit the actual Regulatory Surcharge recovered in FY 2014-15 on account of the Revenue Gap / Regulatory Asset admitted by the Commission in this Order along with the actual Distribution Losses achieved in FY 2014-15 and additional target consumers added in FY 2014-15 by 15th April, 2015.</w:t>
            </w:r>
          </w:p>
        </w:tc>
        <w:tc>
          <w:tcPr>
            <w:tcW w:w="252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By 15th April, 2015</w:t>
            </w:r>
          </w:p>
        </w:tc>
        <w:tc>
          <w:tcPr>
            <w:tcW w:w="5850" w:type="dxa"/>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submitted that it would be able to submit the figures of actual regulatory surcharge recovered in FY 2014-15 by 30th June 2015. This is due to the reason that the commercial statements are finalised with a time lag of 2 months.</w:t>
            </w:r>
          </w:p>
        </w:tc>
        <w:tc>
          <w:tcPr>
            <w:tcW w:w="2117" w:type="dxa"/>
            <w:tcBorders>
              <w:top w:val="nil"/>
              <w:left w:val="nil"/>
              <w:bottom w:val="single" w:sz="4" w:space="0" w:color="auto"/>
              <w:right w:val="single" w:sz="8"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has addressed the same in its directive for FY 2016-17</w:t>
            </w:r>
          </w:p>
        </w:tc>
      </w:tr>
      <w:tr w:rsidR="00C02F83" w:rsidRPr="0035490D" w:rsidTr="0035490D">
        <w:trPr>
          <w:cantSplit/>
          <w:jc w:val="center"/>
        </w:trPr>
        <w:tc>
          <w:tcPr>
            <w:tcW w:w="673" w:type="dxa"/>
            <w:tcBorders>
              <w:top w:val="nil"/>
              <w:left w:val="single" w:sz="8" w:space="0" w:color="auto"/>
              <w:bottom w:val="single" w:sz="4" w:space="0" w:color="auto"/>
              <w:right w:val="single" w:sz="4" w:space="0" w:color="auto"/>
            </w:tcBorders>
            <w:shd w:val="clear" w:color="auto" w:fill="auto"/>
            <w:noWrap/>
            <w:hideMark/>
          </w:tcPr>
          <w:p w:rsidR="00337C98" w:rsidRDefault="00337C98" w:rsidP="00337C98">
            <w:pPr>
              <w:tabs>
                <w:tab w:val="center" w:pos="132"/>
              </w:tabs>
              <w:spacing w:before="0" w:line="240" w:lineRule="auto"/>
              <w:rPr>
                <w:rFonts w:asciiTheme="minorHAnsi" w:hAnsiTheme="minorHAnsi" w:cstheme="minorHAnsi"/>
                <w:bCs/>
                <w:color w:val="000000" w:themeColor="text1"/>
                <w:sz w:val="22"/>
                <w:szCs w:val="22"/>
              </w:rPr>
            </w:pPr>
          </w:p>
        </w:tc>
        <w:tc>
          <w:tcPr>
            <w:tcW w:w="4320" w:type="dxa"/>
            <w:tcBorders>
              <w:top w:val="nil"/>
              <w:left w:val="nil"/>
              <w:bottom w:val="single" w:sz="4" w:space="0" w:color="auto"/>
              <w:right w:val="single" w:sz="4" w:space="0" w:color="auto"/>
            </w:tcBorders>
            <w:shd w:val="clear" w:color="auto" w:fill="auto"/>
            <w:noWrap/>
            <w:hideMark/>
          </w:tcPr>
          <w:p w:rsidR="00337C98" w:rsidRDefault="00337C98" w:rsidP="00337C98">
            <w:pPr>
              <w:spacing w:before="0" w:line="240" w:lineRule="auto"/>
              <w:rPr>
                <w:rFonts w:asciiTheme="minorHAnsi" w:hAnsiTheme="minorHAnsi" w:cstheme="minorHAnsi"/>
                <w:bCs/>
                <w:color w:val="000000" w:themeColor="text1"/>
                <w:sz w:val="22"/>
                <w:szCs w:val="22"/>
              </w:rPr>
            </w:pPr>
          </w:p>
        </w:tc>
        <w:tc>
          <w:tcPr>
            <w:tcW w:w="2520" w:type="dxa"/>
            <w:tcBorders>
              <w:top w:val="nil"/>
              <w:left w:val="nil"/>
              <w:bottom w:val="single" w:sz="4" w:space="0" w:color="auto"/>
              <w:right w:val="single" w:sz="4" w:space="0" w:color="auto"/>
            </w:tcBorders>
            <w:shd w:val="clear" w:color="auto" w:fill="auto"/>
            <w:hideMark/>
          </w:tcPr>
          <w:p w:rsidR="00337C98" w:rsidRDefault="00337C98" w:rsidP="00337C98">
            <w:pPr>
              <w:spacing w:before="0" w:line="240" w:lineRule="auto"/>
              <w:jc w:val="center"/>
              <w:rPr>
                <w:rFonts w:asciiTheme="minorHAnsi" w:hAnsiTheme="minorHAnsi" w:cstheme="minorHAnsi"/>
                <w:bCs/>
                <w:color w:val="000000" w:themeColor="text1"/>
                <w:sz w:val="22"/>
                <w:szCs w:val="22"/>
              </w:rPr>
            </w:pPr>
          </w:p>
        </w:tc>
        <w:tc>
          <w:tcPr>
            <w:tcW w:w="5850" w:type="dxa"/>
            <w:tcBorders>
              <w:top w:val="nil"/>
              <w:left w:val="nil"/>
              <w:bottom w:val="single" w:sz="4" w:space="0" w:color="auto"/>
              <w:right w:val="single" w:sz="4" w:space="0" w:color="auto"/>
            </w:tcBorders>
            <w:shd w:val="clear" w:color="auto" w:fill="auto"/>
            <w:hideMark/>
          </w:tcPr>
          <w:p w:rsidR="00337C98" w:rsidRDefault="00337C98" w:rsidP="00337C98">
            <w:pPr>
              <w:spacing w:before="0" w:line="240" w:lineRule="auto"/>
              <w:rPr>
                <w:rFonts w:asciiTheme="minorHAnsi" w:hAnsiTheme="minorHAnsi" w:cstheme="minorHAnsi"/>
                <w:bCs/>
                <w:color w:val="000000" w:themeColor="text1"/>
                <w:sz w:val="22"/>
                <w:szCs w:val="22"/>
              </w:rPr>
            </w:pPr>
          </w:p>
        </w:tc>
        <w:tc>
          <w:tcPr>
            <w:tcW w:w="2117" w:type="dxa"/>
            <w:tcBorders>
              <w:top w:val="nil"/>
              <w:left w:val="nil"/>
              <w:bottom w:val="single" w:sz="4" w:space="0" w:color="auto"/>
              <w:right w:val="single" w:sz="8" w:space="0" w:color="auto"/>
            </w:tcBorders>
            <w:shd w:val="clear" w:color="auto" w:fill="auto"/>
            <w:hideMark/>
          </w:tcPr>
          <w:p w:rsidR="00337C98" w:rsidRDefault="00337C98" w:rsidP="00337C98">
            <w:pPr>
              <w:spacing w:before="0" w:line="240" w:lineRule="auto"/>
              <w:rPr>
                <w:rFonts w:asciiTheme="minorHAnsi" w:hAnsiTheme="minorHAnsi" w:cstheme="minorHAnsi"/>
                <w:bCs/>
                <w:color w:val="000000" w:themeColor="text1"/>
                <w:sz w:val="22"/>
                <w:szCs w:val="22"/>
              </w:rPr>
            </w:pPr>
          </w:p>
        </w:tc>
      </w:tr>
    </w:tbl>
    <w:p w:rsidR="00337C98" w:rsidRDefault="00337C98" w:rsidP="00337C98">
      <w:pPr>
        <w:spacing w:before="0" w:line="240" w:lineRule="auto"/>
        <w:jc w:val="center"/>
        <w:rPr>
          <w:b/>
        </w:rPr>
      </w:pPr>
    </w:p>
    <w:p w:rsidR="00E72959" w:rsidRDefault="00E72959" w:rsidP="00E72959">
      <w:pPr>
        <w:spacing w:line="240" w:lineRule="auto"/>
        <w:jc w:val="center"/>
        <w:rPr>
          <w:b/>
        </w:rPr>
      </w:pPr>
    </w:p>
    <w:p w:rsidR="00E72959" w:rsidRDefault="00E72959" w:rsidP="00E72959">
      <w:pPr>
        <w:spacing w:line="240" w:lineRule="auto"/>
        <w:jc w:val="center"/>
        <w:rPr>
          <w:b/>
        </w:rPr>
      </w:pPr>
    </w:p>
    <w:p w:rsidR="00E72959" w:rsidRDefault="00E72959" w:rsidP="00E72959">
      <w:pPr>
        <w:spacing w:line="240" w:lineRule="auto"/>
        <w:jc w:val="center"/>
        <w:rPr>
          <w:b/>
        </w:rPr>
      </w:pPr>
    </w:p>
    <w:p w:rsidR="00E72959" w:rsidRDefault="00E72959" w:rsidP="00E72959">
      <w:pPr>
        <w:spacing w:line="240" w:lineRule="auto"/>
        <w:jc w:val="center"/>
        <w:rPr>
          <w:b/>
        </w:rPr>
      </w:pPr>
    </w:p>
    <w:p w:rsidR="00E72959" w:rsidRDefault="00E72959" w:rsidP="00E72959">
      <w:pPr>
        <w:spacing w:line="240" w:lineRule="auto"/>
        <w:jc w:val="center"/>
        <w:rPr>
          <w:b/>
        </w:rPr>
      </w:pPr>
    </w:p>
    <w:p w:rsidR="00E72959" w:rsidRDefault="00E72959" w:rsidP="00E72959">
      <w:pPr>
        <w:spacing w:line="240" w:lineRule="auto"/>
        <w:jc w:val="center"/>
        <w:rPr>
          <w:b/>
        </w:rPr>
      </w:pPr>
    </w:p>
    <w:p w:rsidR="00E72959" w:rsidRDefault="00E72959" w:rsidP="00E72959">
      <w:pPr>
        <w:spacing w:line="240" w:lineRule="auto"/>
        <w:jc w:val="center"/>
        <w:rPr>
          <w:b/>
        </w:rPr>
      </w:pPr>
    </w:p>
    <w:p w:rsidR="00E72959" w:rsidRDefault="00E72959" w:rsidP="00E72959">
      <w:pPr>
        <w:spacing w:line="240" w:lineRule="auto"/>
        <w:jc w:val="center"/>
        <w:rPr>
          <w:b/>
        </w:rPr>
      </w:pPr>
    </w:p>
    <w:p w:rsidR="005828E5" w:rsidRDefault="005828E5" w:rsidP="00E72959">
      <w:pPr>
        <w:spacing w:line="240" w:lineRule="auto"/>
        <w:jc w:val="center"/>
        <w:rPr>
          <w:b/>
        </w:rPr>
      </w:pPr>
    </w:p>
    <w:p w:rsidR="005828E5" w:rsidRDefault="005828E5" w:rsidP="00E72959">
      <w:pPr>
        <w:spacing w:line="240" w:lineRule="auto"/>
        <w:jc w:val="center"/>
        <w:rPr>
          <w:b/>
        </w:rPr>
      </w:pPr>
    </w:p>
    <w:p w:rsidR="00E72959" w:rsidRPr="00F67978" w:rsidRDefault="006C63AF" w:rsidP="00E72959">
      <w:pPr>
        <w:spacing w:line="240" w:lineRule="auto"/>
        <w:jc w:val="center"/>
        <w:rPr>
          <w:b/>
        </w:rPr>
      </w:pPr>
      <w:bookmarkStart w:id="1867" w:name="_Toc457604096"/>
      <w:r w:rsidRPr="006C63AF">
        <w:rPr>
          <w:rFonts w:asciiTheme="minorHAnsi" w:hAnsiTheme="minorHAnsi" w:cstheme="minorHAnsi"/>
          <w:b/>
        </w:rPr>
        <w:lastRenderedPageBreak/>
        <w:t>Table 9</w:t>
      </w:r>
      <w:r w:rsidRPr="006C63AF">
        <w:rPr>
          <w:rFonts w:asciiTheme="minorHAnsi" w:hAnsiTheme="minorHAnsi" w:cstheme="minorHAnsi"/>
          <w:b/>
        </w:rPr>
        <w:noBreakHyphen/>
      </w:r>
      <w:r w:rsidR="009741CA" w:rsidRPr="006C63AF">
        <w:rPr>
          <w:rFonts w:asciiTheme="minorHAnsi" w:hAnsiTheme="minorHAnsi" w:cstheme="minorHAnsi"/>
          <w:b/>
        </w:rPr>
        <w:fldChar w:fldCharType="begin"/>
      </w:r>
      <w:r w:rsidRPr="006C63AF">
        <w:rPr>
          <w:rFonts w:asciiTheme="minorHAnsi" w:hAnsiTheme="minorHAnsi" w:cstheme="minorHAnsi"/>
          <w:b/>
        </w:rPr>
        <w:instrText xml:space="preserve"> SEQ Table \* ARABIC \s 1 </w:instrText>
      </w:r>
      <w:r w:rsidR="009741CA" w:rsidRPr="006C63AF">
        <w:rPr>
          <w:rFonts w:asciiTheme="minorHAnsi" w:hAnsiTheme="minorHAnsi" w:cstheme="minorHAnsi"/>
          <w:b/>
        </w:rPr>
        <w:fldChar w:fldCharType="separate"/>
      </w:r>
      <w:r w:rsidR="00BA08F0">
        <w:rPr>
          <w:rFonts w:asciiTheme="minorHAnsi" w:hAnsiTheme="minorHAnsi" w:cstheme="minorHAnsi"/>
          <w:b/>
          <w:noProof/>
        </w:rPr>
        <w:t>3</w:t>
      </w:r>
      <w:r w:rsidR="009741CA" w:rsidRPr="006C63AF">
        <w:rPr>
          <w:rFonts w:asciiTheme="minorHAnsi" w:hAnsiTheme="minorHAnsi" w:cstheme="minorHAnsi"/>
          <w:b/>
        </w:rPr>
        <w:fldChar w:fldCharType="end"/>
      </w:r>
      <w:r w:rsidRPr="006C63AF">
        <w:rPr>
          <w:rFonts w:asciiTheme="minorHAnsi" w:hAnsiTheme="minorHAnsi" w:cstheme="minorHAnsi"/>
          <w:b/>
        </w:rPr>
        <w:t>:</w:t>
      </w:r>
      <w:r w:rsidRPr="006C63AF">
        <w:rPr>
          <w:rFonts w:asciiTheme="minorHAnsi" w:hAnsiTheme="minorHAnsi" w:cstheme="minorHAnsi"/>
        </w:rPr>
        <w:t xml:space="preserve"> </w:t>
      </w:r>
      <w:r w:rsidRPr="006C63AF">
        <w:rPr>
          <w:rFonts w:asciiTheme="minorHAnsi" w:hAnsiTheme="minorHAnsi" w:cstheme="minorHAnsi"/>
          <w:b/>
        </w:rPr>
        <w:t>S</w:t>
      </w:r>
      <w:r w:rsidRPr="006C63AF">
        <w:rPr>
          <w:b/>
        </w:rPr>
        <w:t>TATUS OF COMPLIANCE OF DIRECTIVES OF TARIFF ORDER FOR FY 2015-16 DATED JUNE 18, 2015</w:t>
      </w:r>
      <w:bookmarkEnd w:id="1867"/>
    </w:p>
    <w:tbl>
      <w:tblPr>
        <w:tblW w:w="14688" w:type="dxa"/>
        <w:jc w:val="center"/>
        <w:tblInd w:w="-345" w:type="dxa"/>
        <w:tblCellMar>
          <w:left w:w="115" w:type="dxa"/>
          <w:right w:w="115" w:type="dxa"/>
        </w:tblCellMar>
        <w:tblLook w:val="04A0"/>
      </w:tblPr>
      <w:tblGrid>
        <w:gridCol w:w="724"/>
        <w:gridCol w:w="3963"/>
        <w:gridCol w:w="2070"/>
        <w:gridCol w:w="5393"/>
        <w:gridCol w:w="2538"/>
      </w:tblGrid>
      <w:tr w:rsidR="00E72959" w:rsidRPr="00835EE1" w:rsidTr="005828E5">
        <w:trPr>
          <w:cantSplit/>
          <w:trHeight w:val="154"/>
          <w:tblHeader/>
          <w:jc w:val="center"/>
        </w:trPr>
        <w:tc>
          <w:tcPr>
            <w:tcW w:w="724" w:type="dxa"/>
            <w:tcBorders>
              <w:top w:val="single" w:sz="4" w:space="0" w:color="auto"/>
              <w:left w:val="single" w:sz="8" w:space="0" w:color="auto"/>
              <w:bottom w:val="single" w:sz="4" w:space="0" w:color="auto"/>
              <w:right w:val="single" w:sz="4" w:space="0" w:color="auto"/>
            </w:tcBorders>
            <w:shd w:val="clear" w:color="auto" w:fill="DBE5F1" w:themeFill="accent1" w:themeFillTint="33"/>
            <w:hideMark/>
          </w:tcPr>
          <w:p w:rsidR="00337C98" w:rsidRDefault="00E72959" w:rsidP="00337C98">
            <w:pPr>
              <w:spacing w:before="0" w:line="240" w:lineRule="auto"/>
              <w:jc w:val="center"/>
              <w:rPr>
                <w:rFonts w:cstheme="minorHAnsi"/>
                <w:b/>
                <w:bCs/>
                <w:color w:val="000000" w:themeColor="text1"/>
              </w:rPr>
            </w:pPr>
            <w:r w:rsidRPr="00835EE1">
              <w:rPr>
                <w:rFonts w:cstheme="minorHAnsi"/>
                <w:b/>
                <w:bCs/>
                <w:color w:val="000000" w:themeColor="text1"/>
              </w:rPr>
              <w:t>Sl. No</w:t>
            </w:r>
          </w:p>
        </w:tc>
        <w:tc>
          <w:tcPr>
            <w:tcW w:w="3963" w:type="dxa"/>
            <w:tcBorders>
              <w:top w:val="single" w:sz="4" w:space="0" w:color="auto"/>
              <w:left w:val="nil"/>
              <w:bottom w:val="single" w:sz="4" w:space="0" w:color="auto"/>
              <w:right w:val="single" w:sz="4" w:space="0" w:color="auto"/>
            </w:tcBorders>
            <w:shd w:val="clear" w:color="auto" w:fill="DBE5F1" w:themeFill="accent1" w:themeFillTint="33"/>
            <w:hideMark/>
          </w:tcPr>
          <w:p w:rsidR="00337C98" w:rsidRDefault="00E72959" w:rsidP="00337C98">
            <w:pPr>
              <w:spacing w:before="0" w:line="240" w:lineRule="auto"/>
              <w:jc w:val="center"/>
              <w:rPr>
                <w:rFonts w:cstheme="minorHAnsi"/>
                <w:b/>
                <w:bCs/>
                <w:color w:val="000000" w:themeColor="text1"/>
              </w:rPr>
            </w:pPr>
            <w:r w:rsidRPr="00835EE1">
              <w:rPr>
                <w:rFonts w:cstheme="minorHAnsi"/>
                <w:b/>
                <w:bCs/>
                <w:color w:val="000000" w:themeColor="text1"/>
              </w:rPr>
              <w:t>Description of Directive</w:t>
            </w:r>
          </w:p>
        </w:tc>
        <w:tc>
          <w:tcPr>
            <w:tcW w:w="2070" w:type="dxa"/>
            <w:tcBorders>
              <w:top w:val="single" w:sz="4" w:space="0" w:color="auto"/>
              <w:left w:val="nil"/>
              <w:bottom w:val="single" w:sz="4" w:space="0" w:color="auto"/>
              <w:right w:val="single" w:sz="4" w:space="0" w:color="auto"/>
            </w:tcBorders>
            <w:shd w:val="clear" w:color="auto" w:fill="DBE5F1" w:themeFill="accent1" w:themeFillTint="33"/>
            <w:hideMark/>
          </w:tcPr>
          <w:p w:rsidR="00337C98" w:rsidRDefault="00E72959" w:rsidP="00337C98">
            <w:pPr>
              <w:spacing w:before="0" w:line="240" w:lineRule="auto"/>
              <w:jc w:val="center"/>
              <w:rPr>
                <w:rFonts w:cstheme="minorHAnsi"/>
                <w:b/>
                <w:bCs/>
                <w:color w:val="000000" w:themeColor="text1"/>
              </w:rPr>
            </w:pPr>
            <w:r w:rsidRPr="00835EE1">
              <w:rPr>
                <w:rFonts w:cstheme="minorHAnsi"/>
                <w:b/>
                <w:bCs/>
                <w:color w:val="000000" w:themeColor="text1"/>
              </w:rPr>
              <w:t>Time Period for compliance from the date of issue of the Tariff Order</w:t>
            </w:r>
          </w:p>
        </w:tc>
        <w:tc>
          <w:tcPr>
            <w:tcW w:w="5393" w:type="dxa"/>
            <w:tcBorders>
              <w:top w:val="single" w:sz="4" w:space="0" w:color="auto"/>
              <w:left w:val="nil"/>
              <w:bottom w:val="single" w:sz="4" w:space="0" w:color="auto"/>
              <w:right w:val="single" w:sz="4" w:space="0" w:color="auto"/>
            </w:tcBorders>
            <w:shd w:val="clear" w:color="auto" w:fill="DBE5F1" w:themeFill="accent1" w:themeFillTint="33"/>
            <w:hideMark/>
          </w:tcPr>
          <w:p w:rsidR="00337C98" w:rsidRDefault="00E72959" w:rsidP="00337C98">
            <w:pPr>
              <w:spacing w:before="0" w:line="240" w:lineRule="auto"/>
              <w:jc w:val="center"/>
              <w:rPr>
                <w:rFonts w:cstheme="minorHAnsi"/>
                <w:b/>
                <w:bCs/>
                <w:color w:val="000000" w:themeColor="text1"/>
              </w:rPr>
            </w:pPr>
            <w:r w:rsidRPr="00835EE1">
              <w:rPr>
                <w:rFonts w:cstheme="minorHAnsi"/>
                <w:b/>
                <w:bCs/>
                <w:color w:val="000000" w:themeColor="text1"/>
              </w:rPr>
              <w:t>Status of Compliance</w:t>
            </w:r>
          </w:p>
        </w:tc>
        <w:tc>
          <w:tcPr>
            <w:tcW w:w="2538" w:type="dxa"/>
            <w:tcBorders>
              <w:top w:val="single" w:sz="4" w:space="0" w:color="auto"/>
              <w:left w:val="nil"/>
              <w:bottom w:val="single" w:sz="4" w:space="0" w:color="auto"/>
              <w:right w:val="single" w:sz="8" w:space="0" w:color="auto"/>
            </w:tcBorders>
            <w:shd w:val="clear" w:color="auto" w:fill="DBE5F1" w:themeFill="accent1" w:themeFillTint="33"/>
            <w:hideMark/>
          </w:tcPr>
          <w:p w:rsidR="00337C98" w:rsidRDefault="00E72959" w:rsidP="00337C98">
            <w:pPr>
              <w:spacing w:before="0" w:line="240" w:lineRule="auto"/>
              <w:jc w:val="center"/>
              <w:rPr>
                <w:rFonts w:cstheme="minorHAnsi"/>
                <w:b/>
                <w:bCs/>
                <w:color w:val="000000" w:themeColor="text1"/>
              </w:rPr>
            </w:pPr>
            <w:r w:rsidRPr="00835EE1">
              <w:rPr>
                <w:rFonts w:cstheme="minorHAnsi"/>
                <w:b/>
                <w:bCs/>
                <w:color w:val="000000" w:themeColor="text1"/>
              </w:rPr>
              <w:t>Commission's Direction</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1</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Licensee to pressingly pursue the GoUP for finalisation of the Transfer Scheme and submit a copy of the same.</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Within 3 months</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efforts are already underway as regards finalization of transfer schemes, line pending for notification by the GoUP.</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2</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reiterates its direction to the Licensee to ensure proper maintenance of detailed fixed assets registers as specified in the Distribution Tariff Regulations.   As the fixed asset registers are pending since the creation of Discom, the Commission directs the Licensee to submit a status report and provide the proposed timelines / milestones for clearing the backlog.</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Immediate</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it has not been able to finalise the preparation of the FARs so far owing to the huge backlog of previous financial years. The Petitioner is committed to complete the fixed asset register as early as possible.</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3</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Licensee to frame an appropriate policy on capitalization of (i) employee costs, and (ii) A&amp;G expenses.</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Along with the petition for FY 2016-17</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Petitioner’s policy on capitalization of (i) employee costs, and (ii) A&amp;G expenses has been provided in the Notes on Accounts annexed with the audited accounts which is reproduced below:“Due to multiplicity of functional units as well as multiplicity of function at particular unit, employee cost and general &amp; administration expenses to capital works are capitalised @ 15% on distribution and deposit work, 11% on other works on the amount of total expenditure.”</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4</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Licensee to submit Fresh Actuarial Valuation Study Report in respect to employee expenses.</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Along with the petition for FY 2016-17</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the matter would be taken up at UPPCL level as common cadre is maintained in the Discoms and UPPCL.</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licensee must submit the steps taken from its side to take up the matter with UPPCL at the earliest</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5</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As lack of approved transparent policy on identifying and writing off bad debts is hindering allowance of bad debts as an ARR component; the Commission directs the Licensee to submit ten sample cases of LT &amp; HT consumers where orders have been issued for writing off bad debts, clearly depicting the procedure adopted for writing off bad debts along with policy framework for managing bad debts for the Commission’s perusal.</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Within 1 month</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it has framed a policy for identifying and writing off old arrears and a copy of the same was submitted to the Commission during the proceedings in respect of ARR and Tariff Petition for FY 2014-15. A copy of which again resubmitted and marked as    Annexure-4. Appropriate directions have been issued to the field units to compile the sample cases based on such order issued by the licensee.</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6</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Licensee to submit data related to its peak demand and off peak demand in MW along with its sales projections in accordance with Clause 3.1.4 of the Distribution Tariff Regulations.</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Along with the petition for FY 2016-17</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the connected load is around 7700 MW and the R.D.M is around 2500 MW.</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7</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Licensee to reconcile the inter-unit balances lying un-reconciled either itself or through independent chartered accountant firms.</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Along with the petition for FY 2016-17</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the determination of tariff is done by the Commission on normative basis based on the Tariff Regulations. As such the inter-unit reconciliation has no forbearance on the ARR and Tariff determination and assessment of revenue gap.</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8</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As regards the supply to the Taj Trapezium Zone, the Commission directs the Licensee to comply with the directions of the Hon’ble Supreme Court of India.</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Immediate</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supply to Taj Trapezium zone is being done as per the directions of the Supreme Court of  India</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In this regard, the Licensee should submit the details of the actual load shedding done in the Taj Trapezium area</w:t>
            </w:r>
            <w:r>
              <w:rPr>
                <w:rFonts w:cstheme="minorHAnsi"/>
                <w:color w:val="000000" w:themeColor="text1"/>
              </w:rPr>
              <w:t xml:space="preserve"> during FY 2015-16</w:t>
            </w:r>
            <w:r w:rsidRPr="00835EE1">
              <w:rPr>
                <w:rFonts w:cstheme="minorHAnsi"/>
                <w:color w:val="000000" w:themeColor="text1"/>
              </w:rPr>
              <w:t xml:space="preserve"> at the earliest.</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9</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Licensee to pay the applicable interest on consumer’s security deposit as per the Orders of the Commission and submit the compliance report with the next ARR filing. Licensees are directed to ensure the timely payment of the interest on security deposit to the consumers.</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Immediate</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the interest on consumer security deposit is being credited to the consumer’s account in terms of the Supply Code and Tariff Orders of the Commission.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Licensee should submit the details of the actual interest on consumer security deposit paid to the consumers in FY 2014-15  &amp; FY 2015-16</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10</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As regards the Commission’s directives to submit a road map for 100% metering in its licensed area given in the Tariff Order dated 31st May, 2013, the Licensees has not complied with the directions of the Commission. The Commission once again directs the Licensee to comply with the direction given by the Commission in this Order and accordingly put it sincere efforts to achieve 100% metering.</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3 months from issue of this Order</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the road map of 100% metering of urban as well as rural consumers as directed by the Commission will be strictly complied with.</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11</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further directs the Petitioner to sign the MoUs to be implemented at all levels and submit the copy of the same to the Commission</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Within three months from the date of issuance of this Order</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 xml:space="preserve">The Petitioner </w:t>
            </w:r>
            <w:r>
              <w:rPr>
                <w:rFonts w:cstheme="minorHAnsi"/>
                <w:color w:val="000000" w:themeColor="text1"/>
              </w:rPr>
              <w:t>requested for</w:t>
            </w:r>
            <w:r w:rsidRPr="00835EE1">
              <w:rPr>
                <w:rFonts w:cstheme="minorHAnsi"/>
                <w:color w:val="000000" w:themeColor="text1"/>
              </w:rPr>
              <w:t xml:space="preserve"> some more time to comply with the directives of the Commission.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12</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Petitioner to provide the actual power purchase data in the format specified by the Commission along with the ARR Petition for FY 2016-17</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Next ARR filing</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it has provided a detailed power procurement plan for FY 2015-16 and 2016-17 in the present petition.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submit the power procurement data in the required format at the earliest</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13</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As regards timely filing of FPPCA the Commission once again directs the Licensees that they should file FPPCA in a timely and regular manner in accordance with the Distribution Tariff Regulations, 2006 failing which the Commission may have to resort to take strict action against the Licensees like disallowance of additional power purchase expenses and the associated carrying cost on account of additional Power Purchase expenses or any other action that the Commission may deem fit while doing the Truing up.</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Immediate</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 xml:space="preserve">The Petitioner </w:t>
            </w:r>
            <w:r>
              <w:rPr>
                <w:rFonts w:cstheme="minorHAnsi"/>
                <w:color w:val="000000" w:themeColor="text1"/>
              </w:rPr>
              <w:t xml:space="preserve">requested for </w:t>
            </w:r>
            <w:r w:rsidRPr="00835EE1">
              <w:rPr>
                <w:rFonts w:cstheme="minorHAnsi"/>
                <w:color w:val="000000" w:themeColor="text1"/>
              </w:rPr>
              <w:t>some more time.</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14</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As regards the RPO Obligation the Licensee</w:t>
            </w:r>
            <w:r>
              <w:rPr>
                <w:rFonts w:cstheme="minorHAnsi"/>
                <w:color w:val="000000" w:themeColor="text1"/>
              </w:rPr>
              <w:t xml:space="preserve"> is </w:t>
            </w:r>
            <w:r w:rsidRPr="00835EE1">
              <w:rPr>
                <w:rFonts w:cstheme="minorHAnsi"/>
                <w:color w:val="000000" w:themeColor="text1"/>
              </w:rPr>
              <w:t>directed to ensure that they procure renewable energy in accordance with Regulation 4 of the UPERC (Promotion of Green Energy through Renewable Purchase Obligation) Regulations, 2010 during FY 2014-15 to meet their obligation.</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Next ARR filing</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the RPO obligation is being met through purchase from co</w:t>
            </w:r>
            <w:r>
              <w:rPr>
                <w:rFonts w:cstheme="minorHAnsi"/>
                <w:color w:val="000000" w:themeColor="text1"/>
              </w:rPr>
              <w:t>-</w:t>
            </w:r>
            <w:r w:rsidRPr="00835EE1">
              <w:rPr>
                <w:rFonts w:cstheme="minorHAnsi"/>
                <w:color w:val="000000" w:themeColor="text1"/>
              </w:rPr>
              <w:t>gen</w:t>
            </w:r>
            <w:r>
              <w:rPr>
                <w:rFonts w:cstheme="minorHAnsi"/>
                <w:color w:val="000000" w:themeColor="text1"/>
              </w:rPr>
              <w:t>eration</w:t>
            </w:r>
            <w:r w:rsidRPr="00835EE1">
              <w:rPr>
                <w:rFonts w:cstheme="minorHAnsi"/>
                <w:color w:val="000000" w:themeColor="text1"/>
              </w:rPr>
              <w:t xml:space="preserve"> and solar power producers.</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Petitioner should submit the RPO obligation met in FY 2014-15 &amp; FY 2015-16 and must demonstrate that how it is going to comply with the RPO obligation in FY 2016-17 separately showing the procurement and obligation from solar &amp; non solar sources. The Petitioner should submit the same at the earliest</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15</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As regards the choice of connection, the Licensee, in accordance with the provisions of the supply code wherein the consumer has the choice to opt the supplier, is directed to release connections to all such consumers who desire to disconnect their connections from the single point supplier and instead wish to take connections directly from the Licensee and submit the status report on the same along with next ARR filing</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Next ARR filing</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Wherever feasible (both technically and economically), the Petitioner is complying with the provisions of the Supply Code.</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Licensee must submit the status report on the same for FY 2015-16.</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16</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Licensee is directed to file a separate Petition for approval of prior period expenses / incomes. The Petition should clearly indicate the head-wise year-wise bifurcation of prior period expenses / incomes clearly indicating the impact of such expenses / incomes on various ARR components, and such impact should not exceed the normative expenses for any particular year.</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1 month from the date of issuance of this Order</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the prior period expenses / incomes are recognised in the financial statements in compliance with the Accounting Standards (AS 5) (Revised) on ‘Net Profit or Loss for the Period, Prior Period Items and Changes in Accounting Policies’ which does not require year wise classification of prior period items. As there was no statutory requirement of classifying the prior items with respect to the each year to which they pertain, such information was not specifically depicted in the audited accounts. Considering this, the expenses and incomes which are omitted to be accounted for in one or more financial years are accounted for as and when such omissions or errors are detected. The desired information is required to be made available by the respective field unit which would be compiled at the zonal level and then zonal accounts would be compiled at the corporate level. Given the complexity and time involved in this task, the Petitioner humbly seeks waiver from immediate submission of this information.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Licensee should expedite the process and submit the same at the earliest</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17</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Licensee is directed to submit a note detailing the area-wise actual number of supply hours provided to rural areas by the end of FY 2015-16.</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By end of FY 2015-16</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the information pertaining to the supply hours is being regularly published on the website of the Petitioner. Also the information towards the same has been provided in the succeeding chapter where load forecast has been discussed.</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 xml:space="preserve">As the financial year </w:t>
            </w:r>
            <w:r>
              <w:rPr>
                <w:rFonts w:cstheme="minorHAnsi"/>
                <w:color w:val="000000" w:themeColor="text1"/>
              </w:rPr>
              <w:t>2015-16 is over, t</w:t>
            </w:r>
            <w:r w:rsidRPr="00835EE1">
              <w:rPr>
                <w:rFonts w:cstheme="minorHAnsi"/>
                <w:color w:val="000000" w:themeColor="text1"/>
              </w:rPr>
              <w:t>he Licensee should submit a note detailing the area-wise(circlewise) actual number of supply hours provided to rural areas during FY 2014-15 &amp; FY 2015-16 at the earliest.</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18</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Distribution Licensee</w:t>
            </w:r>
            <w:r>
              <w:rPr>
                <w:rFonts w:cstheme="minorHAnsi"/>
                <w:color w:val="000000" w:themeColor="text1"/>
              </w:rPr>
              <w:t xml:space="preserve">s are </w:t>
            </w:r>
            <w:r w:rsidRPr="00835EE1">
              <w:rPr>
                <w:rFonts w:cstheme="minorHAnsi"/>
                <w:color w:val="000000" w:themeColor="text1"/>
              </w:rPr>
              <w:t>directed to submit the actual Regulatory Surcharge recovered in FY 2015-16 on account of the Revenue Gap / Regulatory Asset admitted by the Commission in this Order along with the actual Distribution Losses achieved in FY 2015-16 and additional target consumers added in FY 2015-16 by 15th April, 2016.</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By 15th April, 2016</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As per the directives of the Commission and the timelines prescribed, the details towards the recovered FPPCA would be submitted by 15th April 2016.</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19</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Licensee to evolve principles for prudent segregation of ARR towards wheeling function and retail supply function embedded in the distribution function in accordance with Clause 2.1.2 of the Distribution Tariff Regulations.</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As per the Time frame stipulated in MYT Regulations, 2014</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submit</w:t>
            </w:r>
            <w:r>
              <w:rPr>
                <w:rFonts w:cstheme="minorHAnsi"/>
                <w:color w:val="000000" w:themeColor="text1"/>
              </w:rPr>
              <w:t>ted</w:t>
            </w:r>
            <w:r w:rsidRPr="00835EE1">
              <w:rPr>
                <w:rFonts w:cstheme="minorHAnsi"/>
                <w:color w:val="000000" w:themeColor="text1"/>
              </w:rPr>
              <w:t xml:space="preserve"> that the Commission being an expert and independent body may kindly like to take up a study </w:t>
            </w:r>
            <w:r>
              <w:rPr>
                <w:rFonts w:cstheme="minorHAnsi"/>
                <w:color w:val="000000" w:themeColor="text1"/>
              </w:rPr>
              <w:t>i</w:t>
            </w:r>
            <w:r w:rsidRPr="00835EE1">
              <w:rPr>
                <w:rFonts w:cstheme="minorHAnsi"/>
                <w:color w:val="000000" w:themeColor="text1"/>
              </w:rPr>
              <w:t xml:space="preserve">n this regard. Alternately, if the Petitioner is required to take up such study, then the Commission is requested to provide the terms of reference of such study so as </w:t>
            </w:r>
            <w:r>
              <w:rPr>
                <w:rFonts w:cstheme="minorHAnsi"/>
                <w:color w:val="000000" w:themeColor="text1"/>
              </w:rPr>
              <w:t xml:space="preserve">to </w:t>
            </w:r>
            <w:r w:rsidRPr="00835EE1">
              <w:rPr>
                <w:rFonts w:cstheme="minorHAnsi"/>
                <w:color w:val="000000" w:themeColor="text1"/>
              </w:rPr>
              <w:t>ensure that the study is conducted in an objective manner.</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20</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Licensee to submit a long term business plan in accordance with Clause 2.1.7 of the Distribution Tariff Regulations. The Licensee in such business plan shall identify capex projects for the ensuing year and subsequent four years and submit detailed capital investment plan along with a financing plan for undertaking the identified projects in order to meet the requirement of load growth, refurbishment and replacement of equipment, reduction in distribution losses, improvement of voltage profile, improvement in quality of supply, system reliability, metering, communication and computerization, etc.</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As per the Time frame stipulated in MYT Regulations, 2014</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would endeavor to meet the deadlines prescribed by the Commission.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21</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Licensee to conduct benchmarking studies to determine the desired performance standards in accordance with Clause 2.1.8 of the Distribution Tariff Regulations.</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As per the Time frame stipulated in MYT Regulations, 2014</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would endeavor to meet the deadlines prescribed by the Commission.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22</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file its Annual ARR/ Tariff Petition for FY 2016-17 as per the Regulations 12.2, 12.7, 12.8, 12.9 notified vide MYT Regulations, 2014</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As per the Time frame stipulated in MYT Regulations, 2014</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instant petition has been filed duly complying with the indicated provisions of the 2014 Tariff Regulations.</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Pr>
                <w:rFonts w:cstheme="minorHAnsi"/>
                <w:color w:val="000000" w:themeColor="text1"/>
              </w:rPr>
              <w:t>The Commission has taken note of the Petitioner submission and directs to comply the same in future filings also.</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23</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complete the Assessment Study of metered consumers as per the Regulations 16.2 notified vide MYT Regulations, 2014 and subsequently submit the report to the Commission</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As per the Time frame stipulated in MYT Regulations, 2014</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would endeavor to meet the deadlines prescribed by the Commission.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24</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complete the Assessment Study of un-metered consumers to establish base line norms as per the Regulations 17.1 notified vide MYT Regulations, 2014 and subsequently submit the report to the Commission</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As per the Time frame stipulated in MYT Regulations, 2014</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would endeavor to meet the deadlines prescribed by the Commission.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25</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complete the Study of Agriculture  feeders segregated and not segregated in significant numbers to determine base line norms as per the Regulations17.2, 17.3 notified vide MYT Regulations, 2014 and subsequently submit the report to the Commission</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As per the Time frame stipulated in MYT Regulations, 2014</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would endeavor to meet the deadlines prescribed by the Commission.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26</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reiterates that the Licensees should conduct a detailed study to provide accurate and effective consumption norms as specified by the Commission in its earlier Orders and as per the provisions outlined in Uttar Pradesh Electricity Regulatory Commission (Multi Year Distribution Tariff) Regulations, 2014 in the time bound manner.</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As per the Time frame stipulated in MYT Regulations, 2014</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would endeavor to meet the deadlines prescribed by the Commission.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27</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submit Incremental Power Purchase Cost as per the Regulations 20.1 notified vide MYT Regulations, 2014 and subsequently submit the report to the Commission</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Within 28 days of quarter end , for each quarter of Tariff Period 1.4.2015 to 31.3.2020</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understands that it is required to submit the FPPCA petition up to 31.3.2017.</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adhere to the specified timeline.</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28</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submit Roadmap for Reduction of Cross Subsidy as per the Regulation 39 notified vide MYT Regulations, 2014</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Immediately</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would endeavor to meet the deadlines prescribed by the Commission.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29</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record and maintain Division wise, Circlewise AT&amp;C Losses and submit the quarterly report to the Commission.</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Quarterly for FY 2015-16</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had filed such report along with the data gaps reply pertaining to the ARR petition for FY 2015-16.</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must submit the Division wise, Circle</w:t>
            </w:r>
            <w:r>
              <w:rPr>
                <w:rFonts w:cstheme="minorHAnsi"/>
                <w:color w:val="000000" w:themeColor="text1"/>
              </w:rPr>
              <w:t>-</w:t>
            </w:r>
            <w:r w:rsidRPr="00835EE1">
              <w:rPr>
                <w:rFonts w:cstheme="minorHAnsi"/>
                <w:color w:val="000000" w:themeColor="text1"/>
              </w:rPr>
              <w:t>wise AT&amp;C Losses for Last Quarter of FY 2015-16 at the earliest</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30</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submit month wise details of number of supply hours for rural and urban area for FY 2014-15.</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Within one month from issue of this Order</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information pertaining to the supply hours has been submitted along with the instant petition.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31</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Licensee should provide online facility for submission of application for new connection, name change, load enhancement and load reduction</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Within 3 months</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observations of the Commission have been noted and action has been initiated on such matters. The Petitioner has a robust automated consumer interface which has been detailed in the instant petition in the foregoing sections.</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Licensee should submit the current status and expedite the same. The Licensee must submit the status at the earliest</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32</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Licensee should develop the mobile application for online payments of bills including other services for facilitation to consumers</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Within 3 months</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is committed to introduce mobile application for online payment of bills and other services. The Petitioner has a robust automated consumer interface which has been detailed in the instant petition in the foregoing sections.</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Licensee should submit the current status and expedite the same. The Licensee must submit the status at the earliest</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33</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submit Standards of Performance parameters as per the tariff formats of Distribution Tariff Regulations, 2006.</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Within one month from issue of this Order</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would endeavor to meet the deadlines prescribed by the Commission.</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Licensee should submit the same at the earliest.</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34</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should submit additional consumers added in FY 2014-15 apart from the normal consumer addition.</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Within three month of issue of this Order</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information pertaining to the number of consumers has been provided in the succeeding chapter where load forecast has been discussed.</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t>35</w:t>
            </w:r>
          </w:p>
        </w:tc>
        <w:tc>
          <w:tcPr>
            <w:tcW w:w="3963" w:type="dxa"/>
            <w:tcBorders>
              <w:top w:val="nil"/>
              <w:left w:val="nil"/>
              <w:bottom w:val="single" w:sz="4" w:space="0" w:color="auto"/>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Petitioner to frame guidelines and procedures for identifying, physically verifying and writing off the bad debts and also to fix responsibility of its employees in this regard and submit the same to the Commission for its approval</w:t>
            </w:r>
          </w:p>
        </w:tc>
        <w:tc>
          <w:tcPr>
            <w:tcW w:w="2070"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Within three months of issue of this Order</w:t>
            </w:r>
          </w:p>
        </w:tc>
        <w:tc>
          <w:tcPr>
            <w:tcW w:w="5393" w:type="dxa"/>
            <w:tcBorders>
              <w:top w:val="nil"/>
              <w:left w:val="nil"/>
              <w:bottom w:val="single" w:sz="4" w:space="0" w:color="auto"/>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Petitioner submi</w:t>
            </w:r>
            <w:r>
              <w:rPr>
                <w:rFonts w:cstheme="minorHAnsi"/>
                <w:color w:val="000000" w:themeColor="text1"/>
              </w:rPr>
              <w:t>tted</w:t>
            </w:r>
            <w:r w:rsidRPr="00835EE1">
              <w:rPr>
                <w:rFonts w:cstheme="minorHAnsi"/>
                <w:color w:val="000000" w:themeColor="text1"/>
              </w:rPr>
              <w:t xml:space="preserve"> that it has framed a policy for identifying and writing off old arrears and a copy of the same was submitted to the Commission during the proceedings in respect of ARR and Tariff Petition for FY 2014-15. Appropriate directions have been issued to the field units to compile the sample cases based on such order issued by the licensee. A copy of same is enclosed and marked as Annerxure-4</w:t>
            </w:r>
          </w:p>
        </w:tc>
        <w:tc>
          <w:tcPr>
            <w:tcW w:w="2538" w:type="dxa"/>
            <w:tcBorders>
              <w:top w:val="nil"/>
              <w:left w:val="nil"/>
              <w:bottom w:val="single" w:sz="4" w:space="0" w:color="auto"/>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nil"/>
              <w:right w:val="single" w:sz="4" w:space="0" w:color="auto"/>
            </w:tcBorders>
            <w:shd w:val="clear" w:color="auto" w:fill="auto"/>
            <w:noWrap/>
            <w:hideMark/>
          </w:tcPr>
          <w:p w:rsidR="00337C98" w:rsidRDefault="00E72959" w:rsidP="00337C98">
            <w:pPr>
              <w:tabs>
                <w:tab w:val="center" w:pos="132"/>
              </w:tabs>
              <w:spacing w:before="0" w:line="240" w:lineRule="auto"/>
              <w:rPr>
                <w:rFonts w:cstheme="minorHAnsi"/>
                <w:color w:val="000000" w:themeColor="text1"/>
                <w:sz w:val="18"/>
                <w:szCs w:val="18"/>
              </w:rPr>
            </w:pPr>
            <w:r w:rsidRPr="00835EE1">
              <w:rPr>
                <w:rFonts w:cstheme="minorHAnsi"/>
                <w:color w:val="000000" w:themeColor="text1"/>
              </w:rPr>
              <w:lastRenderedPageBreak/>
              <w:t>36</w:t>
            </w:r>
          </w:p>
        </w:tc>
        <w:tc>
          <w:tcPr>
            <w:tcW w:w="3963" w:type="dxa"/>
            <w:tcBorders>
              <w:top w:val="nil"/>
              <w:left w:val="nil"/>
              <w:bottom w:val="nil"/>
              <w:right w:val="single" w:sz="4" w:space="0" w:color="auto"/>
            </w:tcBorders>
            <w:shd w:val="clear" w:color="auto" w:fill="auto"/>
            <w:noWrap/>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directs the Licensees that, from FY 2013-14 onwards it should clearly depict the total power purchase cost incurred at UPPCL level, total power purchase cost paid by the Licensees to UPPCL and power cost payable to UPPCL in its true-up petitions for future years.</w:t>
            </w:r>
          </w:p>
        </w:tc>
        <w:tc>
          <w:tcPr>
            <w:tcW w:w="2070" w:type="dxa"/>
            <w:tcBorders>
              <w:top w:val="nil"/>
              <w:left w:val="nil"/>
              <w:bottom w:val="nil"/>
              <w:right w:val="single" w:sz="4" w:space="0" w:color="auto"/>
            </w:tcBorders>
            <w:shd w:val="clear" w:color="auto" w:fill="auto"/>
            <w:hideMark/>
          </w:tcPr>
          <w:p w:rsidR="00337C98" w:rsidRDefault="00E72959" w:rsidP="00337C98">
            <w:pPr>
              <w:spacing w:before="0" w:line="240" w:lineRule="auto"/>
              <w:jc w:val="center"/>
              <w:rPr>
                <w:rFonts w:cstheme="minorHAnsi"/>
                <w:color w:val="000000" w:themeColor="text1"/>
                <w:sz w:val="18"/>
                <w:szCs w:val="18"/>
              </w:rPr>
            </w:pPr>
            <w:r w:rsidRPr="00835EE1">
              <w:rPr>
                <w:rFonts w:cstheme="minorHAnsi"/>
                <w:color w:val="000000" w:themeColor="text1"/>
              </w:rPr>
              <w:t>Next ARR filing</w:t>
            </w:r>
          </w:p>
        </w:tc>
        <w:tc>
          <w:tcPr>
            <w:tcW w:w="5393" w:type="dxa"/>
            <w:tcBorders>
              <w:top w:val="nil"/>
              <w:left w:val="nil"/>
              <w:bottom w:val="nil"/>
              <w:right w:val="single" w:sz="4"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directions issued by the Commission have been complied in the instant petition</w:t>
            </w:r>
          </w:p>
        </w:tc>
        <w:tc>
          <w:tcPr>
            <w:tcW w:w="2538" w:type="dxa"/>
            <w:tcBorders>
              <w:top w:val="nil"/>
              <w:left w:val="nil"/>
              <w:bottom w:val="nil"/>
              <w:right w:val="single" w:sz="8" w:space="0" w:color="auto"/>
            </w:tcBorders>
            <w:shd w:val="clear" w:color="auto" w:fill="auto"/>
            <w:hideMark/>
          </w:tcPr>
          <w:p w:rsidR="00337C98" w:rsidRDefault="00E72959" w:rsidP="00337C98">
            <w:pPr>
              <w:spacing w:before="0" w:line="240" w:lineRule="auto"/>
              <w:rPr>
                <w:rFonts w:cstheme="minorHAnsi"/>
                <w:color w:val="000000" w:themeColor="text1"/>
                <w:sz w:val="18"/>
                <w:szCs w:val="18"/>
              </w:rPr>
            </w:pPr>
            <w:r w:rsidRPr="00835EE1">
              <w:rPr>
                <w:rFonts w:cstheme="minorHAnsi"/>
                <w:color w:val="000000" w:themeColor="text1"/>
              </w:rPr>
              <w:t>The Commission has addressed the same in its directive for FY 2016-17</w:t>
            </w: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hideMark/>
          </w:tcPr>
          <w:p w:rsidR="00337C98" w:rsidRDefault="00337C98" w:rsidP="00337C98">
            <w:pPr>
              <w:tabs>
                <w:tab w:val="center" w:pos="132"/>
              </w:tabs>
              <w:spacing w:before="0" w:line="240" w:lineRule="auto"/>
              <w:rPr>
                <w:rFonts w:cstheme="minorHAnsi"/>
                <w:bCs/>
                <w:color w:val="000000" w:themeColor="text1"/>
                <w:szCs w:val="26"/>
              </w:rPr>
            </w:pPr>
          </w:p>
        </w:tc>
        <w:tc>
          <w:tcPr>
            <w:tcW w:w="3963" w:type="dxa"/>
            <w:tcBorders>
              <w:top w:val="nil"/>
              <w:left w:val="nil"/>
              <w:bottom w:val="single" w:sz="4" w:space="0" w:color="auto"/>
              <w:right w:val="single" w:sz="4" w:space="0" w:color="auto"/>
            </w:tcBorders>
            <w:shd w:val="clear" w:color="auto" w:fill="auto"/>
            <w:noWrap/>
            <w:hideMark/>
          </w:tcPr>
          <w:p w:rsidR="00337C98" w:rsidRDefault="00337C98" w:rsidP="00337C98">
            <w:pPr>
              <w:spacing w:before="0" w:line="240" w:lineRule="auto"/>
              <w:rPr>
                <w:rFonts w:cstheme="minorHAnsi"/>
                <w:bCs/>
                <w:color w:val="000000" w:themeColor="text1"/>
                <w:szCs w:val="26"/>
              </w:rPr>
            </w:pPr>
          </w:p>
        </w:tc>
        <w:tc>
          <w:tcPr>
            <w:tcW w:w="2070" w:type="dxa"/>
            <w:tcBorders>
              <w:top w:val="nil"/>
              <w:left w:val="nil"/>
              <w:bottom w:val="single" w:sz="4" w:space="0" w:color="auto"/>
              <w:right w:val="single" w:sz="4" w:space="0" w:color="auto"/>
            </w:tcBorders>
            <w:shd w:val="clear" w:color="auto" w:fill="auto"/>
            <w:hideMark/>
          </w:tcPr>
          <w:p w:rsidR="00337C98" w:rsidRDefault="00337C98" w:rsidP="00337C98">
            <w:pPr>
              <w:spacing w:before="0" w:line="240" w:lineRule="auto"/>
              <w:jc w:val="center"/>
              <w:rPr>
                <w:rFonts w:cstheme="minorHAnsi"/>
                <w:bCs/>
                <w:color w:val="000000" w:themeColor="text1"/>
                <w:szCs w:val="26"/>
              </w:rPr>
            </w:pPr>
          </w:p>
        </w:tc>
        <w:tc>
          <w:tcPr>
            <w:tcW w:w="5393" w:type="dxa"/>
            <w:tcBorders>
              <w:top w:val="nil"/>
              <w:left w:val="nil"/>
              <w:bottom w:val="single" w:sz="4" w:space="0" w:color="auto"/>
              <w:right w:val="single" w:sz="4" w:space="0" w:color="auto"/>
            </w:tcBorders>
            <w:shd w:val="clear" w:color="auto" w:fill="auto"/>
            <w:hideMark/>
          </w:tcPr>
          <w:p w:rsidR="00337C98" w:rsidRDefault="00337C98" w:rsidP="00337C98">
            <w:pPr>
              <w:spacing w:before="0" w:line="240" w:lineRule="auto"/>
              <w:rPr>
                <w:rFonts w:cstheme="minorHAnsi"/>
                <w:bCs/>
                <w:color w:val="000000" w:themeColor="text1"/>
                <w:szCs w:val="26"/>
              </w:rPr>
            </w:pPr>
          </w:p>
        </w:tc>
        <w:tc>
          <w:tcPr>
            <w:tcW w:w="2538" w:type="dxa"/>
            <w:tcBorders>
              <w:top w:val="nil"/>
              <w:left w:val="nil"/>
              <w:bottom w:val="single" w:sz="4" w:space="0" w:color="auto"/>
              <w:right w:val="single" w:sz="8" w:space="0" w:color="auto"/>
            </w:tcBorders>
            <w:shd w:val="clear" w:color="auto" w:fill="auto"/>
            <w:hideMark/>
          </w:tcPr>
          <w:p w:rsidR="00337C98" w:rsidRDefault="00337C98" w:rsidP="00337C98">
            <w:pPr>
              <w:spacing w:before="0" w:line="240" w:lineRule="auto"/>
              <w:rPr>
                <w:rFonts w:cstheme="minorHAnsi"/>
                <w:bCs/>
                <w:color w:val="000000" w:themeColor="text1"/>
                <w:szCs w:val="26"/>
              </w:rPr>
            </w:pPr>
          </w:p>
        </w:tc>
      </w:tr>
      <w:tr w:rsidR="00E72959" w:rsidRPr="00835EE1" w:rsidTr="006440FA">
        <w:trPr>
          <w:cantSplit/>
          <w:jc w:val="center"/>
        </w:trPr>
        <w:tc>
          <w:tcPr>
            <w:tcW w:w="724" w:type="dxa"/>
            <w:tcBorders>
              <w:top w:val="nil"/>
              <w:left w:val="single" w:sz="8" w:space="0" w:color="auto"/>
              <w:bottom w:val="single" w:sz="4" w:space="0" w:color="auto"/>
              <w:right w:val="single" w:sz="4" w:space="0" w:color="auto"/>
            </w:tcBorders>
            <w:shd w:val="clear" w:color="auto" w:fill="auto"/>
            <w:noWrap/>
          </w:tcPr>
          <w:p w:rsidR="00337C98" w:rsidRDefault="00E72959" w:rsidP="00337C98">
            <w:pPr>
              <w:tabs>
                <w:tab w:val="center" w:pos="132"/>
              </w:tabs>
              <w:spacing w:before="0" w:line="240" w:lineRule="auto"/>
              <w:rPr>
                <w:rFonts w:cstheme="minorHAnsi"/>
                <w:color w:val="000000" w:themeColor="text1"/>
              </w:rPr>
            </w:pPr>
            <w:r w:rsidRPr="00835EE1">
              <w:rPr>
                <w:rFonts w:cstheme="minorHAnsi"/>
                <w:color w:val="000000" w:themeColor="text1"/>
              </w:rPr>
              <w:t>37</w:t>
            </w:r>
          </w:p>
        </w:tc>
        <w:tc>
          <w:tcPr>
            <w:tcW w:w="3963" w:type="dxa"/>
            <w:tcBorders>
              <w:top w:val="nil"/>
              <w:left w:val="nil"/>
              <w:bottom w:val="single" w:sz="4" w:space="0" w:color="auto"/>
              <w:right w:val="single" w:sz="4" w:space="0" w:color="auto"/>
            </w:tcBorders>
            <w:shd w:val="clear" w:color="auto" w:fill="auto"/>
            <w:noWrap/>
          </w:tcPr>
          <w:p w:rsidR="00337C98" w:rsidRDefault="00E72959" w:rsidP="00337C98">
            <w:pPr>
              <w:spacing w:before="0" w:line="240" w:lineRule="auto"/>
              <w:rPr>
                <w:rFonts w:cstheme="minorHAnsi"/>
                <w:color w:val="000000" w:themeColor="text1"/>
              </w:rPr>
            </w:pPr>
            <w:r w:rsidRPr="00835EE1">
              <w:rPr>
                <w:rFonts w:cstheme="minorHAnsi"/>
                <w:color w:val="000000" w:themeColor="text1"/>
              </w:rPr>
              <w:t>The Commission directs the Licensee that Open Access shall be allowed as per the provisions outlined by the Commission in its Regulations and amendments from time to time.</w:t>
            </w:r>
          </w:p>
        </w:tc>
        <w:tc>
          <w:tcPr>
            <w:tcW w:w="2070" w:type="dxa"/>
            <w:tcBorders>
              <w:top w:val="nil"/>
              <w:left w:val="nil"/>
              <w:bottom w:val="single" w:sz="4" w:space="0" w:color="auto"/>
              <w:right w:val="single" w:sz="4" w:space="0" w:color="auto"/>
            </w:tcBorders>
            <w:shd w:val="clear" w:color="auto" w:fill="auto"/>
          </w:tcPr>
          <w:p w:rsidR="00337C98" w:rsidRDefault="00E72959" w:rsidP="00337C98">
            <w:pPr>
              <w:spacing w:before="0" w:line="240" w:lineRule="auto"/>
              <w:jc w:val="center"/>
              <w:rPr>
                <w:rFonts w:cstheme="minorHAnsi"/>
                <w:color w:val="000000" w:themeColor="text1"/>
              </w:rPr>
            </w:pPr>
            <w:r w:rsidRPr="00835EE1">
              <w:rPr>
                <w:rFonts w:cstheme="minorHAnsi"/>
                <w:color w:val="000000" w:themeColor="text1"/>
              </w:rPr>
              <w:t>Immediate</w:t>
            </w:r>
          </w:p>
        </w:tc>
        <w:tc>
          <w:tcPr>
            <w:tcW w:w="5393" w:type="dxa"/>
            <w:tcBorders>
              <w:top w:val="nil"/>
              <w:left w:val="nil"/>
              <w:bottom w:val="single" w:sz="4" w:space="0" w:color="auto"/>
              <w:right w:val="single" w:sz="4" w:space="0" w:color="auto"/>
            </w:tcBorders>
            <w:shd w:val="clear" w:color="auto" w:fill="auto"/>
          </w:tcPr>
          <w:p w:rsidR="00337C98" w:rsidRDefault="00E72959" w:rsidP="00337C98">
            <w:pPr>
              <w:spacing w:before="0" w:line="240" w:lineRule="auto"/>
              <w:rPr>
                <w:rFonts w:cstheme="minorHAnsi"/>
                <w:color w:val="000000" w:themeColor="text1"/>
              </w:rPr>
            </w:pPr>
            <w:r w:rsidRPr="00835EE1">
              <w:rPr>
                <w:rFonts w:cstheme="minorHAnsi"/>
                <w:color w:val="000000" w:themeColor="text1"/>
              </w:rPr>
              <w:t>Open access has already been operationalised in the MVVNL supply area.</w:t>
            </w:r>
          </w:p>
        </w:tc>
        <w:tc>
          <w:tcPr>
            <w:tcW w:w="2538" w:type="dxa"/>
            <w:tcBorders>
              <w:top w:val="nil"/>
              <w:left w:val="nil"/>
              <w:bottom w:val="single" w:sz="4" w:space="0" w:color="auto"/>
              <w:right w:val="single" w:sz="8" w:space="0" w:color="auto"/>
            </w:tcBorders>
            <w:shd w:val="clear" w:color="auto" w:fill="auto"/>
          </w:tcPr>
          <w:p w:rsidR="00337C98" w:rsidRDefault="00E72959" w:rsidP="00337C98">
            <w:pPr>
              <w:spacing w:before="0" w:line="240" w:lineRule="auto"/>
              <w:rPr>
                <w:rFonts w:cstheme="minorHAnsi"/>
                <w:color w:val="000000" w:themeColor="text1"/>
              </w:rPr>
            </w:pPr>
            <w:r w:rsidRPr="00835EE1">
              <w:rPr>
                <w:rFonts w:cstheme="minorHAnsi"/>
                <w:color w:val="000000" w:themeColor="text1"/>
              </w:rPr>
              <w:t>The Licensee should submit the status &amp; detail for the same in its Licensee area.</w:t>
            </w:r>
          </w:p>
        </w:tc>
      </w:tr>
    </w:tbl>
    <w:p w:rsidR="00337C98" w:rsidRDefault="00337C98" w:rsidP="00337C98">
      <w:pPr>
        <w:spacing w:before="0"/>
        <w:rPr>
          <w:sz w:val="20"/>
        </w:rPr>
      </w:pPr>
    </w:p>
    <w:p w:rsidR="00D5771F" w:rsidRPr="00DD22AB" w:rsidRDefault="00337C98">
      <w:pPr>
        <w:pStyle w:val="Heading3"/>
        <w:tabs>
          <w:tab w:val="clear" w:pos="720"/>
        </w:tabs>
        <w:spacing w:after="120"/>
        <w:ind w:left="993" w:hanging="993"/>
        <w:rPr>
          <w:b/>
          <w:szCs w:val="24"/>
        </w:rPr>
      </w:pPr>
      <w:r w:rsidRPr="00337C98">
        <w:rPr>
          <w:szCs w:val="24"/>
        </w:rPr>
        <w:t xml:space="preserve">The Commission once again </w:t>
      </w:r>
      <w:r w:rsidRPr="00337C98">
        <w:rPr>
          <w:b/>
          <w:szCs w:val="24"/>
        </w:rPr>
        <w:t xml:space="preserve">directs the Licensee to comply with the balance directives issued in the previous Tariff Orders. The compliance report on the said directives shall be submitted to the Commission within one month from the date of issue of this Tariff Order. </w:t>
      </w:r>
    </w:p>
    <w:p w:rsidR="00E72959" w:rsidRPr="00DD22AB" w:rsidRDefault="00E72959" w:rsidP="00E72959">
      <w:pPr>
        <w:pStyle w:val="Heading3"/>
        <w:numPr>
          <w:ilvl w:val="0"/>
          <w:numId w:val="0"/>
        </w:numPr>
        <w:spacing w:before="0"/>
        <w:ind w:left="720"/>
        <w:rPr>
          <w:szCs w:val="24"/>
        </w:rPr>
      </w:pPr>
    </w:p>
    <w:p w:rsidR="00D5771F" w:rsidRPr="00DD22AB" w:rsidRDefault="00337C98">
      <w:pPr>
        <w:pStyle w:val="Heading3"/>
        <w:tabs>
          <w:tab w:val="clear" w:pos="720"/>
        </w:tabs>
        <w:spacing w:after="120"/>
        <w:ind w:left="993" w:hanging="993"/>
        <w:rPr>
          <w:sz w:val="22"/>
          <w:szCs w:val="24"/>
        </w:rPr>
      </w:pPr>
      <w:r w:rsidRPr="00337C98">
        <w:rPr>
          <w:szCs w:val="24"/>
        </w:rPr>
        <w:t>Further, some of the directives issued by the Commission in the present Tariff Order are in continuation or similar to the directives issued in the previous Tariff Order. In case the Licensees have not complied with the same earlier, it shall be necessary for them to provide reasons for non-compliance and further comply with the same as per the time-lines prescribed in the present Tariff Order</w:t>
      </w:r>
      <w:r w:rsidRPr="00337C98">
        <w:rPr>
          <w:sz w:val="22"/>
          <w:szCs w:val="24"/>
        </w:rPr>
        <w:t xml:space="preserve">. </w:t>
      </w:r>
    </w:p>
    <w:p w:rsidR="00D5771F" w:rsidRPr="00DD22AB" w:rsidRDefault="00337C98">
      <w:pPr>
        <w:pStyle w:val="Heading3"/>
        <w:tabs>
          <w:tab w:val="clear" w:pos="720"/>
        </w:tabs>
        <w:spacing w:after="120"/>
        <w:ind w:left="993" w:hanging="993"/>
        <w:rPr>
          <w:sz w:val="22"/>
          <w:szCs w:val="24"/>
        </w:rPr>
      </w:pPr>
      <w:r w:rsidRPr="00337C98">
        <w:rPr>
          <w:szCs w:val="24"/>
        </w:rPr>
        <w:lastRenderedPageBreak/>
        <w:t>The directives to the Licensee as issued under the present Tariff Order along with the time frame for compliance are given in the Table below:</w:t>
      </w:r>
    </w:p>
    <w:p w:rsidR="00E72959" w:rsidRPr="001911B7" w:rsidRDefault="00573289" w:rsidP="00E72959">
      <w:pPr>
        <w:jc w:val="center"/>
        <w:rPr>
          <w:b/>
        </w:rPr>
      </w:pPr>
      <w:bookmarkStart w:id="1868" w:name="_Toc399624148"/>
      <w:bookmarkStart w:id="1869" w:name="_Toc422309985"/>
      <w:bookmarkStart w:id="1870" w:name="_Toc457604097"/>
      <w:r w:rsidRPr="005525A4">
        <w:rPr>
          <w:rFonts w:asciiTheme="minorHAnsi" w:hAnsiTheme="minorHAnsi" w:cstheme="minorHAnsi"/>
          <w:b/>
        </w:rPr>
        <w:t xml:space="preserve">Table </w:t>
      </w:r>
      <w:r>
        <w:rPr>
          <w:rFonts w:asciiTheme="minorHAnsi" w:hAnsiTheme="minorHAnsi" w:cstheme="minorHAnsi"/>
          <w:b/>
        </w:rPr>
        <w:t>9</w:t>
      </w:r>
      <w:r w:rsidRPr="005525A4">
        <w:rPr>
          <w:rFonts w:asciiTheme="minorHAnsi" w:hAnsiTheme="minorHAnsi" w:cstheme="minorHAnsi"/>
          <w:b/>
        </w:rPr>
        <w:noBreakHyphen/>
      </w:r>
      <w:r w:rsidR="009741CA" w:rsidRPr="005525A4">
        <w:rPr>
          <w:rFonts w:asciiTheme="minorHAnsi" w:hAnsiTheme="minorHAnsi" w:cstheme="minorHAnsi"/>
          <w:b/>
        </w:rPr>
        <w:fldChar w:fldCharType="begin"/>
      </w:r>
      <w:r w:rsidRPr="005525A4">
        <w:rPr>
          <w:rFonts w:asciiTheme="minorHAnsi" w:hAnsiTheme="minorHAnsi" w:cstheme="minorHAnsi"/>
          <w:b/>
        </w:rPr>
        <w:instrText xml:space="preserve"> SEQ Table \* ARABIC \s 1 </w:instrText>
      </w:r>
      <w:r w:rsidR="009741CA" w:rsidRPr="005525A4">
        <w:rPr>
          <w:rFonts w:asciiTheme="minorHAnsi" w:hAnsiTheme="minorHAnsi" w:cstheme="minorHAnsi"/>
          <w:b/>
        </w:rPr>
        <w:fldChar w:fldCharType="separate"/>
      </w:r>
      <w:r w:rsidR="00BA08F0">
        <w:rPr>
          <w:rFonts w:asciiTheme="minorHAnsi" w:hAnsiTheme="minorHAnsi" w:cstheme="minorHAnsi"/>
          <w:b/>
          <w:noProof/>
        </w:rPr>
        <w:t>4</w:t>
      </w:r>
      <w:r w:rsidR="009741CA" w:rsidRPr="005525A4">
        <w:rPr>
          <w:rFonts w:asciiTheme="minorHAnsi" w:hAnsiTheme="minorHAnsi" w:cstheme="minorHAnsi"/>
          <w:b/>
        </w:rPr>
        <w:fldChar w:fldCharType="end"/>
      </w:r>
      <w:r w:rsidRPr="005525A4">
        <w:rPr>
          <w:rFonts w:asciiTheme="minorHAnsi" w:hAnsiTheme="minorHAnsi" w:cstheme="minorHAnsi"/>
          <w:b/>
        </w:rPr>
        <w:t>:</w:t>
      </w:r>
      <w:r w:rsidRPr="00E34329">
        <w:rPr>
          <w:rFonts w:asciiTheme="minorHAnsi" w:hAnsiTheme="minorHAnsi" w:cstheme="minorHAnsi"/>
        </w:rPr>
        <w:t xml:space="preserve"> </w:t>
      </w:r>
      <w:r w:rsidR="00E34329" w:rsidRPr="00E34329">
        <w:rPr>
          <w:rFonts w:asciiTheme="minorHAnsi" w:hAnsiTheme="minorHAnsi" w:cstheme="minorHAnsi"/>
          <w:b/>
        </w:rPr>
        <w:t>D</w:t>
      </w:r>
      <w:r w:rsidR="00E34329" w:rsidRPr="00E34329">
        <w:rPr>
          <w:b/>
        </w:rPr>
        <w:t>IRECTIVES</w:t>
      </w:r>
      <w:bookmarkEnd w:id="1868"/>
      <w:r w:rsidR="00E34329" w:rsidRPr="00E34329">
        <w:rPr>
          <w:b/>
        </w:rPr>
        <w:t xml:space="preserve"> ISSUED UNDER THE PRESENT TARIFF ORDER</w:t>
      </w:r>
      <w:bookmarkEnd w:id="1869"/>
      <w:bookmarkEnd w:id="1870"/>
    </w:p>
    <w:tbl>
      <w:tblPr>
        <w:tblW w:w="5000" w:type="pct"/>
        <w:tblLayout w:type="fixed"/>
        <w:tblLook w:val="04A0"/>
      </w:tblPr>
      <w:tblGrid>
        <w:gridCol w:w="890"/>
        <w:gridCol w:w="10647"/>
        <w:gridCol w:w="2633"/>
      </w:tblGrid>
      <w:tr w:rsidR="00E72959" w:rsidRPr="00231163" w:rsidTr="0059575F">
        <w:trPr>
          <w:trHeight w:val="630"/>
          <w:tblHeader/>
        </w:trPr>
        <w:tc>
          <w:tcPr>
            <w:tcW w:w="314" w:type="pct"/>
            <w:tcBorders>
              <w:top w:val="single" w:sz="4" w:space="0" w:color="auto"/>
              <w:left w:val="single" w:sz="4" w:space="0" w:color="auto"/>
              <w:bottom w:val="single" w:sz="4" w:space="0" w:color="auto"/>
              <w:right w:val="single" w:sz="4" w:space="0" w:color="auto"/>
            </w:tcBorders>
            <w:shd w:val="clear" w:color="000000" w:fill="C5D9F1"/>
            <w:hideMark/>
          </w:tcPr>
          <w:p w:rsidR="00337C98" w:rsidRDefault="00E34329" w:rsidP="00337C98">
            <w:pPr>
              <w:spacing w:before="0" w:line="240" w:lineRule="auto"/>
              <w:jc w:val="center"/>
              <w:rPr>
                <w:rFonts w:asciiTheme="minorHAnsi" w:hAnsiTheme="minorHAnsi" w:cstheme="minorHAnsi"/>
                <w:b/>
                <w:bCs/>
                <w:color w:val="000000" w:themeColor="text1"/>
                <w:sz w:val="22"/>
                <w:szCs w:val="22"/>
              </w:rPr>
            </w:pPr>
            <w:r w:rsidRPr="00E34329">
              <w:rPr>
                <w:rFonts w:asciiTheme="minorHAnsi" w:hAnsiTheme="minorHAnsi" w:cstheme="minorHAnsi"/>
                <w:b/>
                <w:bCs/>
                <w:color w:val="000000" w:themeColor="text1"/>
                <w:sz w:val="22"/>
                <w:szCs w:val="22"/>
              </w:rPr>
              <w:t>Sl.No.</w:t>
            </w:r>
          </w:p>
        </w:tc>
        <w:tc>
          <w:tcPr>
            <w:tcW w:w="3757" w:type="pct"/>
            <w:tcBorders>
              <w:top w:val="single" w:sz="4" w:space="0" w:color="auto"/>
              <w:left w:val="nil"/>
              <w:bottom w:val="single" w:sz="4" w:space="0" w:color="auto"/>
              <w:right w:val="single" w:sz="4" w:space="0" w:color="auto"/>
            </w:tcBorders>
            <w:shd w:val="clear" w:color="000000" w:fill="C5D9F1"/>
            <w:hideMark/>
          </w:tcPr>
          <w:p w:rsidR="00337C98" w:rsidRDefault="00E34329" w:rsidP="00337C98">
            <w:pPr>
              <w:spacing w:before="0" w:line="240" w:lineRule="auto"/>
              <w:jc w:val="center"/>
              <w:rPr>
                <w:rFonts w:asciiTheme="minorHAnsi" w:hAnsiTheme="minorHAnsi" w:cstheme="minorHAnsi"/>
                <w:b/>
                <w:bCs/>
                <w:color w:val="000000" w:themeColor="text1"/>
                <w:sz w:val="22"/>
                <w:szCs w:val="22"/>
              </w:rPr>
            </w:pPr>
            <w:r w:rsidRPr="00E34329">
              <w:rPr>
                <w:rFonts w:asciiTheme="minorHAnsi" w:hAnsiTheme="minorHAnsi" w:cstheme="minorHAnsi"/>
                <w:b/>
                <w:bCs/>
                <w:color w:val="000000" w:themeColor="text1"/>
                <w:sz w:val="22"/>
                <w:szCs w:val="22"/>
              </w:rPr>
              <w:t>Description of Directive</w:t>
            </w:r>
          </w:p>
        </w:tc>
        <w:tc>
          <w:tcPr>
            <w:tcW w:w="929" w:type="pct"/>
            <w:tcBorders>
              <w:top w:val="single" w:sz="4" w:space="0" w:color="auto"/>
              <w:left w:val="nil"/>
              <w:bottom w:val="single" w:sz="4" w:space="0" w:color="auto"/>
              <w:right w:val="single" w:sz="4" w:space="0" w:color="auto"/>
            </w:tcBorders>
            <w:shd w:val="clear" w:color="000000" w:fill="C5D9F1"/>
            <w:hideMark/>
          </w:tcPr>
          <w:p w:rsidR="00337C98" w:rsidRDefault="00E34329" w:rsidP="00337C98">
            <w:pPr>
              <w:spacing w:before="0" w:line="240" w:lineRule="auto"/>
              <w:jc w:val="center"/>
              <w:rPr>
                <w:rFonts w:asciiTheme="minorHAnsi" w:hAnsiTheme="minorHAnsi" w:cstheme="minorHAnsi"/>
                <w:b/>
                <w:bCs/>
                <w:color w:val="000000" w:themeColor="text1"/>
                <w:sz w:val="22"/>
                <w:szCs w:val="22"/>
              </w:rPr>
            </w:pPr>
            <w:r w:rsidRPr="00E34329">
              <w:rPr>
                <w:rFonts w:asciiTheme="minorHAnsi" w:hAnsiTheme="minorHAnsi" w:cstheme="minorHAnsi"/>
                <w:b/>
                <w:bCs/>
                <w:color w:val="000000" w:themeColor="text1"/>
                <w:sz w:val="22"/>
                <w:szCs w:val="22"/>
              </w:rPr>
              <w:t>Time Period for compliance from the date of issue of the Tariff Order</w:t>
            </w:r>
          </w:p>
        </w:tc>
      </w:tr>
      <w:tr w:rsidR="00E72959" w:rsidRPr="00231163" w:rsidTr="0059575F">
        <w:trPr>
          <w:trHeight w:val="386"/>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to pressingly pursue the GoUP for finalisation of the Transfer Scheme and submit a copy of the same.</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2</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again reiterates its direction to the Licensee to ensure proper maintenance of detailed fixed assets registers as specified in the Distribution Tariff Regulations. As the fixed asset registers are pending since the creation of Discom, the Commission directs the Licensee to submit a status report and provide the proposed timelines / milestones for clearing the backlog. Also, the Petitioner must submit the Fixed Asset Register from FY 2012-13 to FY 2015-16 along with the petition for FY 2017-18.</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With next ARR filings</w:t>
            </w:r>
          </w:p>
        </w:tc>
      </w:tr>
      <w:tr w:rsidR="00E72959" w:rsidRPr="00231163" w:rsidTr="0059575F">
        <w:trPr>
          <w:trHeight w:val="530"/>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3</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to frame an appropriate policy on capitalization of (i) employee costs, and (ii) A&amp;G expenses.</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57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4</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to submit Fresh Actuarial Valuation Study Report in respect to employee expenses.</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5</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As lack of approved transparent policy on identifying and writing off bad debts is hindering allowance of bad debts as an ARR component; the Commission directs the Licensee to submit ten sample cases of LT &amp; HT consumers where orders have been issued for writing off bad debts, clearly depicting the procedure adopted for writing off bad debts along with policy framework for managing bad debts for the Commission’s perusal.</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242"/>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6</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to evolve principles for prudent segregation of ARR towards wheeling function and retail supply function embedded in the distribution function in accordance with Regulation 36 of the Multi Year Tariff Regulations, 2014. Further the Licensee is directed to submit the draft Term of Reference for the approval of the Commission.</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7</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to submit a business plan for the control period i.e. from April 1, 2017 to March 31, 2020   in accordance with Regulation 5, 12.1 &amp; 13.1 of the Multi Year Tariff Regulations, 2014. The Licensee in such business plan shall submit but not limited  to  detailed  category-wise  sales  and  demand  projections,  power  procurement  plan, capital investment plan, financing plan and physical targets. The licensee should note that the specified timeline of June 1, 2016 for submission of the same under the Multi Year Tariff Regulation is over. The Licensee should submit the same at the earliest.</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242"/>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8</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to conduct benchmarking studies to determine the desired performance standards in accordance with Regulation 4.2.1 of the Multi Year Tariff Regulations, 2014. The licensee should note that specified timeline of September 30, 2015 for submission of the same under the Multi Year Tariff Regulation, 2014 is over. The Licensee should submit the same at the earliest.</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18316A">
        <w:trPr>
          <w:trHeight w:val="449"/>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9</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to ensure 100 % compliance of the Commission's Orders and targets to achieve 100% metering. The Licensee should submit the Quarterly progress report in this regard</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75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w:t>
            </w:r>
            <w:r w:rsidR="004138F3">
              <w:rPr>
                <w:rFonts w:asciiTheme="minorHAnsi" w:hAnsiTheme="minorHAnsi" w:cstheme="minorHAnsi"/>
                <w:color w:val="000000" w:themeColor="text1"/>
                <w:sz w:val="22"/>
                <w:szCs w:val="22"/>
              </w:rPr>
              <w:t>0</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to submit data related to its peak demand and off peak demand in MW along with its sales projections in accordance with Clause 3.1.4 of the Distribution Tariff Regulations. Licensee should submit the same for its licensee area.</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341"/>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w:t>
            </w:r>
            <w:r w:rsidR="004138F3">
              <w:rPr>
                <w:rFonts w:asciiTheme="minorHAnsi" w:hAnsiTheme="minorHAnsi" w:cstheme="minorHAnsi"/>
                <w:color w:val="000000" w:themeColor="text1"/>
                <w:sz w:val="22"/>
                <w:szCs w:val="22"/>
              </w:rPr>
              <w:t>1</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once again directs the Licensee to reconcile the inter-unit balances lying un-reconciled either itself or through independent chartered accountant firms. The Commission has trued-up the ARR for various years. However, it has been observed that the amount shown in head of inter-unit balance is very high and a detailed reconciliation and breakup of the same should be submitted to the Commission. The above details should be submitted for FY 2011-12, FY 2012-13, 2013-14, 2014-15 and 2015-16.</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w:t>
            </w:r>
            <w:r w:rsidR="004138F3">
              <w:rPr>
                <w:rFonts w:asciiTheme="minorHAnsi" w:hAnsiTheme="minorHAnsi" w:cstheme="minorHAnsi"/>
                <w:color w:val="000000" w:themeColor="text1"/>
                <w:sz w:val="22"/>
                <w:szCs w:val="22"/>
              </w:rPr>
              <w:t>2</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once again directs the licensee that they should file FPPCA in a timely and regular manner failing which the Commission may have to resort to take strict action against the Licensee like disallowance of additional power purchase expenses and the associated carrying cost on account of additional Power Purchase expenses or any other action that the Commission may deem fit while doing the Truing up.</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1</w:t>
            </w:r>
            <w:r w:rsidR="004138F3">
              <w:rPr>
                <w:rFonts w:asciiTheme="minorHAnsi" w:hAnsiTheme="minorHAnsi" w:cstheme="minorHAnsi"/>
                <w:color w:val="000000" w:themeColor="text1"/>
                <w:sz w:val="22"/>
                <w:szCs w:val="22"/>
              </w:rPr>
              <w:t>3</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to submit the consumer category and sub-category wise Regulatory Surcharges separately for Regulatory Surcharge-1 &amp; Regulatory Surcharge-2 collected for each year since inception at the earliest.</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w:t>
            </w:r>
            <w:r w:rsidR="004138F3">
              <w:rPr>
                <w:rFonts w:asciiTheme="minorHAnsi" w:hAnsiTheme="minorHAnsi" w:cstheme="minorHAnsi"/>
                <w:color w:val="000000" w:themeColor="text1"/>
                <w:sz w:val="22"/>
                <w:szCs w:val="22"/>
              </w:rPr>
              <w:t>4</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reiterates that the Licensee should adhere to the time line outlined in Uttar Pradesh Electricity Regulatory Commission (Multi Year Distribution Tariff) Regulations, 2014 for conducting a detailed study to provide accurate and effective consumption norms as specified by the Commission in its earlier directions. The licensee should note that specified timeline of December 1, 2015 for submission of the same under the Multi Year Tariff Regulation, 2014 has expired. The Licensee should submit the same at the earliest.</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w:t>
            </w:r>
            <w:r w:rsidR="004138F3">
              <w:rPr>
                <w:rFonts w:asciiTheme="minorHAnsi" w:hAnsiTheme="minorHAnsi" w:cstheme="minorHAnsi"/>
                <w:color w:val="000000" w:themeColor="text1"/>
                <w:sz w:val="22"/>
                <w:szCs w:val="22"/>
              </w:rPr>
              <w:t>5</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once again directs the Distribution Licensee to formulate a mechanism so as to make their officials accountable by providing incentives or disincentives for achievement or non-achievement of the distribution loss and the collection efficiency targets.  The Licensee should submit the same at the earliest.</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57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w:t>
            </w:r>
            <w:r w:rsidR="004138F3">
              <w:rPr>
                <w:rFonts w:asciiTheme="minorHAnsi" w:hAnsiTheme="minorHAnsi" w:cstheme="minorHAnsi"/>
                <w:color w:val="000000" w:themeColor="text1"/>
                <w:sz w:val="22"/>
                <w:szCs w:val="22"/>
              </w:rPr>
              <w:t>6</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Petitioner to sign the MoUs to be implemented at all levels and submit the copy of the same to the Commission</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w:t>
            </w:r>
            <w:r w:rsidR="004138F3">
              <w:rPr>
                <w:rFonts w:asciiTheme="minorHAnsi" w:hAnsiTheme="minorHAnsi" w:cstheme="minorHAnsi"/>
                <w:color w:val="000000" w:themeColor="text1"/>
                <w:sz w:val="22"/>
                <w:szCs w:val="22"/>
              </w:rPr>
              <w:t>7</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should complete the Assessment Study of metered consumers as per the Regulations 16.2 notified vide MYT Regulations, 2014 and subsequently submit the report to the Commission. The licensee should note that specified timeline of September 30, 2015 for submission of the same under the Multi Year Tariff Regulation, 2014 has expired. The Licensee should submit the same at the earliest.</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1</w:t>
            </w:r>
            <w:r w:rsidR="004138F3">
              <w:rPr>
                <w:rFonts w:asciiTheme="minorHAnsi" w:hAnsiTheme="minorHAnsi" w:cstheme="minorHAnsi"/>
                <w:color w:val="000000" w:themeColor="text1"/>
                <w:sz w:val="22"/>
                <w:szCs w:val="22"/>
              </w:rPr>
              <w:t>8</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should complete the Assessment Study of un-metered consumers to establish base line norms as per the Regulations 17.1 notified vide MYT Regulations, 2014 and subsequently submit the report to the Commission. The licensee should note that specified timeline of December 1, 2015 for submission of the same under the Multi Year Tariff Regulation, 2014 is over . The Licensee should submit the same at the earliest.</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DD22AB">
        <w:trPr>
          <w:trHeight w:val="287"/>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4138F3" w:rsidP="00337C98">
            <w:pPr>
              <w:spacing w:before="0" w:line="24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19</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 xml:space="preserve">The Petitioner should complete the Study of Agriculture  feeders segregated and not segregated in significant numbers to determine base line norms as per the Regulations17.2, 17.3 notified vide MYT Regulations, 2014 and subsequently submit the report to the Commission. The licensee should note that specified timeline of December 1, 2015 for submission of the same under the Multi Year Tariff Regulation, 2014 is over. The Licensee should submit </w:t>
            </w:r>
            <w:r w:rsidRPr="00E34329">
              <w:rPr>
                <w:rFonts w:asciiTheme="minorHAnsi" w:hAnsiTheme="minorHAnsi" w:cstheme="minorHAnsi"/>
                <w:color w:val="000000" w:themeColor="text1"/>
                <w:sz w:val="22"/>
                <w:szCs w:val="22"/>
              </w:rPr>
              <w:lastRenderedPageBreak/>
              <w:t>the same at the earliest.</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Immediate</w:t>
            </w:r>
          </w:p>
        </w:tc>
      </w:tr>
      <w:tr w:rsidR="00E72959" w:rsidRPr="00231163" w:rsidTr="0059575F">
        <w:trPr>
          <w:trHeight w:val="152"/>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lastRenderedPageBreak/>
              <w:t>2</w:t>
            </w:r>
            <w:r w:rsidR="004138F3">
              <w:rPr>
                <w:rFonts w:asciiTheme="minorHAnsi" w:hAnsiTheme="minorHAnsi" w:cstheme="minorHAnsi"/>
                <w:color w:val="000000" w:themeColor="text1"/>
                <w:sz w:val="22"/>
                <w:szCs w:val="22"/>
              </w:rPr>
              <w:t>0</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should submit Roadmap for Reduction of Cross Subsidy as per the Regulation 39 notified vide MYT Regulations, 2014. The licensee should note that specified timeline of October , 2014 for submission of the same under the Multi Year Tariff Regulation, 2014 is over . The Licensee should submit the same at the earliest.</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422"/>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2</w:t>
            </w:r>
            <w:r w:rsidR="004138F3">
              <w:rPr>
                <w:rFonts w:asciiTheme="minorHAnsi" w:hAnsiTheme="minorHAnsi" w:cstheme="minorHAnsi"/>
                <w:color w:val="000000" w:themeColor="text1"/>
                <w:sz w:val="22"/>
                <w:szCs w:val="22"/>
              </w:rPr>
              <w:t>1</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should submit month wise details of number of supply hours for rural and urban area for FY 2014-15 &amp; FY 2015-16</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Within one month from issue of this  Order</w:t>
            </w:r>
          </w:p>
        </w:tc>
      </w:tr>
      <w:tr w:rsidR="00E72959" w:rsidRPr="00231163" w:rsidTr="0059575F">
        <w:trPr>
          <w:trHeight w:val="242"/>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2</w:t>
            </w:r>
            <w:r w:rsidR="004138F3">
              <w:rPr>
                <w:rFonts w:asciiTheme="minorHAnsi" w:hAnsiTheme="minorHAnsi" w:cstheme="minorHAnsi"/>
                <w:color w:val="000000" w:themeColor="text1"/>
                <w:sz w:val="22"/>
                <w:szCs w:val="22"/>
              </w:rPr>
              <w:t>2</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Petitioner should submit information with regard to the performance parameters like number of consumers added, number of unmetered consumers converted to metered consumers and actual distribution loss in FY 2014-15 &amp; FY 2015-16. The Petitioner is hereby directed to submit the relevant information at the earliest from the issuance of this Order.</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At the earliest</w:t>
            </w:r>
          </w:p>
        </w:tc>
      </w:tr>
      <w:tr w:rsidR="00E72959" w:rsidRPr="00231163" w:rsidTr="0059575F">
        <w:trPr>
          <w:trHeight w:val="701"/>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2</w:t>
            </w:r>
            <w:r w:rsidR="004138F3">
              <w:rPr>
                <w:rFonts w:asciiTheme="minorHAnsi" w:hAnsiTheme="minorHAnsi" w:cstheme="minorHAnsi"/>
                <w:color w:val="000000" w:themeColor="text1"/>
                <w:sz w:val="22"/>
                <w:szCs w:val="22"/>
              </w:rPr>
              <w:t>3</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Petitioner to frame guidelines and procedures for identifying, physically verifying and writing off the bad debts and also to fix responsibility of its employees in this regard and submit the same to the Commission for its approval.</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Immediate</w:t>
            </w:r>
          </w:p>
        </w:tc>
      </w:tr>
      <w:tr w:rsidR="00E72959" w:rsidRPr="00231163" w:rsidTr="0059575F">
        <w:trPr>
          <w:trHeight w:val="737"/>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2</w:t>
            </w:r>
            <w:r w:rsidR="004138F3">
              <w:rPr>
                <w:rFonts w:asciiTheme="minorHAnsi" w:hAnsiTheme="minorHAnsi" w:cstheme="minorHAnsi"/>
                <w:color w:val="000000" w:themeColor="text1"/>
                <w:sz w:val="22"/>
                <w:szCs w:val="22"/>
              </w:rPr>
              <w:t>4</w:t>
            </w:r>
          </w:p>
        </w:tc>
        <w:tc>
          <w:tcPr>
            <w:tcW w:w="3757" w:type="pct"/>
            <w:tcBorders>
              <w:top w:val="nil"/>
              <w:left w:val="nil"/>
              <w:bottom w:val="single" w:sz="4" w:space="0" w:color="auto"/>
              <w:right w:val="single" w:sz="4" w:space="0" w:color="auto"/>
            </w:tcBorders>
            <w:shd w:val="clear" w:color="auto" w:fill="auto"/>
            <w:noWrap/>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Commission directs the Licensee that it should clearly depict the total power purchase cost incurred at UPPCL level, total power purchase cost paid by the Licensee to UPPCL and power cost payable to UPPCL for the year 2016.</w:t>
            </w:r>
          </w:p>
        </w:tc>
        <w:tc>
          <w:tcPr>
            <w:tcW w:w="929" w:type="pct"/>
            <w:tcBorders>
              <w:top w:val="nil"/>
              <w:left w:val="nil"/>
              <w:bottom w:val="single" w:sz="4" w:space="0" w:color="auto"/>
              <w:right w:val="single" w:sz="4" w:space="0" w:color="auto"/>
            </w:tcBorders>
            <w:shd w:val="clear" w:color="auto" w:fill="auto"/>
            <w:hideMark/>
          </w:tcPr>
          <w:p w:rsidR="00337C98" w:rsidRDefault="00E34329"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At the time of next ARR filings</w:t>
            </w:r>
          </w:p>
        </w:tc>
      </w:tr>
      <w:tr w:rsidR="00E72959" w:rsidRPr="00231163" w:rsidTr="0059575F">
        <w:trPr>
          <w:trHeight w:val="945"/>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E34329"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2</w:t>
            </w:r>
            <w:r w:rsidR="004138F3">
              <w:rPr>
                <w:rFonts w:asciiTheme="minorHAnsi" w:hAnsiTheme="minorHAnsi" w:cstheme="minorHAnsi"/>
                <w:color w:val="000000" w:themeColor="text1"/>
                <w:sz w:val="22"/>
                <w:szCs w:val="22"/>
              </w:rPr>
              <w:t>5</w:t>
            </w:r>
          </w:p>
        </w:tc>
        <w:tc>
          <w:tcPr>
            <w:tcW w:w="3757" w:type="pct"/>
            <w:tcBorders>
              <w:top w:val="nil"/>
              <w:left w:val="nil"/>
              <w:bottom w:val="single" w:sz="4" w:space="0" w:color="auto"/>
              <w:right w:val="single" w:sz="4" w:space="0" w:color="auto"/>
            </w:tcBorders>
            <w:shd w:val="clear" w:color="auto" w:fill="auto"/>
            <w:noWrap/>
            <w:hideMark/>
          </w:tcPr>
          <w:p w:rsidR="00337C98" w:rsidRPr="005525A4" w:rsidRDefault="00337C98" w:rsidP="00337C98">
            <w:pPr>
              <w:spacing w:before="0" w:line="240" w:lineRule="auto"/>
              <w:rPr>
                <w:rFonts w:asciiTheme="minorHAnsi" w:hAnsiTheme="minorHAnsi" w:cstheme="minorHAnsi"/>
                <w:color w:val="000000" w:themeColor="text1"/>
                <w:szCs w:val="22"/>
              </w:rPr>
            </w:pPr>
            <w:r w:rsidRPr="005525A4">
              <w:rPr>
                <w:rFonts w:asciiTheme="minorHAnsi" w:hAnsiTheme="minorHAnsi" w:cstheme="minorHAnsi"/>
                <w:color w:val="000000" w:themeColor="text1"/>
                <w:szCs w:val="22"/>
              </w:rPr>
              <w:t>The Commission directs Licensees to submit every month a report comprising the details of the power purchased from all the sources demonstrating that the Merit Order Dispatch Principle has been strictly followed and that the procurement was optimal in regard to cost taking into consideration of the power available at the power exchanges etc.</w:t>
            </w:r>
          </w:p>
        </w:tc>
        <w:tc>
          <w:tcPr>
            <w:tcW w:w="929" w:type="pct"/>
            <w:tcBorders>
              <w:top w:val="nil"/>
              <w:left w:val="nil"/>
              <w:bottom w:val="single" w:sz="4" w:space="0" w:color="auto"/>
              <w:right w:val="single" w:sz="4" w:space="0" w:color="auto"/>
            </w:tcBorders>
            <w:shd w:val="clear" w:color="auto" w:fill="auto"/>
            <w:hideMark/>
          </w:tcPr>
          <w:p w:rsidR="00337C98" w:rsidRPr="00337C98" w:rsidRDefault="00337C98" w:rsidP="00337C98">
            <w:pPr>
              <w:spacing w:before="0" w:line="240" w:lineRule="auto"/>
              <w:rPr>
                <w:rFonts w:asciiTheme="minorHAnsi" w:hAnsiTheme="minorHAnsi" w:cstheme="minorHAnsi"/>
                <w:color w:val="000000" w:themeColor="text1"/>
                <w:sz w:val="22"/>
                <w:szCs w:val="22"/>
                <w:highlight w:val="magenta"/>
              </w:rPr>
            </w:pPr>
            <w:r w:rsidRPr="005525A4">
              <w:rPr>
                <w:rFonts w:asciiTheme="minorHAnsi" w:hAnsiTheme="minorHAnsi" w:cstheme="minorHAnsi"/>
                <w:color w:val="000000" w:themeColor="text1"/>
                <w:sz w:val="22"/>
                <w:szCs w:val="22"/>
              </w:rPr>
              <w:t>Monthly Basis</w:t>
            </w:r>
          </w:p>
        </w:tc>
      </w:tr>
      <w:tr w:rsidR="0059575F" w:rsidRPr="00231163" w:rsidTr="0059575F">
        <w:trPr>
          <w:trHeight w:val="629"/>
        </w:trPr>
        <w:tc>
          <w:tcPr>
            <w:tcW w:w="314" w:type="pct"/>
            <w:tcBorders>
              <w:top w:val="nil"/>
              <w:left w:val="single" w:sz="4" w:space="0" w:color="auto"/>
              <w:bottom w:val="nil"/>
              <w:right w:val="single" w:sz="4" w:space="0" w:color="auto"/>
            </w:tcBorders>
            <w:shd w:val="clear" w:color="auto" w:fill="auto"/>
            <w:vAlign w:val="center"/>
            <w:hideMark/>
          </w:tcPr>
          <w:p w:rsidR="00337C98" w:rsidRDefault="0059575F" w:rsidP="00337C98">
            <w:pPr>
              <w:spacing w:before="0" w:line="240" w:lineRule="auto"/>
              <w:jc w:val="center"/>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6</w:t>
            </w:r>
          </w:p>
        </w:tc>
        <w:tc>
          <w:tcPr>
            <w:tcW w:w="3757" w:type="pct"/>
            <w:tcBorders>
              <w:top w:val="nil"/>
              <w:left w:val="nil"/>
              <w:bottom w:val="nil"/>
              <w:right w:val="single" w:sz="4" w:space="0" w:color="auto"/>
            </w:tcBorders>
            <w:shd w:val="clear" w:color="auto" w:fill="auto"/>
            <w:noWrap/>
            <w:hideMark/>
          </w:tcPr>
          <w:p w:rsidR="00337C98" w:rsidRDefault="0059575F"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The Petitioner should file the MYT Petition for the Control FY 2017-18 to FY 2019-20 as per the Regulations 12.2, 12.7, 12.8 &amp; 12.9 as per MYT Regulations, 2014</w:t>
            </w:r>
          </w:p>
        </w:tc>
        <w:tc>
          <w:tcPr>
            <w:tcW w:w="929" w:type="pct"/>
            <w:tcBorders>
              <w:top w:val="nil"/>
              <w:left w:val="nil"/>
              <w:bottom w:val="nil"/>
              <w:right w:val="single" w:sz="4" w:space="0" w:color="auto"/>
            </w:tcBorders>
            <w:shd w:val="clear" w:color="auto" w:fill="auto"/>
            <w:hideMark/>
          </w:tcPr>
          <w:p w:rsidR="00337C98" w:rsidRDefault="0059575F" w:rsidP="00337C98">
            <w:pPr>
              <w:spacing w:before="0" w:line="240" w:lineRule="auto"/>
              <w:rPr>
                <w:rFonts w:asciiTheme="minorHAnsi" w:hAnsiTheme="minorHAnsi" w:cstheme="minorHAnsi"/>
                <w:color w:val="000000" w:themeColor="text1"/>
                <w:sz w:val="22"/>
                <w:szCs w:val="22"/>
              </w:rPr>
            </w:pPr>
            <w:r w:rsidRPr="00E34329">
              <w:rPr>
                <w:rFonts w:asciiTheme="minorHAnsi" w:hAnsiTheme="minorHAnsi" w:cstheme="minorHAnsi"/>
                <w:color w:val="000000" w:themeColor="text1"/>
                <w:sz w:val="22"/>
                <w:szCs w:val="22"/>
              </w:rPr>
              <w:t>As per MYT timeline</w:t>
            </w:r>
          </w:p>
        </w:tc>
      </w:tr>
      <w:tr w:rsidR="0059575F" w:rsidRPr="00231163" w:rsidTr="00FC7239">
        <w:trPr>
          <w:trHeight w:val="87"/>
        </w:trPr>
        <w:tc>
          <w:tcPr>
            <w:tcW w:w="314" w:type="pct"/>
            <w:tcBorders>
              <w:top w:val="nil"/>
              <w:left w:val="single" w:sz="4" w:space="0" w:color="auto"/>
              <w:bottom w:val="single" w:sz="4" w:space="0" w:color="auto"/>
              <w:right w:val="single" w:sz="4" w:space="0" w:color="auto"/>
            </w:tcBorders>
            <w:shd w:val="clear" w:color="auto" w:fill="auto"/>
            <w:vAlign w:val="center"/>
            <w:hideMark/>
          </w:tcPr>
          <w:p w:rsidR="00337C98" w:rsidRDefault="00337C98" w:rsidP="00337C98">
            <w:pPr>
              <w:spacing w:before="0" w:line="240" w:lineRule="auto"/>
              <w:jc w:val="center"/>
              <w:rPr>
                <w:rFonts w:asciiTheme="minorHAnsi" w:hAnsiTheme="minorHAnsi" w:cstheme="minorHAnsi"/>
                <w:color w:val="000000" w:themeColor="text1"/>
                <w:sz w:val="22"/>
                <w:szCs w:val="22"/>
              </w:rPr>
            </w:pPr>
          </w:p>
        </w:tc>
        <w:tc>
          <w:tcPr>
            <w:tcW w:w="3757" w:type="pct"/>
            <w:tcBorders>
              <w:top w:val="nil"/>
              <w:left w:val="nil"/>
              <w:bottom w:val="single" w:sz="4" w:space="0" w:color="auto"/>
              <w:right w:val="single" w:sz="4" w:space="0" w:color="auto"/>
            </w:tcBorders>
            <w:shd w:val="clear" w:color="auto" w:fill="auto"/>
            <w:noWrap/>
            <w:hideMark/>
          </w:tcPr>
          <w:p w:rsidR="00337C98" w:rsidRDefault="00337C98" w:rsidP="00337C98">
            <w:pPr>
              <w:spacing w:before="0" w:line="240" w:lineRule="auto"/>
              <w:rPr>
                <w:rFonts w:asciiTheme="minorHAnsi" w:hAnsiTheme="minorHAnsi" w:cstheme="minorHAnsi"/>
                <w:color w:val="000000" w:themeColor="text1"/>
                <w:sz w:val="22"/>
                <w:szCs w:val="22"/>
              </w:rPr>
            </w:pPr>
          </w:p>
        </w:tc>
        <w:tc>
          <w:tcPr>
            <w:tcW w:w="929" w:type="pct"/>
            <w:tcBorders>
              <w:top w:val="nil"/>
              <w:left w:val="nil"/>
              <w:bottom w:val="single" w:sz="4" w:space="0" w:color="auto"/>
              <w:right w:val="single" w:sz="4" w:space="0" w:color="auto"/>
            </w:tcBorders>
            <w:shd w:val="clear" w:color="auto" w:fill="auto"/>
            <w:hideMark/>
          </w:tcPr>
          <w:p w:rsidR="00337C98" w:rsidRDefault="00337C98" w:rsidP="00337C98">
            <w:pPr>
              <w:spacing w:before="0" w:line="240" w:lineRule="auto"/>
              <w:rPr>
                <w:rFonts w:asciiTheme="minorHAnsi" w:hAnsiTheme="minorHAnsi" w:cstheme="minorHAnsi"/>
                <w:color w:val="000000" w:themeColor="text1"/>
                <w:sz w:val="22"/>
                <w:szCs w:val="22"/>
              </w:rPr>
            </w:pPr>
          </w:p>
        </w:tc>
      </w:tr>
      <w:tr w:rsidR="0059575F" w:rsidRPr="00231163" w:rsidTr="00FC7239">
        <w:trPr>
          <w:trHeight w:val="629"/>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7C98" w:rsidRPr="00337C98" w:rsidRDefault="00337C98" w:rsidP="00337C98">
            <w:pPr>
              <w:spacing w:before="0" w:line="240" w:lineRule="auto"/>
              <w:jc w:val="center"/>
              <w:rPr>
                <w:rFonts w:asciiTheme="minorHAnsi" w:hAnsiTheme="minorHAnsi" w:cstheme="minorHAnsi"/>
                <w:color w:val="000000" w:themeColor="text1"/>
                <w:szCs w:val="22"/>
              </w:rPr>
            </w:pPr>
            <w:r w:rsidRPr="00337C98">
              <w:rPr>
                <w:rFonts w:asciiTheme="minorHAnsi" w:hAnsiTheme="minorHAnsi" w:cstheme="minorHAnsi"/>
                <w:color w:val="000000" w:themeColor="text1"/>
                <w:szCs w:val="22"/>
              </w:rPr>
              <w:t>27</w:t>
            </w:r>
          </w:p>
        </w:tc>
        <w:tc>
          <w:tcPr>
            <w:tcW w:w="3757" w:type="pct"/>
            <w:tcBorders>
              <w:top w:val="single" w:sz="4" w:space="0" w:color="auto"/>
              <w:left w:val="nil"/>
              <w:bottom w:val="single" w:sz="4" w:space="0" w:color="auto"/>
              <w:right w:val="single" w:sz="4" w:space="0" w:color="auto"/>
            </w:tcBorders>
            <w:shd w:val="clear" w:color="auto" w:fill="auto"/>
            <w:noWrap/>
            <w:hideMark/>
          </w:tcPr>
          <w:p w:rsidR="00337C98" w:rsidRDefault="003F0D35" w:rsidP="00337C98">
            <w:pPr>
              <w:spacing w:before="0" w:line="240" w:lineRule="auto"/>
              <w:rPr>
                <w:rFonts w:asciiTheme="minorHAnsi" w:hAnsiTheme="minorHAnsi" w:cstheme="minorHAnsi"/>
                <w:color w:val="000000" w:themeColor="text1"/>
                <w:sz w:val="22"/>
                <w:szCs w:val="22"/>
              </w:rPr>
            </w:pPr>
            <w:r w:rsidRPr="003F0D35">
              <w:rPr>
                <w:rFonts w:asciiTheme="minorHAnsi" w:hAnsiTheme="minorHAnsi" w:cstheme="minorHAnsi"/>
                <w:color w:val="000000" w:themeColor="text1"/>
                <w:sz w:val="22"/>
                <w:szCs w:val="22"/>
              </w:rPr>
              <w:t>The Commission</w:t>
            </w:r>
            <w:r w:rsidR="00337C98" w:rsidRPr="00337C98">
              <w:rPr>
                <w:rFonts w:asciiTheme="minorHAnsi" w:hAnsiTheme="minorHAnsi" w:cstheme="minorHAnsi"/>
                <w:color w:val="000000" w:themeColor="text1"/>
                <w:sz w:val="22"/>
                <w:szCs w:val="22"/>
              </w:rPr>
              <w:t xml:space="preserve"> </w:t>
            </w:r>
            <w:r w:rsidRPr="003F0D35">
              <w:rPr>
                <w:rFonts w:asciiTheme="minorHAnsi" w:hAnsiTheme="minorHAnsi" w:cstheme="minorHAnsi"/>
                <w:color w:val="000000" w:themeColor="text1"/>
                <w:sz w:val="22"/>
                <w:szCs w:val="22"/>
              </w:rPr>
              <w:t>directs the Petitioner to submit a proposal for “Rate Schedule” linked to number of hours of supply.</w:t>
            </w:r>
          </w:p>
        </w:tc>
        <w:tc>
          <w:tcPr>
            <w:tcW w:w="929" w:type="pct"/>
            <w:tcBorders>
              <w:top w:val="single" w:sz="4" w:space="0" w:color="auto"/>
              <w:left w:val="nil"/>
              <w:bottom w:val="single" w:sz="4" w:space="0" w:color="auto"/>
              <w:right w:val="single" w:sz="4" w:space="0" w:color="auto"/>
            </w:tcBorders>
            <w:shd w:val="clear" w:color="auto" w:fill="auto"/>
            <w:hideMark/>
          </w:tcPr>
          <w:p w:rsidR="00337C98" w:rsidRDefault="003F0D35" w:rsidP="00337C98">
            <w:pPr>
              <w:spacing w:before="0" w:line="240" w:lineRule="auto"/>
              <w:rPr>
                <w:rFonts w:asciiTheme="minorHAnsi" w:hAnsiTheme="minorHAnsi" w:cstheme="minorHAnsi"/>
                <w:color w:val="000000" w:themeColor="text1"/>
                <w:sz w:val="22"/>
                <w:szCs w:val="22"/>
              </w:rPr>
            </w:pPr>
            <w:r w:rsidRPr="003F0D35">
              <w:rPr>
                <w:rFonts w:asciiTheme="minorHAnsi" w:hAnsiTheme="minorHAnsi" w:cstheme="minorHAnsi"/>
                <w:color w:val="000000" w:themeColor="text1"/>
                <w:sz w:val="22"/>
                <w:szCs w:val="22"/>
              </w:rPr>
              <w:t>At the time of next ARR filings</w:t>
            </w:r>
          </w:p>
        </w:tc>
      </w:tr>
      <w:tr w:rsidR="00FC7239" w:rsidRPr="00231163" w:rsidTr="00FC7239">
        <w:trPr>
          <w:trHeight w:val="629"/>
        </w:trPr>
        <w:tc>
          <w:tcPr>
            <w:tcW w:w="314" w:type="pct"/>
            <w:tcBorders>
              <w:top w:val="single" w:sz="4" w:space="0" w:color="auto"/>
              <w:left w:val="single" w:sz="4" w:space="0" w:color="auto"/>
              <w:bottom w:val="nil"/>
              <w:right w:val="single" w:sz="4" w:space="0" w:color="auto"/>
            </w:tcBorders>
            <w:shd w:val="clear" w:color="auto" w:fill="auto"/>
            <w:vAlign w:val="center"/>
            <w:hideMark/>
          </w:tcPr>
          <w:p w:rsidR="00FC7239" w:rsidRPr="00337C98" w:rsidRDefault="00FC7239" w:rsidP="00337C98">
            <w:pPr>
              <w:spacing w:before="0" w:line="240" w:lineRule="auto"/>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lastRenderedPageBreak/>
              <w:t>28</w:t>
            </w:r>
          </w:p>
        </w:tc>
        <w:tc>
          <w:tcPr>
            <w:tcW w:w="3757" w:type="pct"/>
            <w:tcBorders>
              <w:top w:val="single" w:sz="4" w:space="0" w:color="auto"/>
              <w:left w:val="nil"/>
              <w:bottom w:val="nil"/>
              <w:right w:val="single" w:sz="4" w:space="0" w:color="auto"/>
            </w:tcBorders>
            <w:shd w:val="clear" w:color="auto" w:fill="auto"/>
            <w:noWrap/>
            <w:hideMark/>
          </w:tcPr>
          <w:p w:rsidR="00FC7239" w:rsidRPr="003F0D35" w:rsidRDefault="00FC7239" w:rsidP="00337C98">
            <w:pPr>
              <w:spacing w:before="0" w:line="240" w:lineRule="auto"/>
              <w:rPr>
                <w:rFonts w:asciiTheme="minorHAnsi" w:hAnsiTheme="minorHAnsi" w:cstheme="minorHAnsi"/>
                <w:color w:val="000000" w:themeColor="text1"/>
                <w:sz w:val="22"/>
                <w:szCs w:val="22"/>
              </w:rPr>
            </w:pPr>
            <w:r>
              <w:rPr>
                <w:rFonts w:cstheme="minorHAnsi"/>
                <w:color w:val="000000" w:themeColor="text1"/>
              </w:rPr>
              <w:t>The Licensee is directed to explore the possibility of having TOD tariff structure for domestic and non-domestic categories and submit their proposal.</w:t>
            </w:r>
          </w:p>
        </w:tc>
        <w:tc>
          <w:tcPr>
            <w:tcW w:w="929" w:type="pct"/>
            <w:tcBorders>
              <w:top w:val="single" w:sz="4" w:space="0" w:color="auto"/>
              <w:left w:val="nil"/>
              <w:bottom w:val="nil"/>
              <w:right w:val="single" w:sz="4" w:space="0" w:color="auto"/>
            </w:tcBorders>
            <w:shd w:val="clear" w:color="auto" w:fill="auto"/>
            <w:hideMark/>
          </w:tcPr>
          <w:p w:rsidR="00FC7239" w:rsidRPr="00FC7239" w:rsidRDefault="00FC7239" w:rsidP="00150688">
            <w:pPr>
              <w:spacing w:before="0" w:line="240" w:lineRule="auto"/>
              <w:jc w:val="left"/>
              <w:rPr>
                <w:rFonts w:cstheme="minorHAnsi"/>
                <w:color w:val="000000" w:themeColor="text1"/>
                <w:sz w:val="22"/>
                <w:szCs w:val="22"/>
              </w:rPr>
            </w:pPr>
            <w:r>
              <w:rPr>
                <w:rFonts w:cstheme="minorHAnsi"/>
                <w:color w:val="000000" w:themeColor="text1"/>
              </w:rPr>
              <w:t>At the time of next ARR filings</w:t>
            </w:r>
          </w:p>
        </w:tc>
      </w:tr>
      <w:tr w:rsidR="0059575F" w:rsidRPr="00231163" w:rsidTr="00DD22AB">
        <w:trPr>
          <w:trHeight w:val="87"/>
        </w:trPr>
        <w:tc>
          <w:tcPr>
            <w:tcW w:w="314" w:type="pct"/>
            <w:tcBorders>
              <w:top w:val="nil"/>
              <w:left w:val="single" w:sz="4" w:space="0" w:color="auto"/>
              <w:bottom w:val="single" w:sz="4" w:space="0" w:color="auto"/>
              <w:right w:val="single" w:sz="4" w:space="0" w:color="auto"/>
            </w:tcBorders>
            <w:shd w:val="clear" w:color="auto" w:fill="auto"/>
            <w:vAlign w:val="center"/>
          </w:tcPr>
          <w:p w:rsidR="00337C98" w:rsidRDefault="00337C98" w:rsidP="00337C98">
            <w:pPr>
              <w:spacing w:before="0" w:line="240" w:lineRule="auto"/>
              <w:jc w:val="center"/>
              <w:rPr>
                <w:rFonts w:asciiTheme="minorHAnsi" w:hAnsiTheme="minorHAnsi" w:cstheme="minorHAnsi"/>
                <w:color w:val="000000" w:themeColor="text1"/>
                <w:sz w:val="22"/>
                <w:szCs w:val="22"/>
              </w:rPr>
            </w:pPr>
          </w:p>
        </w:tc>
        <w:tc>
          <w:tcPr>
            <w:tcW w:w="3757" w:type="pct"/>
            <w:tcBorders>
              <w:top w:val="nil"/>
              <w:left w:val="nil"/>
              <w:bottom w:val="single" w:sz="4" w:space="0" w:color="auto"/>
              <w:right w:val="single" w:sz="4" w:space="0" w:color="auto"/>
            </w:tcBorders>
            <w:shd w:val="clear" w:color="auto" w:fill="auto"/>
            <w:noWrap/>
          </w:tcPr>
          <w:p w:rsidR="00337C98" w:rsidRDefault="00337C98" w:rsidP="00337C98">
            <w:pPr>
              <w:spacing w:before="0" w:line="240" w:lineRule="auto"/>
              <w:rPr>
                <w:rFonts w:asciiTheme="minorHAnsi" w:hAnsiTheme="minorHAnsi" w:cstheme="minorHAnsi"/>
                <w:color w:val="000000" w:themeColor="text1"/>
                <w:sz w:val="22"/>
                <w:szCs w:val="22"/>
              </w:rPr>
            </w:pPr>
          </w:p>
        </w:tc>
        <w:tc>
          <w:tcPr>
            <w:tcW w:w="929" w:type="pct"/>
            <w:tcBorders>
              <w:top w:val="nil"/>
              <w:left w:val="nil"/>
              <w:bottom w:val="single" w:sz="4" w:space="0" w:color="auto"/>
              <w:right w:val="single" w:sz="4" w:space="0" w:color="auto"/>
            </w:tcBorders>
            <w:shd w:val="clear" w:color="auto" w:fill="auto"/>
          </w:tcPr>
          <w:p w:rsidR="00337C98" w:rsidRDefault="00337C98" w:rsidP="00337C98">
            <w:pPr>
              <w:spacing w:before="0" w:line="240" w:lineRule="auto"/>
              <w:rPr>
                <w:rFonts w:asciiTheme="minorHAnsi" w:hAnsiTheme="minorHAnsi" w:cstheme="minorHAnsi"/>
                <w:color w:val="000000" w:themeColor="text1"/>
                <w:sz w:val="22"/>
                <w:szCs w:val="22"/>
              </w:rPr>
            </w:pPr>
          </w:p>
        </w:tc>
      </w:tr>
    </w:tbl>
    <w:p w:rsidR="00337C98" w:rsidRPr="00337C98" w:rsidRDefault="00337C98" w:rsidP="00337C98">
      <w:pPr>
        <w:pStyle w:val="Heading3"/>
        <w:tabs>
          <w:tab w:val="clear" w:pos="720"/>
        </w:tabs>
        <w:spacing w:before="0" w:after="120"/>
        <w:ind w:left="993" w:hanging="993"/>
        <w:rPr>
          <w:szCs w:val="24"/>
        </w:rPr>
      </w:pPr>
      <w:r w:rsidRPr="00337C98">
        <w:rPr>
          <w:szCs w:val="24"/>
        </w:rPr>
        <w:t>The Commission would like to mention here that the list given above may not be exhaustive and the Licensee is directed comply with all directives given in the text of this Order.</w:t>
      </w:r>
    </w:p>
    <w:p w:rsidR="00D5771F" w:rsidRDefault="00337C98">
      <w:pPr>
        <w:pStyle w:val="Heading3"/>
        <w:tabs>
          <w:tab w:val="clear" w:pos="720"/>
        </w:tabs>
        <w:spacing w:after="120"/>
        <w:ind w:left="993" w:hanging="993"/>
        <w:rPr>
          <w:rFonts w:asciiTheme="minorHAnsi" w:hAnsiTheme="minorHAnsi"/>
          <w:szCs w:val="24"/>
        </w:rPr>
      </w:pPr>
      <w:r w:rsidRPr="00337C98">
        <w:rPr>
          <w:szCs w:val="24"/>
        </w:rPr>
        <w:t>The Commission directs the Licensee to follow the directions scrupulously and send the periodical reports by 30</w:t>
      </w:r>
      <w:r w:rsidRPr="00337C98">
        <w:rPr>
          <w:szCs w:val="24"/>
          <w:vertAlign w:val="superscript"/>
        </w:rPr>
        <w:t>th</w:t>
      </w:r>
      <w:r w:rsidRPr="00337C98">
        <w:rPr>
          <w:szCs w:val="24"/>
        </w:rPr>
        <w:t xml:space="preserve"> of every month about the compliance of these directions in the format titled ‘Action Taken Report on the Directions Issued by the Commission’ provided at Annexure - 11.7 of this Order.</w:t>
      </w:r>
    </w:p>
    <w:p w:rsidR="00077A9E" w:rsidRDefault="00077A9E" w:rsidP="00CA57D9">
      <w:pPr>
        <w:pStyle w:val="Heading1"/>
        <w:sectPr w:rsidR="00077A9E" w:rsidSect="00077A9E">
          <w:pgSz w:w="16834" w:h="11909" w:orient="landscape"/>
          <w:pgMar w:top="1800" w:right="1440" w:bottom="1440" w:left="1440" w:header="720" w:footer="720" w:gutter="0"/>
          <w:pgNumType w:chapSep="colon"/>
          <w:cols w:space="720"/>
          <w:docGrid w:linePitch="326"/>
        </w:sectPr>
      </w:pPr>
      <w:bookmarkStart w:id="1871" w:name="_Toc457055640"/>
      <w:bookmarkStart w:id="1872" w:name="_Toc457055641"/>
      <w:bookmarkStart w:id="1873" w:name="_Toc457055642"/>
      <w:bookmarkEnd w:id="1871"/>
      <w:bookmarkEnd w:id="1872"/>
      <w:bookmarkEnd w:id="1873"/>
    </w:p>
    <w:p w:rsidR="00D5771F" w:rsidRDefault="00C34658">
      <w:pPr>
        <w:pStyle w:val="Heading1"/>
      </w:pPr>
      <w:bookmarkStart w:id="1874" w:name="_Toc457603983"/>
      <w:r w:rsidRPr="00C60AD1">
        <w:lastRenderedPageBreak/>
        <w:t>APPLICABILITY OF THE ORDER</w:t>
      </w:r>
      <w:bookmarkEnd w:id="1761"/>
      <w:bookmarkEnd w:id="1762"/>
      <w:bookmarkEnd w:id="1763"/>
      <w:bookmarkEnd w:id="1764"/>
      <w:bookmarkEnd w:id="1765"/>
      <w:bookmarkEnd w:id="1766"/>
      <w:bookmarkEnd w:id="1874"/>
    </w:p>
    <w:p w:rsidR="00C34658" w:rsidRPr="00C60AD1" w:rsidRDefault="00C34658" w:rsidP="00C34658">
      <w:pPr>
        <w:pStyle w:val="Heading3"/>
        <w:numPr>
          <w:ilvl w:val="0"/>
          <w:numId w:val="0"/>
        </w:numPr>
        <w:tabs>
          <w:tab w:val="clear" w:pos="720"/>
        </w:tabs>
        <w:spacing w:before="0"/>
        <w:ind w:left="810"/>
      </w:pPr>
      <w:bookmarkStart w:id="1875" w:name="_Toc357356183"/>
      <w:r w:rsidRPr="00C60AD1">
        <w:t>The Licensee, in accordance to Section 139 of the Uttar Pradesh Electricity Regulatory Commission (Conduct of Business) Regulations 2004, shall publish the approved tariffs</w:t>
      </w:r>
      <w:r w:rsidR="00DF4488">
        <w:t xml:space="preserve"> (including </w:t>
      </w:r>
      <w:r w:rsidR="00A41FE8">
        <w:t xml:space="preserve">rates, </w:t>
      </w:r>
      <w:r w:rsidRPr="00C60AD1">
        <w:t>regulatory surcharge</w:t>
      </w:r>
      <w:r w:rsidR="00341282">
        <w:t>, open</w:t>
      </w:r>
      <w:r w:rsidR="00A41FE8">
        <w:t xml:space="preserve"> access charges</w:t>
      </w:r>
      <w:r w:rsidR="00DF4488">
        <w:t xml:space="preserve"> etc.)</w:t>
      </w:r>
      <w:r w:rsidRPr="00C60AD1">
        <w:t xml:space="preserve"> within three days from the date of this Order. The Licensee shall ensure that the same is published in at least two daily newspapers (one English and one Hindi) having wide circulation in the area of supply. The tariffs so published shall become the notified tariffs applicable in the area of supply and shall come into force after seven days from the date of such publication of the tariffs, and unless amended or revoked, shall continue to be in force till issuance of the next Tariff Order.</w:t>
      </w:r>
      <w:bookmarkEnd w:id="1875"/>
      <w:r w:rsidRPr="00C60AD1">
        <w:t>The Commission may issue clarification / corrigendum / addendum to this Order as it deems fit from time to time with the reasons to be recorded in writing.</w:t>
      </w:r>
    </w:p>
    <w:p w:rsidR="00C34658" w:rsidRPr="00C60AD1" w:rsidRDefault="00C34658" w:rsidP="00C34658">
      <w:pPr>
        <w:pStyle w:val="Heading3"/>
        <w:numPr>
          <w:ilvl w:val="0"/>
          <w:numId w:val="0"/>
        </w:numPr>
        <w:tabs>
          <w:tab w:val="clear" w:pos="720"/>
        </w:tabs>
        <w:spacing w:before="0"/>
        <w:ind w:left="810"/>
      </w:pPr>
    </w:p>
    <w:p w:rsidR="00C34658" w:rsidRPr="00C60AD1" w:rsidRDefault="00C34658" w:rsidP="00C34658"/>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3"/>
        <w:gridCol w:w="2750"/>
        <w:gridCol w:w="2892"/>
      </w:tblGrid>
      <w:tr w:rsidR="00341282" w:rsidRPr="00C60AD1" w:rsidTr="00787558">
        <w:trPr>
          <w:jc w:val="center"/>
        </w:trPr>
        <w:tc>
          <w:tcPr>
            <w:tcW w:w="3192" w:type="dxa"/>
            <w:vAlign w:val="center"/>
          </w:tcPr>
          <w:p w:rsidR="00341282" w:rsidRPr="00C60AD1" w:rsidRDefault="00341282" w:rsidP="00787558">
            <w:pPr>
              <w:jc w:val="center"/>
              <w:rPr>
                <w:rFonts w:asciiTheme="minorHAnsi" w:hAnsiTheme="minorHAnsi"/>
                <w:b/>
              </w:rPr>
            </w:pPr>
            <w:r w:rsidRPr="00C60AD1">
              <w:rPr>
                <w:rFonts w:asciiTheme="minorHAnsi" w:hAnsiTheme="minorHAnsi" w:cstheme="minorHAnsi"/>
                <w:b/>
              </w:rPr>
              <w:t>(</w:t>
            </w:r>
            <w:r>
              <w:rPr>
                <w:rFonts w:asciiTheme="minorHAnsi" w:hAnsiTheme="minorHAnsi" w:cstheme="minorHAnsi"/>
                <w:b/>
              </w:rPr>
              <w:t>S</w:t>
            </w:r>
            <w:r w:rsidR="008F598B">
              <w:rPr>
                <w:rFonts w:asciiTheme="minorHAnsi" w:hAnsiTheme="minorHAnsi" w:cstheme="minorHAnsi"/>
                <w:b/>
              </w:rPr>
              <w:t>.</w:t>
            </w:r>
            <w:r>
              <w:rPr>
                <w:rFonts w:asciiTheme="minorHAnsi" w:hAnsiTheme="minorHAnsi" w:cstheme="minorHAnsi"/>
                <w:b/>
              </w:rPr>
              <w:t xml:space="preserve"> K</w:t>
            </w:r>
            <w:r w:rsidR="008F598B">
              <w:rPr>
                <w:rFonts w:asciiTheme="minorHAnsi" w:hAnsiTheme="minorHAnsi" w:cstheme="minorHAnsi"/>
                <w:b/>
              </w:rPr>
              <w:t>.</w:t>
            </w:r>
            <w:r>
              <w:rPr>
                <w:rFonts w:asciiTheme="minorHAnsi" w:hAnsiTheme="minorHAnsi" w:cstheme="minorHAnsi"/>
                <w:b/>
              </w:rPr>
              <w:t xml:space="preserve"> Agarwal</w:t>
            </w:r>
            <w:r w:rsidRPr="00C60AD1">
              <w:rPr>
                <w:rFonts w:asciiTheme="minorHAnsi" w:hAnsiTheme="minorHAnsi" w:cstheme="minorHAnsi"/>
                <w:b/>
              </w:rPr>
              <w:t>)</w:t>
            </w:r>
          </w:p>
        </w:tc>
        <w:tc>
          <w:tcPr>
            <w:tcW w:w="3192" w:type="dxa"/>
            <w:vAlign w:val="center"/>
          </w:tcPr>
          <w:p w:rsidR="00341282" w:rsidRPr="00C60AD1" w:rsidRDefault="00341282" w:rsidP="00787558">
            <w:pPr>
              <w:jc w:val="center"/>
              <w:rPr>
                <w:rFonts w:asciiTheme="minorHAnsi" w:hAnsiTheme="minorHAnsi"/>
                <w:b/>
              </w:rPr>
            </w:pPr>
          </w:p>
        </w:tc>
        <w:tc>
          <w:tcPr>
            <w:tcW w:w="3192" w:type="dxa"/>
            <w:vAlign w:val="center"/>
          </w:tcPr>
          <w:p w:rsidR="00341282" w:rsidRPr="00C60AD1" w:rsidRDefault="00341282" w:rsidP="00787558">
            <w:pPr>
              <w:jc w:val="center"/>
              <w:rPr>
                <w:rFonts w:asciiTheme="minorHAnsi" w:hAnsiTheme="minorHAnsi"/>
                <w:b/>
              </w:rPr>
            </w:pPr>
            <w:r w:rsidRPr="00C60AD1">
              <w:rPr>
                <w:rFonts w:asciiTheme="minorHAnsi" w:hAnsiTheme="minorHAnsi" w:cstheme="minorHAnsi"/>
                <w:b/>
              </w:rPr>
              <w:t>(Desh Deepak Verma)</w:t>
            </w:r>
          </w:p>
        </w:tc>
      </w:tr>
      <w:tr w:rsidR="00341282" w:rsidRPr="00C60AD1" w:rsidTr="00787558">
        <w:trPr>
          <w:jc w:val="center"/>
        </w:trPr>
        <w:tc>
          <w:tcPr>
            <w:tcW w:w="3192" w:type="dxa"/>
            <w:vAlign w:val="center"/>
          </w:tcPr>
          <w:p w:rsidR="00341282" w:rsidRPr="00C60AD1" w:rsidRDefault="00341282" w:rsidP="00787558">
            <w:pPr>
              <w:jc w:val="center"/>
              <w:rPr>
                <w:rFonts w:asciiTheme="minorHAnsi" w:hAnsiTheme="minorHAnsi"/>
                <w:b/>
              </w:rPr>
            </w:pPr>
            <w:r w:rsidRPr="00C60AD1">
              <w:rPr>
                <w:rFonts w:asciiTheme="minorHAnsi" w:hAnsiTheme="minorHAnsi" w:cstheme="minorHAnsi"/>
                <w:b/>
              </w:rPr>
              <w:t>Member</w:t>
            </w:r>
          </w:p>
        </w:tc>
        <w:tc>
          <w:tcPr>
            <w:tcW w:w="3192" w:type="dxa"/>
            <w:vAlign w:val="center"/>
          </w:tcPr>
          <w:p w:rsidR="00341282" w:rsidRPr="00C60AD1" w:rsidRDefault="00341282" w:rsidP="00787558">
            <w:pPr>
              <w:jc w:val="center"/>
              <w:rPr>
                <w:rFonts w:asciiTheme="minorHAnsi" w:hAnsiTheme="minorHAnsi"/>
                <w:b/>
              </w:rPr>
            </w:pPr>
          </w:p>
        </w:tc>
        <w:tc>
          <w:tcPr>
            <w:tcW w:w="3192" w:type="dxa"/>
            <w:vAlign w:val="center"/>
          </w:tcPr>
          <w:p w:rsidR="00341282" w:rsidRPr="00C60AD1" w:rsidRDefault="00341282" w:rsidP="00787558">
            <w:pPr>
              <w:jc w:val="center"/>
              <w:rPr>
                <w:rFonts w:asciiTheme="minorHAnsi" w:hAnsiTheme="minorHAnsi"/>
                <w:b/>
              </w:rPr>
            </w:pPr>
            <w:r w:rsidRPr="00C60AD1">
              <w:rPr>
                <w:rFonts w:asciiTheme="minorHAnsi" w:hAnsiTheme="minorHAnsi" w:cstheme="minorHAnsi"/>
                <w:b/>
              </w:rPr>
              <w:t>Chairman</w:t>
            </w:r>
          </w:p>
        </w:tc>
      </w:tr>
    </w:tbl>
    <w:p w:rsidR="00C34658" w:rsidRPr="00C60AD1" w:rsidRDefault="00C34658" w:rsidP="00C34658"/>
    <w:p w:rsidR="00C34658" w:rsidRPr="00C60AD1" w:rsidRDefault="00C34658" w:rsidP="00C34658"/>
    <w:p w:rsidR="00C34658" w:rsidRPr="00C60AD1" w:rsidRDefault="00C34658" w:rsidP="00C34658">
      <w:pPr>
        <w:pStyle w:val="Heading3"/>
        <w:numPr>
          <w:ilvl w:val="0"/>
          <w:numId w:val="0"/>
        </w:numPr>
        <w:spacing w:before="0"/>
        <w:ind w:left="576"/>
        <w:rPr>
          <w:b/>
        </w:rPr>
      </w:pPr>
    </w:p>
    <w:p w:rsidR="00C34658" w:rsidRPr="00C60AD1" w:rsidRDefault="00C34658" w:rsidP="00C34658"/>
    <w:p w:rsidR="00C34658" w:rsidRPr="00C60AD1" w:rsidRDefault="00C34658" w:rsidP="00C34658">
      <w:pPr>
        <w:spacing w:before="0"/>
        <w:jc w:val="center"/>
        <w:rPr>
          <w:rFonts w:asciiTheme="minorHAnsi" w:hAnsiTheme="minorHAnsi" w:cstheme="minorHAnsi"/>
          <w:sz w:val="28"/>
          <w:szCs w:val="28"/>
        </w:rPr>
      </w:pPr>
    </w:p>
    <w:p w:rsidR="00C34658" w:rsidRPr="00C60AD1" w:rsidRDefault="00C34658" w:rsidP="00C34658">
      <w:pPr>
        <w:rPr>
          <w:rFonts w:asciiTheme="minorHAnsi" w:hAnsiTheme="minorHAnsi" w:cstheme="minorHAnsi"/>
          <w:sz w:val="28"/>
          <w:szCs w:val="28"/>
        </w:rPr>
      </w:pPr>
    </w:p>
    <w:p w:rsidR="00C34658" w:rsidRPr="00C60AD1" w:rsidRDefault="001D644C" w:rsidP="00C34658">
      <w:r w:rsidRPr="001D644C">
        <w:rPr>
          <w:b/>
        </w:rPr>
        <w:t>Date</w:t>
      </w:r>
      <w:r w:rsidR="006C63AF" w:rsidRPr="006C63AF">
        <w:t>:</w:t>
      </w:r>
      <w:r w:rsidR="00533A6B">
        <w:t xml:space="preserve"> August 1</w:t>
      </w:r>
      <w:r w:rsidR="006C63AF" w:rsidRPr="006C63AF">
        <w:t>, 2016</w:t>
      </w:r>
    </w:p>
    <w:p w:rsidR="00C34658" w:rsidRPr="00C60AD1" w:rsidRDefault="001D644C" w:rsidP="00C34658">
      <w:pPr>
        <w:pStyle w:val="Heading3"/>
        <w:numPr>
          <w:ilvl w:val="0"/>
          <w:numId w:val="0"/>
        </w:numPr>
        <w:tabs>
          <w:tab w:val="clear" w:pos="720"/>
        </w:tabs>
        <w:spacing w:after="120"/>
      </w:pPr>
      <w:r w:rsidRPr="001D644C">
        <w:rPr>
          <w:b/>
        </w:rPr>
        <w:t>Place</w:t>
      </w:r>
      <w:r w:rsidR="0000134B">
        <w:t xml:space="preserve">: </w:t>
      </w:r>
      <w:r w:rsidR="00C34658">
        <w:t>Lucknow</w:t>
      </w:r>
    </w:p>
    <w:p w:rsidR="00C34658" w:rsidRPr="00C60AD1" w:rsidRDefault="00C34658" w:rsidP="00C34658">
      <w:pPr>
        <w:spacing w:before="0" w:line="240" w:lineRule="auto"/>
        <w:jc w:val="left"/>
        <w:rPr>
          <w:rFonts w:cs="Arial"/>
          <w:bCs/>
          <w:szCs w:val="26"/>
        </w:rPr>
      </w:pPr>
      <w:r w:rsidRPr="00C60AD1">
        <w:br w:type="page"/>
      </w:r>
    </w:p>
    <w:p w:rsidR="00D5771F" w:rsidRDefault="00C34658">
      <w:pPr>
        <w:pStyle w:val="Heading1"/>
      </w:pPr>
      <w:bookmarkStart w:id="1876" w:name="_Toc357714432"/>
      <w:bookmarkStart w:id="1877" w:name="_Toc397332181"/>
      <w:bookmarkStart w:id="1878" w:name="_Toc397607936"/>
      <w:bookmarkStart w:id="1879" w:name="_Toc399623769"/>
      <w:bookmarkStart w:id="1880" w:name="_Toc453367645"/>
      <w:bookmarkStart w:id="1881" w:name="_Toc457603984"/>
      <w:r w:rsidRPr="00C60AD1">
        <w:lastRenderedPageBreak/>
        <w:t>ANNEXURE</w:t>
      </w:r>
      <w:bookmarkEnd w:id="1876"/>
      <w:r w:rsidRPr="00C60AD1">
        <w:t>S</w:t>
      </w:r>
      <w:bookmarkEnd w:id="1877"/>
      <w:bookmarkEnd w:id="1878"/>
      <w:bookmarkEnd w:id="1879"/>
      <w:bookmarkEnd w:id="1880"/>
      <w:bookmarkEnd w:id="1881"/>
    </w:p>
    <w:p w:rsidR="00733B2E" w:rsidRPr="00C60AD1" w:rsidRDefault="00733B2E" w:rsidP="00733B2E">
      <w:pPr>
        <w:pStyle w:val="Heading2"/>
        <w:numPr>
          <w:ilvl w:val="1"/>
          <w:numId w:val="29"/>
        </w:numPr>
      </w:pPr>
      <w:bookmarkStart w:id="1882" w:name="_Toc457603985"/>
      <w:bookmarkStart w:id="1883" w:name="_Toc357714433"/>
      <w:bookmarkStart w:id="1884" w:name="_Ref397183173"/>
      <w:bookmarkStart w:id="1885" w:name="_Ref397183223"/>
      <w:bookmarkStart w:id="1886" w:name="_Toc397332182"/>
      <w:bookmarkStart w:id="1887" w:name="_Toc397607937"/>
      <w:bookmarkStart w:id="1888" w:name="_Toc399623770"/>
      <w:bookmarkStart w:id="1889" w:name="_Ref422012643"/>
      <w:bookmarkStart w:id="1890" w:name="_Toc453367646"/>
      <w:r w:rsidRPr="00C60AD1">
        <w:t xml:space="preserve">COMMISSION FORECAST OF CONSUMPTION PARAMETERS FOR FY </w:t>
      </w:r>
      <w:r>
        <w:t>2016-17</w:t>
      </w:r>
      <w:bookmarkEnd w:id="1882"/>
    </w:p>
    <w:p w:rsidR="00733B2E" w:rsidRPr="00C60AD1" w:rsidRDefault="00733B2E" w:rsidP="00733B2E">
      <w:pPr>
        <w:pStyle w:val="Caption"/>
      </w:pPr>
    </w:p>
    <w:p w:rsidR="00733B2E" w:rsidRPr="0039560A" w:rsidRDefault="006C63AF" w:rsidP="00733B2E">
      <w:pPr>
        <w:pStyle w:val="Heading3"/>
        <w:numPr>
          <w:ilvl w:val="0"/>
          <w:numId w:val="0"/>
        </w:numPr>
        <w:tabs>
          <w:tab w:val="clear" w:pos="720"/>
        </w:tabs>
        <w:rPr>
          <w:b/>
          <w:sz w:val="22"/>
        </w:rPr>
      </w:pPr>
      <w:bookmarkStart w:id="1891" w:name="_Toc457604098"/>
      <w:r w:rsidRPr="006C63AF">
        <w:rPr>
          <w:rFonts w:asciiTheme="minorHAnsi" w:hAnsiTheme="minorHAnsi" w:cstheme="minorHAnsi"/>
          <w:b/>
          <w:sz w:val="22"/>
          <w:szCs w:val="24"/>
        </w:rPr>
        <w:t>Table 11</w:t>
      </w:r>
      <w:r w:rsidRPr="006C63AF">
        <w:rPr>
          <w:rFonts w:asciiTheme="minorHAnsi" w:hAnsiTheme="minorHAnsi" w:cstheme="minorHAnsi"/>
          <w:b/>
          <w:sz w:val="22"/>
          <w:szCs w:val="24"/>
        </w:rPr>
        <w:noBreakHyphen/>
      </w:r>
      <w:r w:rsidR="009741CA" w:rsidRPr="006C63AF">
        <w:rPr>
          <w:rFonts w:asciiTheme="minorHAnsi" w:hAnsiTheme="minorHAnsi" w:cstheme="minorHAnsi"/>
          <w:b/>
          <w:sz w:val="22"/>
          <w:szCs w:val="24"/>
        </w:rPr>
        <w:fldChar w:fldCharType="begin"/>
      </w:r>
      <w:r w:rsidRPr="006C63AF">
        <w:rPr>
          <w:rFonts w:asciiTheme="minorHAnsi" w:hAnsiTheme="minorHAnsi" w:cstheme="minorHAnsi"/>
          <w:b/>
          <w:sz w:val="22"/>
          <w:szCs w:val="24"/>
        </w:rPr>
        <w:instrText xml:space="preserve"> SEQ Table \* ARABIC \s 1 </w:instrText>
      </w:r>
      <w:r w:rsidR="009741CA" w:rsidRPr="006C63AF">
        <w:rPr>
          <w:rFonts w:asciiTheme="minorHAnsi" w:hAnsiTheme="minorHAnsi" w:cstheme="minorHAnsi"/>
          <w:b/>
          <w:sz w:val="22"/>
          <w:szCs w:val="24"/>
        </w:rPr>
        <w:fldChar w:fldCharType="separate"/>
      </w:r>
      <w:r w:rsidR="00BA08F0">
        <w:rPr>
          <w:rFonts w:asciiTheme="minorHAnsi" w:hAnsiTheme="minorHAnsi" w:cstheme="minorHAnsi"/>
          <w:b/>
          <w:noProof/>
          <w:sz w:val="22"/>
          <w:szCs w:val="24"/>
        </w:rPr>
        <w:t>1</w:t>
      </w:r>
      <w:r w:rsidR="009741CA" w:rsidRPr="006C63AF">
        <w:rPr>
          <w:rFonts w:asciiTheme="minorHAnsi" w:hAnsiTheme="minorHAnsi" w:cstheme="minorHAnsi"/>
          <w:b/>
          <w:sz w:val="22"/>
          <w:szCs w:val="24"/>
        </w:rPr>
        <w:fldChar w:fldCharType="end"/>
      </w:r>
      <w:r w:rsidRPr="006C63AF">
        <w:rPr>
          <w:rFonts w:asciiTheme="minorHAnsi" w:hAnsiTheme="minorHAnsi" w:cstheme="minorHAnsi"/>
          <w:b/>
          <w:sz w:val="22"/>
          <w:szCs w:val="24"/>
        </w:rPr>
        <w:t>:</w:t>
      </w:r>
      <w:r w:rsidRPr="006C63AF">
        <w:rPr>
          <w:rFonts w:asciiTheme="minorHAnsi" w:hAnsiTheme="minorHAnsi" w:cstheme="minorHAnsi"/>
          <w:sz w:val="22"/>
          <w:szCs w:val="24"/>
        </w:rPr>
        <w:t xml:space="preserve"> </w:t>
      </w:r>
      <w:r w:rsidRPr="006C63AF">
        <w:rPr>
          <w:rFonts w:asciiTheme="minorHAnsi" w:hAnsiTheme="minorHAnsi" w:cstheme="minorHAnsi"/>
          <w:b/>
          <w:bCs w:val="0"/>
          <w:sz w:val="22"/>
          <w:szCs w:val="24"/>
        </w:rPr>
        <w:t>C</w:t>
      </w:r>
      <w:r w:rsidRPr="006C63AF">
        <w:rPr>
          <w:b/>
          <w:sz w:val="22"/>
        </w:rPr>
        <w:t>OMMISSION’S APPROVAL OF NUMBER OF CONSUMERS FOR FY 2016-17</w:t>
      </w:r>
      <w:bookmarkEnd w:id="1891"/>
    </w:p>
    <w:tbl>
      <w:tblPr>
        <w:tblW w:w="9471" w:type="dxa"/>
        <w:tblInd w:w="-432" w:type="dxa"/>
        <w:tblLayout w:type="fixed"/>
        <w:tblLook w:val="04A0"/>
      </w:tblPr>
      <w:tblGrid>
        <w:gridCol w:w="3234"/>
        <w:gridCol w:w="1275"/>
        <w:gridCol w:w="1276"/>
        <w:gridCol w:w="1276"/>
        <w:gridCol w:w="1151"/>
        <w:gridCol w:w="1259"/>
      </w:tblGrid>
      <w:tr w:rsidR="00733B2E" w:rsidRPr="00A4229E" w:rsidTr="00DD22AB">
        <w:trPr>
          <w:trHeight w:val="674"/>
          <w:tblHeader/>
        </w:trPr>
        <w:tc>
          <w:tcPr>
            <w:tcW w:w="3234" w:type="dxa"/>
            <w:tcBorders>
              <w:top w:val="dotted" w:sz="4" w:space="0" w:color="auto"/>
              <w:left w:val="dotted" w:sz="4" w:space="0" w:color="auto"/>
              <w:bottom w:val="dotted" w:sz="4" w:space="0" w:color="auto"/>
              <w:right w:val="dotted" w:sz="4" w:space="0" w:color="auto"/>
            </w:tcBorders>
            <w:shd w:val="clear" w:color="000000" w:fill="DCE6F1"/>
            <w:noWrap/>
            <w:hideMark/>
          </w:tcPr>
          <w:p w:rsidR="00337C98" w:rsidRDefault="00733B2E" w:rsidP="00337C98">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Consumer categories</w:t>
            </w:r>
          </w:p>
        </w:tc>
        <w:tc>
          <w:tcPr>
            <w:tcW w:w="1275" w:type="dxa"/>
            <w:tcBorders>
              <w:top w:val="dotted" w:sz="4" w:space="0" w:color="auto"/>
              <w:left w:val="nil"/>
              <w:bottom w:val="dotted" w:sz="4" w:space="0" w:color="auto"/>
              <w:right w:val="dotted" w:sz="4" w:space="0" w:color="auto"/>
            </w:tcBorders>
            <w:shd w:val="clear" w:color="000000" w:fill="DCE6F1"/>
            <w:hideMark/>
          </w:tcPr>
          <w:p w:rsidR="00337C98" w:rsidRDefault="00733B2E" w:rsidP="00337C98">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FY 12-13</w:t>
            </w:r>
          </w:p>
        </w:tc>
        <w:tc>
          <w:tcPr>
            <w:tcW w:w="1276" w:type="dxa"/>
            <w:tcBorders>
              <w:top w:val="dotted" w:sz="4" w:space="0" w:color="auto"/>
              <w:left w:val="nil"/>
              <w:bottom w:val="dotted" w:sz="4" w:space="0" w:color="auto"/>
              <w:right w:val="dotted" w:sz="4" w:space="0" w:color="auto"/>
            </w:tcBorders>
            <w:shd w:val="clear" w:color="000000" w:fill="DCE6F1"/>
            <w:hideMark/>
          </w:tcPr>
          <w:p w:rsidR="00337C98" w:rsidRDefault="00733B2E" w:rsidP="00337C98">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FY 13-14</w:t>
            </w:r>
          </w:p>
        </w:tc>
        <w:tc>
          <w:tcPr>
            <w:tcW w:w="1276" w:type="dxa"/>
            <w:tcBorders>
              <w:top w:val="dotted" w:sz="4" w:space="0" w:color="auto"/>
              <w:left w:val="nil"/>
              <w:bottom w:val="dotted" w:sz="4" w:space="0" w:color="auto"/>
              <w:right w:val="dotted" w:sz="4" w:space="0" w:color="auto"/>
            </w:tcBorders>
            <w:shd w:val="clear" w:color="000000" w:fill="DCE6F1"/>
            <w:hideMark/>
          </w:tcPr>
          <w:p w:rsidR="00337C98" w:rsidRDefault="00733B2E" w:rsidP="00337C98">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FY 14-15</w:t>
            </w:r>
          </w:p>
        </w:tc>
        <w:tc>
          <w:tcPr>
            <w:tcW w:w="1151" w:type="dxa"/>
            <w:tcBorders>
              <w:top w:val="dotted" w:sz="4" w:space="0" w:color="auto"/>
              <w:left w:val="nil"/>
              <w:bottom w:val="dotted" w:sz="4" w:space="0" w:color="auto"/>
              <w:right w:val="dotted" w:sz="4" w:space="0" w:color="auto"/>
            </w:tcBorders>
            <w:shd w:val="clear" w:color="000000" w:fill="DCE6F1"/>
            <w:hideMark/>
          </w:tcPr>
          <w:p w:rsidR="00337C98" w:rsidRDefault="00733B2E" w:rsidP="00337C98">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Recomputed for FY 15-16</w:t>
            </w:r>
          </w:p>
        </w:tc>
        <w:tc>
          <w:tcPr>
            <w:tcW w:w="1259" w:type="dxa"/>
            <w:tcBorders>
              <w:top w:val="dotted" w:sz="4" w:space="0" w:color="auto"/>
              <w:left w:val="nil"/>
              <w:bottom w:val="dotted" w:sz="4" w:space="0" w:color="auto"/>
              <w:right w:val="dotted" w:sz="4" w:space="0" w:color="auto"/>
            </w:tcBorders>
            <w:shd w:val="clear" w:color="000000" w:fill="DCE6F1"/>
            <w:hideMark/>
          </w:tcPr>
          <w:p w:rsidR="00337C98" w:rsidRDefault="00733B2E" w:rsidP="00337C98">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Approved for FY 2016-17</w:t>
            </w:r>
          </w:p>
        </w:tc>
      </w:tr>
      <w:tr w:rsidR="00733B2E" w:rsidRPr="00A4229E" w:rsidTr="00FC4ADE">
        <w:trPr>
          <w:trHeight w:val="323"/>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733B2E" w:rsidP="00337C98">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LMV-1: Domestic</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hideMark/>
          </w:tcPr>
          <w:p w:rsidR="00337C98" w:rsidRDefault="00337C98" w:rsidP="00337C98">
            <w:pPr>
              <w:spacing w:before="0" w:line="240" w:lineRule="auto"/>
              <w:jc w:val="right"/>
              <w:rPr>
                <w:rFonts w:asciiTheme="minorHAnsi" w:hAnsiTheme="minorHAnsi" w:cs="Arial"/>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35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(unmetered)</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607,587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616,110</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696,630</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682,697</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669,043</w:t>
            </w:r>
          </w:p>
        </w:tc>
      </w:tr>
      <w:tr w:rsidR="00733B2E" w:rsidRPr="00A4229E" w:rsidTr="00FC4ADE">
        <w:trPr>
          <w:trHeight w:val="26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(metered)</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526,040</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613,118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842,038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1,330,420</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1,835,980</w:t>
            </w:r>
          </w:p>
        </w:tc>
      </w:tr>
      <w:tr w:rsidR="00733B2E" w:rsidRPr="00A4229E" w:rsidTr="00FC4ADE">
        <w:trPr>
          <w:trHeight w:val="242"/>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Bulk Load</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92</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109</w:t>
            </w:r>
          </w:p>
        </w:tc>
      </w:tr>
      <w:tr w:rsidR="00733B2E" w:rsidRPr="00A4229E" w:rsidTr="00FC4ADE">
        <w:trPr>
          <w:trHeight w:val="305"/>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Other Metered</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911,891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934,593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1,112,304</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1,223,534</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1,345,888</w:t>
            </w:r>
          </w:p>
        </w:tc>
      </w:tr>
      <w:tr w:rsidR="00733B2E" w:rsidRPr="00A4229E" w:rsidTr="00FC4ADE">
        <w:trPr>
          <w:trHeight w:val="26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Life Line Consumers/BPL</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150,876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158,509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220,998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243,098</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267,408</w:t>
            </w:r>
          </w:p>
        </w:tc>
      </w:tr>
      <w:tr w:rsidR="00733B2E" w:rsidRPr="00A4229E" w:rsidTr="00FC4ADE">
        <w:trPr>
          <w:trHeight w:val="26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(LMV-1)</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2,196,490</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2,322,427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2,872,048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3,479,842</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4,118,427</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LMV-2:Non-Domestic</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287"/>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(unmetered)</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3,953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3,326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3,855</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4,048</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4,048</w:t>
            </w:r>
          </w:p>
        </w:tc>
      </w:tr>
      <w:tr w:rsidR="00733B2E" w:rsidRPr="00A4229E" w:rsidTr="00FC4ADE">
        <w:trPr>
          <w:trHeight w:val="323"/>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(metered)</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78,576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76,418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81,006</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82,626</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84,481</w:t>
            </w:r>
          </w:p>
        </w:tc>
      </w:tr>
      <w:tr w:rsidR="00733B2E" w:rsidRPr="00A4229E" w:rsidTr="00FC4ADE">
        <w:trPr>
          <w:trHeight w:val="242"/>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Advertising</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7,186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7,381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9,801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10,291</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10,806</w:t>
            </w:r>
          </w:p>
        </w:tc>
      </w:tr>
      <w:tr w:rsidR="00733B2E" w:rsidRPr="00A4229E" w:rsidTr="00FC4ADE">
        <w:trPr>
          <w:trHeight w:val="278"/>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Other Metered</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149,875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156,598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170,594</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179,124</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188,080</w:t>
            </w:r>
          </w:p>
        </w:tc>
      </w:tr>
      <w:tr w:rsidR="00733B2E" w:rsidRPr="00A4229E" w:rsidTr="00FC4ADE">
        <w:trPr>
          <w:trHeight w:val="287"/>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(LMV-2)</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239,590</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243,723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265,256</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276,089</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287,414</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LMV-3: Public Lamps</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26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Unmetered - Gram Panchayat</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354</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375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200</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240</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240</w:t>
            </w:r>
          </w:p>
        </w:tc>
      </w:tr>
      <w:tr w:rsidR="00733B2E" w:rsidRPr="00A4229E" w:rsidTr="00FC4ADE">
        <w:trPr>
          <w:trHeight w:val="35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Unmetered - Nagar Palika&amp;Panchayat</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925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911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923</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932</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932</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Unmetered - Nagar Nigam</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47</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47</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Metered - Gram Panchayat</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185</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187</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237</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Metered - Nagar Palika&amp;Panchayat</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54</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110</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116</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131</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Metered - Nagar Nigam</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17</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(LMV-3)</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1,457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1,463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1,468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1,531</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1,604</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LMV-4: Institutions</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Public</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17,129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17,959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19,523</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20,499</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21,524</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Private</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4,873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4,821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6,670</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6,803</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6,939</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(LMV-4)</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22,002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22,780</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26,193</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27,303</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28,464</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LMV-5: Private Tube Wells</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(unmetered)</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122,107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126,241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132,076</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136,738</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136,738</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lastRenderedPageBreak/>
              <w:t>Rural (metered)</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8,147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5,251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6,831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7,173</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12,358</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(metered)</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57,319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63,076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66,421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70,406</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74,631</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(LMV-5)</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187,573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194,568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205,328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214,317</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223,727</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 6: Small and Medium Power</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Power Loom: Rural</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5,649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5,482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5,671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5,955</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6,252</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Power Loom: Urban</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6,208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3,839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3,402</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3,606</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3,822</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Others: Rural</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4,934</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6,097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9,503</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10,073</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10,678</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Others: Urban</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31,641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33,056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30,671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31,898</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33,174</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(LMV-6)</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48,432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48,474</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49,247</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51,532</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53,926</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LMV-7: Public Water Works</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Jal Nigam</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803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833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2,378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2,854</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3,424</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JalSansthan</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377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821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781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875</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980</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Other PWWs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106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177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1,392</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1,559</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1,746</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Jal Nigam</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523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1,205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434</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477</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525</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JalSansthan</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740</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793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952</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1,028</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1,110</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Other PWWs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310</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273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381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396</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412</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(LMV-7)</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2,859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4,102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6,318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7,189</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8,198</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LMV-8: State Tube Wells</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Metered STW</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1,801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1,559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2,324</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2,440</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2,663</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Unmetered STW</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4,507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4,926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4,920</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5,018</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5,018</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Unmetered Laghu Dal Nahar</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68</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68</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(LMV-8)</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6,312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6,489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7,312</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7,527</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7,749</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LMV-9: Temporary Supply</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Metered: Individual residential</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1,398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1,108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2,058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2,161</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2,269</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Metered: Others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265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265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Unmetered: Ceremonies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300</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315</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331</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Unmetered: Temp shops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(LMV-9)</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1,689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1,396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2,358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2,476</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2,600</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LMV-10: Departmental Employees</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Class IV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3,865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3,951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3,478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3,601</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3,729</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Class III</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3,928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3,898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4,764</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4,955</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5,153</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lastRenderedPageBreak/>
              <w:t>Junior Engineers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459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457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456</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488</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522</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Assistant Engineers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386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382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398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410</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422</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Executive Engineers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142</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151</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160</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Deputy General Manager</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50</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53</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CGM/GM</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24</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24</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22</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22</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23</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Pensioners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7,660</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7,742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7,865</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8,022</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8,183</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(LMV-10)</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16,502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16,635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17,173</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17,699</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18,244</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HV-1: Non-Industrial Bulk Loads</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11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329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437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483</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517</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553</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Above 11 kV &amp; up to 66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19</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19</w:t>
            </w:r>
          </w:p>
        </w:tc>
      </w:tr>
      <w:tr w:rsidR="00733B2E" w:rsidRPr="00A4229E" w:rsidTr="00FC4ADE">
        <w:trPr>
          <w:trHeight w:val="26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Above 66 kV &amp; up to 132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269"/>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Above 132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314"/>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At 11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44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Above 11 kV &amp; up to 66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341"/>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(HV-1)</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344</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456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501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535</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572</w:t>
            </w:r>
          </w:p>
        </w:tc>
      </w:tr>
      <w:tr w:rsidR="00733B2E" w:rsidRPr="00A4229E" w:rsidTr="00FC4ADE">
        <w:trPr>
          <w:trHeight w:val="35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242"/>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HV-2: Large and Heavy Power</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233"/>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11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1,631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1,646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1,885</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2,111</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2,365</w:t>
            </w:r>
          </w:p>
        </w:tc>
      </w:tr>
      <w:tr w:rsidR="00733B2E" w:rsidRPr="00A4229E" w:rsidTr="00FC4ADE">
        <w:trPr>
          <w:trHeight w:val="179"/>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Above 11 kV &amp; up to 66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95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253</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263</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274</w:t>
            </w:r>
          </w:p>
        </w:tc>
      </w:tr>
      <w:tr w:rsidR="00733B2E" w:rsidRPr="00A4229E" w:rsidTr="00FC4ADE">
        <w:trPr>
          <w:trHeight w:val="422"/>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Above 66 kV &amp; up to 132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139</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141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r>
      <w:tr w:rsidR="00733B2E" w:rsidRPr="00A4229E" w:rsidTr="00FC4ADE">
        <w:trPr>
          <w:trHeight w:val="233"/>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Urban: Above 132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w:t>
            </w:r>
          </w:p>
        </w:tc>
      </w:tr>
      <w:tr w:rsidR="00733B2E" w:rsidRPr="00A4229E" w:rsidTr="00FC4ADE">
        <w:trPr>
          <w:trHeight w:val="179"/>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At 11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322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324</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235</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259</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284</w:t>
            </w:r>
          </w:p>
        </w:tc>
      </w:tr>
      <w:tr w:rsidR="00733B2E" w:rsidRPr="00A4229E" w:rsidTr="00FC4ADE">
        <w:trPr>
          <w:trHeight w:val="314"/>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Rural: Above 11 kV &amp; up to 66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r>
      <w:tr w:rsidR="00733B2E" w:rsidRPr="00A4229E" w:rsidTr="00FC4ADE">
        <w:trPr>
          <w:trHeight w:val="233"/>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(HV-2)</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2,193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2,207</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2,380</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2,640</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2,930</w:t>
            </w:r>
          </w:p>
        </w:tc>
      </w:tr>
      <w:tr w:rsidR="00733B2E" w:rsidRPr="00A4229E" w:rsidTr="00FC4ADE">
        <w:trPr>
          <w:trHeight w:val="359"/>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179"/>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HV-3: Railway Traction</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26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At 132 kV and above</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6</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7</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8</w:t>
            </w:r>
          </w:p>
        </w:tc>
      </w:tr>
      <w:tr w:rsidR="00733B2E" w:rsidRPr="00A4229E" w:rsidTr="00FC4ADE">
        <w:trPr>
          <w:trHeight w:val="296"/>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Below 132 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2</w:t>
            </w:r>
          </w:p>
        </w:tc>
      </w:tr>
      <w:tr w:rsidR="00733B2E" w:rsidRPr="00A4229E" w:rsidTr="00FC4ADE">
        <w:trPr>
          <w:trHeight w:val="323"/>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Metro traction</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323"/>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(HV-3)</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5</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9</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10</w:t>
            </w:r>
          </w:p>
        </w:tc>
      </w:tr>
      <w:tr w:rsidR="00733B2E" w:rsidRPr="00A4229E" w:rsidTr="00FC4ADE">
        <w:trPr>
          <w:trHeight w:val="377"/>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26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HV-4: Lift Irrigation</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152"/>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At 11kV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36</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36</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38</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40</w:t>
            </w:r>
          </w:p>
        </w:tc>
      </w:tr>
      <w:tr w:rsidR="00733B2E" w:rsidRPr="00A4229E" w:rsidTr="00FC4ADE">
        <w:trPr>
          <w:trHeight w:val="197"/>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lastRenderedPageBreak/>
              <w:t>Above 11kV &amp; up to 66kV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Above 66 kV &amp; up to 132kV</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1</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(HV-4)</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38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38</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38</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40</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42</w:t>
            </w:r>
          </w:p>
        </w:tc>
      </w:tr>
      <w:tr w:rsidR="00733B2E" w:rsidRPr="00A4229E" w:rsidTr="00FC4ADE">
        <w:trPr>
          <w:trHeight w:val="368"/>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stheme="minorHAnsi"/>
                <w:b/>
                <w:bCs/>
                <w:color w:val="000000"/>
                <w:sz w:val="22"/>
                <w:szCs w:val="22"/>
                <w:lang w:val="en-US"/>
              </w:rPr>
            </w:pP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Bulk &amp; Extra State</w:t>
            </w:r>
          </w:p>
        </w:tc>
        <w:tc>
          <w:tcPr>
            <w:tcW w:w="1275"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76"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151"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c>
          <w:tcPr>
            <w:tcW w:w="1259" w:type="dxa"/>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asciiTheme="minorHAnsi" w:hAnsiTheme="minorHAnsi"/>
                <w:color w:val="000000"/>
                <w:sz w:val="22"/>
                <w:szCs w:val="22"/>
                <w:lang w:val="en-US"/>
              </w:rPr>
            </w:pPr>
          </w:p>
        </w:tc>
      </w:tr>
      <w:tr w:rsidR="00733B2E" w:rsidRPr="00A4229E" w:rsidTr="00FC4ADE">
        <w:trPr>
          <w:trHeight w:val="296"/>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Extra state &amp; others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341"/>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Bulk supply – NPCL</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260"/>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Bulk supply – KESCO</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305"/>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color w:val="000000"/>
                <w:sz w:val="22"/>
                <w:szCs w:val="22"/>
                <w:lang w:val="en-IN" w:eastAsia="en-IN"/>
              </w:rPr>
            </w:pPr>
            <w:r w:rsidRPr="00FA7B1E">
              <w:rPr>
                <w:rFonts w:asciiTheme="minorHAnsi" w:hAnsiTheme="minorHAnsi" w:cs="Arial"/>
                <w:color w:val="000000"/>
                <w:sz w:val="22"/>
                <w:szCs w:val="22"/>
                <w:lang w:val="en-IN" w:eastAsia="en-IN"/>
              </w:rPr>
              <w:t>Bulk supply – Others</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color w:val="000000"/>
                <w:sz w:val="22"/>
                <w:szCs w:val="22"/>
                <w:lang w:val="en-US"/>
              </w:rPr>
            </w:pPr>
            <w:r w:rsidRPr="00FA7B1E">
              <w:rPr>
                <w:rFonts w:asciiTheme="minorHAnsi" w:hAnsiTheme="minorHAnsi" w:cs="Arial"/>
                <w:color w:val="000000"/>
                <w:sz w:val="22"/>
                <w:szCs w:val="22"/>
                <w:lang w:val="en-US"/>
              </w:rPr>
              <w:t>-</w:t>
            </w:r>
          </w:p>
        </w:tc>
      </w:tr>
      <w:tr w:rsidR="00733B2E" w:rsidRPr="00A4229E" w:rsidTr="00FC4ADE">
        <w:trPr>
          <w:trHeight w:val="341"/>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(Bulk &amp; Extra State)</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w:t>
            </w:r>
          </w:p>
        </w:tc>
      </w:tr>
      <w:tr w:rsidR="00733B2E" w:rsidRPr="00A4229E" w:rsidTr="00FC4ADE">
        <w:trPr>
          <w:trHeight w:val="300"/>
        </w:trPr>
        <w:tc>
          <w:tcPr>
            <w:tcW w:w="3234" w:type="dxa"/>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asciiTheme="minorHAnsi" w:hAnsiTheme="minorHAnsi" w:cs="Arial"/>
                <w:b/>
                <w:bCs/>
                <w:color w:val="000000"/>
                <w:sz w:val="22"/>
                <w:szCs w:val="22"/>
                <w:lang w:val="en-IN" w:eastAsia="en-IN"/>
              </w:rPr>
            </w:pP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olor w:val="000000"/>
                <w:sz w:val="22"/>
                <w:szCs w:val="22"/>
                <w:lang w:val="en-US"/>
              </w:rPr>
            </w:pPr>
            <w:r w:rsidRPr="00FA7B1E">
              <w:rPr>
                <w:rFonts w:asciiTheme="minorHAnsi" w:hAnsiTheme="minorHAnsi"/>
                <w:color w:val="000000"/>
                <w:sz w:val="22"/>
                <w:szCs w:val="22"/>
                <w:lang w:val="en-US"/>
              </w:rPr>
              <w:t> </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olor w:val="000000"/>
                <w:sz w:val="22"/>
                <w:szCs w:val="22"/>
                <w:lang w:val="en-US"/>
              </w:rPr>
            </w:pPr>
            <w:r w:rsidRPr="00FA7B1E">
              <w:rPr>
                <w:rFonts w:asciiTheme="minorHAnsi" w:hAnsiTheme="minorHAnsi"/>
                <w:color w:val="000000"/>
                <w:sz w:val="22"/>
                <w:szCs w:val="22"/>
                <w:lang w:val="en-US"/>
              </w:rPr>
              <w:t> </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olor w:val="000000"/>
                <w:sz w:val="22"/>
                <w:szCs w:val="22"/>
                <w:lang w:val="en-US"/>
              </w:rPr>
            </w:pPr>
            <w:r w:rsidRPr="00FA7B1E">
              <w:rPr>
                <w:rFonts w:asciiTheme="minorHAnsi" w:hAnsiTheme="minorHAnsi"/>
                <w:color w:val="000000"/>
                <w:sz w:val="22"/>
                <w:szCs w:val="22"/>
                <w:lang w:val="en-US"/>
              </w:rPr>
              <w:t> </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olor w:val="000000"/>
                <w:sz w:val="22"/>
                <w:szCs w:val="22"/>
                <w:lang w:val="en-US"/>
              </w:rPr>
            </w:pPr>
            <w:r w:rsidRPr="00FA7B1E">
              <w:rPr>
                <w:rFonts w:asciiTheme="minorHAnsi" w:hAnsiTheme="minorHAnsi"/>
                <w:color w:val="000000"/>
                <w:sz w:val="22"/>
                <w:szCs w:val="22"/>
                <w:lang w:val="en-US"/>
              </w:rPr>
              <w:t> </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olor w:val="000000"/>
                <w:sz w:val="22"/>
                <w:szCs w:val="22"/>
                <w:lang w:val="en-US"/>
              </w:rPr>
            </w:pPr>
            <w:r w:rsidRPr="00FA7B1E">
              <w:rPr>
                <w:rFonts w:asciiTheme="minorHAnsi" w:hAnsiTheme="minorHAnsi"/>
                <w:color w:val="000000"/>
                <w:sz w:val="22"/>
                <w:szCs w:val="22"/>
                <w:lang w:val="en-US"/>
              </w:rPr>
              <w:t> </w:t>
            </w:r>
          </w:p>
        </w:tc>
      </w:tr>
      <w:tr w:rsidR="00733B2E" w:rsidRPr="00A4229E" w:rsidTr="00FC4ADE">
        <w:trPr>
          <w:trHeight w:val="314"/>
        </w:trPr>
        <w:tc>
          <w:tcPr>
            <w:tcW w:w="3234" w:type="dxa"/>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GRAND TOTAL</w:t>
            </w:r>
          </w:p>
        </w:tc>
        <w:tc>
          <w:tcPr>
            <w:tcW w:w="1275"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lef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 xml:space="preserve">2,725,486 </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 xml:space="preserve">  2,864,766 </w:t>
            </w:r>
          </w:p>
        </w:tc>
        <w:tc>
          <w:tcPr>
            <w:tcW w:w="1276"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 xml:space="preserve">  3,455,628 </w:t>
            </w:r>
          </w:p>
        </w:tc>
        <w:tc>
          <w:tcPr>
            <w:tcW w:w="1151"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 xml:space="preserve">4,088,728 </w:t>
            </w:r>
          </w:p>
        </w:tc>
        <w:tc>
          <w:tcPr>
            <w:tcW w:w="1259" w:type="dxa"/>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ind w:left="-720" w:right="29" w:firstLine="720"/>
              <w:jc w:val="right"/>
              <w:rPr>
                <w:rFonts w:asciiTheme="minorHAnsi" w:hAnsiTheme="minorHAnsi" w:cs="Arial"/>
                <w:b/>
                <w:bCs/>
                <w:color w:val="000000"/>
                <w:sz w:val="22"/>
                <w:szCs w:val="22"/>
                <w:lang w:val="en-US"/>
              </w:rPr>
            </w:pPr>
            <w:r w:rsidRPr="00FA7B1E">
              <w:rPr>
                <w:rFonts w:asciiTheme="minorHAnsi" w:hAnsiTheme="minorHAnsi" w:cs="Arial"/>
                <w:b/>
                <w:bCs/>
                <w:color w:val="000000"/>
                <w:sz w:val="22"/>
                <w:szCs w:val="22"/>
                <w:lang w:val="en-US"/>
              </w:rPr>
              <w:t xml:space="preserve"> 4,753,907 </w:t>
            </w:r>
          </w:p>
        </w:tc>
      </w:tr>
    </w:tbl>
    <w:p w:rsidR="00733B2E" w:rsidRDefault="00733B2E" w:rsidP="00733B2E">
      <w:pPr>
        <w:pStyle w:val="Heading3"/>
        <w:numPr>
          <w:ilvl w:val="0"/>
          <w:numId w:val="0"/>
        </w:numPr>
        <w:tabs>
          <w:tab w:val="clear" w:pos="720"/>
        </w:tabs>
        <w:spacing w:before="0"/>
        <w:rPr>
          <w:b/>
        </w:rPr>
      </w:pPr>
    </w:p>
    <w:p w:rsidR="00733B2E" w:rsidRPr="0039560A" w:rsidRDefault="006C63AF" w:rsidP="00733B2E">
      <w:pPr>
        <w:spacing w:before="0" w:line="240" w:lineRule="auto"/>
        <w:jc w:val="left"/>
        <w:rPr>
          <w:b/>
          <w:sz w:val="22"/>
        </w:rPr>
      </w:pPr>
      <w:bookmarkStart w:id="1892" w:name="_Toc457604099"/>
      <w:r w:rsidRPr="006C63AF">
        <w:rPr>
          <w:rFonts w:asciiTheme="minorHAnsi" w:hAnsiTheme="minorHAnsi" w:cstheme="minorHAnsi"/>
          <w:b/>
          <w:sz w:val="22"/>
        </w:rPr>
        <w:t>Table 11</w:t>
      </w:r>
      <w:r w:rsidRPr="006C63AF">
        <w:rPr>
          <w:rFonts w:asciiTheme="minorHAnsi" w:hAnsiTheme="minorHAnsi" w:cstheme="minorHAnsi"/>
          <w:b/>
          <w:sz w:val="22"/>
        </w:rPr>
        <w:noBreakHyphen/>
      </w:r>
      <w:r w:rsidR="009741CA" w:rsidRPr="006C63AF">
        <w:rPr>
          <w:rFonts w:asciiTheme="minorHAnsi" w:hAnsiTheme="minorHAnsi" w:cstheme="minorHAnsi"/>
          <w:b/>
          <w:sz w:val="22"/>
        </w:rPr>
        <w:fldChar w:fldCharType="begin"/>
      </w:r>
      <w:r w:rsidRPr="006C63AF">
        <w:rPr>
          <w:rFonts w:asciiTheme="minorHAnsi" w:hAnsiTheme="minorHAnsi" w:cstheme="minorHAnsi"/>
          <w:b/>
          <w:sz w:val="22"/>
        </w:rPr>
        <w:instrText xml:space="preserve"> SEQ Table \* ARABIC \s 1 </w:instrText>
      </w:r>
      <w:r w:rsidR="009741CA" w:rsidRPr="006C63AF">
        <w:rPr>
          <w:rFonts w:asciiTheme="minorHAnsi" w:hAnsiTheme="minorHAnsi" w:cstheme="minorHAnsi"/>
          <w:b/>
          <w:sz w:val="22"/>
        </w:rPr>
        <w:fldChar w:fldCharType="separate"/>
      </w:r>
      <w:r w:rsidR="00BA08F0">
        <w:rPr>
          <w:rFonts w:asciiTheme="minorHAnsi" w:hAnsiTheme="minorHAnsi" w:cstheme="minorHAnsi"/>
          <w:b/>
          <w:noProof/>
          <w:sz w:val="22"/>
        </w:rPr>
        <w:t>2</w:t>
      </w:r>
      <w:r w:rsidR="009741CA" w:rsidRPr="006C63AF">
        <w:rPr>
          <w:rFonts w:asciiTheme="minorHAnsi" w:hAnsiTheme="minorHAnsi" w:cstheme="minorHAnsi"/>
          <w:b/>
          <w:sz w:val="22"/>
        </w:rPr>
        <w:fldChar w:fldCharType="end"/>
      </w:r>
      <w:r w:rsidRPr="006C63AF">
        <w:rPr>
          <w:rFonts w:asciiTheme="minorHAnsi" w:hAnsiTheme="minorHAnsi" w:cstheme="minorHAnsi"/>
          <w:b/>
          <w:sz w:val="22"/>
        </w:rPr>
        <w:t>:</w:t>
      </w:r>
      <w:r w:rsidRPr="006C63AF">
        <w:rPr>
          <w:rFonts w:asciiTheme="minorHAnsi" w:hAnsiTheme="minorHAnsi" w:cstheme="minorHAnsi"/>
          <w:sz w:val="22"/>
        </w:rPr>
        <w:t xml:space="preserve"> </w:t>
      </w:r>
      <w:r w:rsidRPr="006C63AF">
        <w:rPr>
          <w:rFonts w:asciiTheme="minorHAnsi" w:hAnsiTheme="minorHAnsi" w:cstheme="minorHAnsi"/>
          <w:b/>
          <w:sz w:val="22"/>
        </w:rPr>
        <w:t>C</w:t>
      </w:r>
      <w:r w:rsidRPr="006C63AF">
        <w:rPr>
          <w:b/>
          <w:sz w:val="22"/>
        </w:rPr>
        <w:t>OMMISSION’S APPROVAL OF CONNECTED LOAD (kW) FOR FY 2016-17</w:t>
      </w:r>
      <w:bookmarkEnd w:id="1892"/>
    </w:p>
    <w:tbl>
      <w:tblPr>
        <w:tblW w:w="5584" w:type="pct"/>
        <w:tblInd w:w="-459" w:type="dxa"/>
        <w:tblLayout w:type="fixed"/>
        <w:tblLook w:val="04A0"/>
      </w:tblPr>
      <w:tblGrid>
        <w:gridCol w:w="3650"/>
        <w:gridCol w:w="1171"/>
        <w:gridCol w:w="1276"/>
        <w:gridCol w:w="1133"/>
        <w:gridCol w:w="1417"/>
        <w:gridCol w:w="1276"/>
      </w:tblGrid>
      <w:tr w:rsidR="00733B2E" w:rsidRPr="00A4229E" w:rsidTr="005828E5">
        <w:trPr>
          <w:trHeight w:val="900"/>
          <w:tblHeader/>
        </w:trPr>
        <w:tc>
          <w:tcPr>
            <w:tcW w:w="1839" w:type="pct"/>
            <w:tcBorders>
              <w:top w:val="dotted" w:sz="4" w:space="0" w:color="auto"/>
              <w:left w:val="dotted" w:sz="4" w:space="0" w:color="auto"/>
              <w:bottom w:val="dotted" w:sz="4" w:space="0" w:color="auto"/>
              <w:right w:val="dotted" w:sz="4" w:space="0" w:color="auto"/>
            </w:tcBorders>
            <w:shd w:val="clear" w:color="000000" w:fill="DCE6F1"/>
            <w:noWrap/>
            <w:hideMark/>
          </w:tcPr>
          <w:p w:rsidR="007B00DC" w:rsidRDefault="00733B2E">
            <w:pPr>
              <w:spacing w:before="0" w:line="240" w:lineRule="auto"/>
              <w:jc w:val="center"/>
              <w:rPr>
                <w:rFonts w:cs="Arial"/>
                <w:b/>
                <w:bCs/>
                <w:color w:val="000000"/>
                <w:sz w:val="22"/>
                <w:szCs w:val="22"/>
                <w:lang w:val="en-IN" w:eastAsia="en-IN"/>
              </w:rPr>
            </w:pPr>
            <w:r w:rsidRPr="00A4229E">
              <w:rPr>
                <w:rFonts w:cs="Arial"/>
                <w:b/>
                <w:bCs/>
                <w:color w:val="000000"/>
                <w:sz w:val="22"/>
                <w:szCs w:val="22"/>
                <w:lang w:val="en-IN" w:eastAsia="en-IN"/>
              </w:rPr>
              <w:t>Consumer categories</w:t>
            </w:r>
          </w:p>
        </w:tc>
        <w:tc>
          <w:tcPr>
            <w:tcW w:w="590" w:type="pct"/>
            <w:tcBorders>
              <w:top w:val="dotted" w:sz="4" w:space="0" w:color="auto"/>
              <w:left w:val="nil"/>
              <w:bottom w:val="dotted" w:sz="4" w:space="0" w:color="auto"/>
              <w:right w:val="dotted" w:sz="4" w:space="0" w:color="auto"/>
            </w:tcBorders>
            <w:shd w:val="clear" w:color="000000" w:fill="DCE6F1"/>
            <w:hideMark/>
          </w:tcPr>
          <w:p w:rsidR="007B00DC" w:rsidRDefault="00733B2E">
            <w:pPr>
              <w:spacing w:before="0" w:line="240" w:lineRule="auto"/>
              <w:jc w:val="center"/>
              <w:rPr>
                <w:rFonts w:cs="Arial"/>
                <w:b/>
                <w:bCs/>
                <w:color w:val="000000"/>
                <w:sz w:val="22"/>
                <w:szCs w:val="22"/>
                <w:lang w:val="en-IN" w:eastAsia="en-IN"/>
              </w:rPr>
            </w:pPr>
            <w:r w:rsidRPr="00A4229E">
              <w:rPr>
                <w:rFonts w:cs="Arial"/>
                <w:b/>
                <w:bCs/>
                <w:color w:val="000000"/>
                <w:sz w:val="22"/>
                <w:szCs w:val="22"/>
                <w:lang w:val="en-IN" w:eastAsia="en-IN"/>
              </w:rPr>
              <w:t>FY 12-13</w:t>
            </w:r>
          </w:p>
        </w:tc>
        <w:tc>
          <w:tcPr>
            <w:tcW w:w="643" w:type="pct"/>
            <w:tcBorders>
              <w:top w:val="dotted" w:sz="4" w:space="0" w:color="auto"/>
              <w:left w:val="nil"/>
              <w:bottom w:val="dotted" w:sz="4" w:space="0" w:color="auto"/>
              <w:right w:val="dotted" w:sz="4" w:space="0" w:color="auto"/>
            </w:tcBorders>
            <w:shd w:val="clear" w:color="000000" w:fill="DCE6F1"/>
            <w:hideMark/>
          </w:tcPr>
          <w:p w:rsidR="007B00DC" w:rsidRDefault="00733B2E">
            <w:pPr>
              <w:spacing w:before="0" w:line="240" w:lineRule="auto"/>
              <w:jc w:val="center"/>
              <w:rPr>
                <w:rFonts w:cs="Arial"/>
                <w:b/>
                <w:bCs/>
                <w:color w:val="000000"/>
                <w:sz w:val="22"/>
                <w:szCs w:val="22"/>
                <w:lang w:val="en-IN" w:eastAsia="en-IN"/>
              </w:rPr>
            </w:pPr>
            <w:r w:rsidRPr="00A4229E">
              <w:rPr>
                <w:rFonts w:cs="Arial"/>
                <w:b/>
                <w:bCs/>
                <w:color w:val="000000"/>
                <w:sz w:val="22"/>
                <w:szCs w:val="22"/>
                <w:lang w:val="en-IN" w:eastAsia="en-IN"/>
              </w:rPr>
              <w:t>FY 13-14</w:t>
            </w:r>
          </w:p>
        </w:tc>
        <w:tc>
          <w:tcPr>
            <w:tcW w:w="571" w:type="pct"/>
            <w:tcBorders>
              <w:top w:val="dotted" w:sz="4" w:space="0" w:color="auto"/>
              <w:left w:val="nil"/>
              <w:bottom w:val="dotted" w:sz="4" w:space="0" w:color="auto"/>
              <w:right w:val="dotted" w:sz="4" w:space="0" w:color="auto"/>
            </w:tcBorders>
            <w:shd w:val="clear" w:color="000000" w:fill="DCE6F1"/>
            <w:hideMark/>
          </w:tcPr>
          <w:p w:rsidR="007B00DC" w:rsidRDefault="00733B2E">
            <w:pPr>
              <w:spacing w:before="0" w:line="240" w:lineRule="auto"/>
              <w:jc w:val="center"/>
              <w:rPr>
                <w:rFonts w:cs="Arial"/>
                <w:b/>
                <w:bCs/>
                <w:color w:val="000000"/>
                <w:sz w:val="22"/>
                <w:szCs w:val="22"/>
                <w:lang w:val="en-IN" w:eastAsia="en-IN"/>
              </w:rPr>
            </w:pPr>
            <w:r w:rsidRPr="00A4229E">
              <w:rPr>
                <w:rFonts w:cs="Arial"/>
                <w:b/>
                <w:bCs/>
                <w:color w:val="000000"/>
                <w:sz w:val="22"/>
                <w:szCs w:val="22"/>
                <w:lang w:val="en-IN" w:eastAsia="en-IN"/>
              </w:rPr>
              <w:t>FY 14-15</w:t>
            </w:r>
          </w:p>
        </w:tc>
        <w:tc>
          <w:tcPr>
            <w:tcW w:w="714" w:type="pct"/>
            <w:tcBorders>
              <w:top w:val="dotted" w:sz="4" w:space="0" w:color="auto"/>
              <w:left w:val="nil"/>
              <w:bottom w:val="dotted" w:sz="4" w:space="0" w:color="auto"/>
              <w:right w:val="dotted" w:sz="4" w:space="0" w:color="auto"/>
            </w:tcBorders>
            <w:shd w:val="clear" w:color="000000" w:fill="DCE6F1"/>
            <w:hideMark/>
          </w:tcPr>
          <w:p w:rsidR="007B00DC" w:rsidRDefault="00733B2E">
            <w:pPr>
              <w:spacing w:before="0" w:line="240" w:lineRule="auto"/>
              <w:jc w:val="center"/>
              <w:rPr>
                <w:rFonts w:cs="Arial"/>
                <w:b/>
                <w:bCs/>
                <w:color w:val="000000"/>
                <w:sz w:val="22"/>
                <w:szCs w:val="22"/>
                <w:lang w:val="en-IN" w:eastAsia="en-IN"/>
              </w:rPr>
            </w:pPr>
            <w:r w:rsidRPr="00A4229E">
              <w:rPr>
                <w:rFonts w:cs="Arial"/>
                <w:b/>
                <w:bCs/>
                <w:color w:val="000000"/>
                <w:sz w:val="22"/>
                <w:szCs w:val="22"/>
                <w:lang w:val="en-IN" w:eastAsia="en-IN"/>
              </w:rPr>
              <w:t>Recomputed for FY 15-16</w:t>
            </w:r>
          </w:p>
        </w:tc>
        <w:tc>
          <w:tcPr>
            <w:tcW w:w="643" w:type="pct"/>
            <w:tcBorders>
              <w:top w:val="dotted" w:sz="4" w:space="0" w:color="auto"/>
              <w:left w:val="nil"/>
              <w:bottom w:val="dotted" w:sz="4" w:space="0" w:color="auto"/>
              <w:right w:val="dotted" w:sz="4" w:space="0" w:color="auto"/>
            </w:tcBorders>
            <w:shd w:val="clear" w:color="000000" w:fill="DCE6F1"/>
            <w:hideMark/>
          </w:tcPr>
          <w:p w:rsidR="007B00DC" w:rsidRDefault="00733B2E">
            <w:pPr>
              <w:spacing w:before="0" w:line="240" w:lineRule="auto"/>
              <w:jc w:val="center"/>
              <w:rPr>
                <w:rFonts w:cs="Arial"/>
                <w:b/>
                <w:bCs/>
                <w:color w:val="000000"/>
                <w:sz w:val="22"/>
                <w:szCs w:val="22"/>
                <w:lang w:val="en-IN" w:eastAsia="en-IN"/>
              </w:rPr>
            </w:pPr>
            <w:r w:rsidRPr="00A4229E">
              <w:rPr>
                <w:rFonts w:cs="Arial"/>
                <w:b/>
                <w:bCs/>
                <w:color w:val="000000"/>
                <w:sz w:val="22"/>
                <w:szCs w:val="22"/>
                <w:lang w:val="en-IN" w:eastAsia="en-IN"/>
              </w:rPr>
              <w:t>Approved for FY 2016-17</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733B2E" w:rsidP="00337C98">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LMV-1: Domestic</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hideMark/>
          </w:tcPr>
          <w:p w:rsidR="00337C98" w:rsidRDefault="00337C98" w:rsidP="00337C98">
            <w:pPr>
              <w:spacing w:before="0" w:line="240" w:lineRule="auto"/>
              <w:jc w:val="right"/>
              <w:rPr>
                <w:rFonts w:cs="Arial"/>
                <w:color w:val="000000"/>
                <w:sz w:val="22"/>
                <w:szCs w:val="22"/>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(unmetered)</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809,881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991,001</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907,381</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914,496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896,206</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(metered)</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750,491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808,437</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1,116,364</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1,898,084</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2,619,356</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Bulk Load</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46,795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46,108</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54,440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49,707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58,655</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Other Metered</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1,589,049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1,703,100</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1,952,425</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2,147,667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2,362,434</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BPL</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150,952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158,977</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281,277</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309,404</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340,345</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(LMV-1)</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3,347,168</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3,707,623</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4,311,886</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5,319,359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6,276,996</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LMV-2:Non-Domestic</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(unmetered)</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5,678</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5,953</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7,487</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7,861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8,254</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(metered)</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192,631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193,340</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201,444</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205,473</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209,582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Advertising</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21,957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20,105</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29,508</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30,984</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32,533</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Other Metered</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371,365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396,281</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419,019</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447,359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469,727</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(LMV-2)</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591,631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615,679</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657,458</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691,677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720,096</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LMV-3: Public Lamps</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Unmetered - Gram Panchayat</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3,835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3,673</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1,676</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2,011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2,413</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Unmetered - Nagar Palika&amp;Panchayat</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7,790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9,069</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8,712</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8,799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8,887</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Unmetered - Nagar Nigam</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9,929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9,875</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2,103</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4,172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4,798</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Metered - Gram Panchayat</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10,258</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19,806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20,004</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Metered - Nagar Palika&amp;Panchayat</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5,735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6,642</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9,080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12,267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12,880</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lastRenderedPageBreak/>
              <w:t>Metered - Nagar Nigam</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1,776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2,007</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1,125</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1,181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1,240</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(LMV-3)</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29,065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31,266</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32,954</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48,236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50,223</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LMV-4: Institutions</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Public</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77,181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76,952</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101,104</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100,297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105,312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Private</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475,729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36,445</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48,026</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48,986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49,966</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(LMV-4)</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552,910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113,397</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149,130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149,283</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155,278</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LMV-5: Private Tube Wells</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(unmetered)</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893,556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936,053</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984,847</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1,019,612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1,055,605</w:t>
            </w:r>
          </w:p>
        </w:tc>
      </w:tr>
      <w:tr w:rsidR="00733B2E" w:rsidRPr="00A4229E" w:rsidTr="00FC4ADE">
        <w:trPr>
          <w:trHeight w:val="26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(metered)</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58,733</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38,660</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50,472</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52,996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55,645</w:t>
            </w:r>
          </w:p>
        </w:tc>
      </w:tr>
      <w:tr w:rsidR="00733B2E" w:rsidRPr="00A4229E" w:rsidTr="00FC4ADE">
        <w:trPr>
          <w:trHeight w:val="296"/>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(metered)</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410,563</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474,295</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494,068</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523,712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555,135</w:t>
            </w:r>
          </w:p>
        </w:tc>
      </w:tr>
      <w:tr w:rsidR="00733B2E" w:rsidRPr="00A4229E" w:rsidTr="00FC4ADE">
        <w:trPr>
          <w:trHeight w:val="251"/>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(LMV-5)</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1,362,852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1,449,008</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1,529,387</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1,596,320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1,666,385</w:t>
            </w:r>
          </w:p>
        </w:tc>
      </w:tr>
      <w:tr w:rsidR="00733B2E" w:rsidRPr="00A4229E" w:rsidTr="00FC4ADE">
        <w:trPr>
          <w:trHeight w:val="377"/>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431"/>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LMV 6: Small and Medium Power</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41"/>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Power Loom: Rural</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46,491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38,422</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48,880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51,324</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53,890</w:t>
            </w:r>
          </w:p>
        </w:tc>
      </w:tr>
      <w:tr w:rsidR="00733B2E" w:rsidRPr="00A4229E" w:rsidTr="00FC4ADE">
        <w:trPr>
          <w:trHeight w:val="26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Power Loom: Urban</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47,797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32,829</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43,248</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35,762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37,908</w:t>
            </w:r>
          </w:p>
        </w:tc>
      </w:tr>
      <w:tr w:rsidR="00733B2E" w:rsidRPr="00A4229E" w:rsidTr="00FC4ADE">
        <w:trPr>
          <w:trHeight w:val="215"/>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Others: Rural</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36,526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38,915</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62,717</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66,480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70,469</w:t>
            </w:r>
          </w:p>
        </w:tc>
      </w:tr>
      <w:tr w:rsidR="00733B2E" w:rsidRPr="00A4229E" w:rsidTr="00FC4ADE">
        <w:trPr>
          <w:trHeight w:val="26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Others: Urban</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299,968</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313,252</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282,497</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302,403</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314,499</w:t>
            </w:r>
          </w:p>
        </w:tc>
      </w:tr>
      <w:tr w:rsidR="00733B2E" w:rsidRPr="00A4229E" w:rsidTr="00FC4ADE">
        <w:trPr>
          <w:trHeight w:val="206"/>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(LMV-6)</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430,782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423,418</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437,342</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455,969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476,766</w:t>
            </w:r>
          </w:p>
        </w:tc>
      </w:tr>
      <w:tr w:rsidR="00733B2E" w:rsidRPr="00A4229E" w:rsidTr="00FC4ADE">
        <w:trPr>
          <w:trHeight w:val="341"/>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53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LMV-7: Public Water Works</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32"/>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Jal Nigam</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9,040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11,038</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14,798</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32,125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38,550</w:t>
            </w:r>
          </w:p>
        </w:tc>
      </w:tr>
      <w:tr w:rsidR="00733B2E" w:rsidRPr="00A4229E" w:rsidTr="00FC4ADE">
        <w:trPr>
          <w:trHeight w:val="359"/>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JalSansthan</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4,784</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8,438</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8,776</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9,829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11,009</w:t>
            </w:r>
          </w:p>
        </w:tc>
      </w:tr>
      <w:tr w:rsidR="00733B2E" w:rsidRPr="00A4229E" w:rsidTr="00FC4ADE">
        <w:trPr>
          <w:trHeight w:val="26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Other PWWs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1,151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2,556</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5,327</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5,966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6,682</w:t>
            </w:r>
          </w:p>
        </w:tc>
      </w:tr>
      <w:tr w:rsidR="00733B2E" w:rsidRPr="00A4229E" w:rsidTr="00FC4ADE">
        <w:trPr>
          <w:trHeight w:val="287"/>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Jal Nigam</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7,976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8,896</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6,992</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7,691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8,460</w:t>
            </w:r>
          </w:p>
        </w:tc>
      </w:tr>
      <w:tr w:rsidR="00733B2E" w:rsidRPr="00A4229E" w:rsidTr="00FC4ADE">
        <w:trPr>
          <w:trHeight w:val="332"/>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JalSansthan</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27,816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29,093</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20,894</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38,648</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41,740</w:t>
            </w:r>
          </w:p>
        </w:tc>
      </w:tr>
      <w:tr w:rsidR="00733B2E" w:rsidRPr="00A4229E" w:rsidTr="00FC4ADE">
        <w:trPr>
          <w:trHeight w:val="26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Other PWWs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5,785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5,265</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15,257</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15,867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16,502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(LMV-7)</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56,552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65,286</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72,044</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110,127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122,943</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LMV-8: State Tube Wells</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Metered STW</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49,191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48,515</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59,402</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71,830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75,422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Unmetered STW</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86,163</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96,913</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96,809</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98,745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100,720</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Unmetered Laghu Dal Nahar</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480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480</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1,887</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8,160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8,160</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(LMV-8)</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135,834</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145,908</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158,098</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178,735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184,302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lastRenderedPageBreak/>
              <w:t>LMV-9: Temporary Supply</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Metered: Individual residential</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2,955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2,349</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6,921</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5,964</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6,262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Metered: Others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2,006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2,006</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Unmetered: Ceremonies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296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82</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1,098</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1,153</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1,211</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Unmetered: Temp shops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(LMV-9)</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5,257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4,437</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8,019</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7,117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7,472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LMV-10: Departmental Employees</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Class IV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11,738</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11,263</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10,942</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11,330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11,732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Class III</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11,516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11,087</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13,085</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14,526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15,107</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Junior Engineers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1,389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1,393</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1,670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1,787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1,912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Assistant Engineers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1,598</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1,589</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1,701</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1,954</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2,012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Executive Engineers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611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622</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695</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737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781</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Deputy General Manager</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141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146</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185</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179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188</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CGM/GM</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75</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75</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78</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Pensioners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31,651</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24,792</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24,270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33,148</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33,811</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(LMV-10)</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58,719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50,967</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52,622</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63,736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65,620</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HV-1: Non-Industrial Bulk Loads</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11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85,608</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113,124</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130,290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139,410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149,169</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Above 11 kV &amp; up to 66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11,337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11,749</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15,864</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16,340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16,830</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Above 66 kV &amp; up to 132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Above 132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At 11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Above 11 kV &amp; up to 66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(HV-1)</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96,945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124,873</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146,154</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155,750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165,999</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HV-2: Large and Heavy Power</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11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389,589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393,045</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442,123</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495,177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554,599</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Above 11 kV &amp; up to 66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164,602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171,198</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187,098</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194,582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202,365</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Above 66 kV &amp; up to 132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59,115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61,705</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30,330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33,363</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36,699</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Urban: Above 132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38,090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31,500</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52,590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53,116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53,647</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At 11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74,323</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72,614</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54,933</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60,426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66,469</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Rural: Above 11 kV &amp; up to 66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174</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176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177</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(HV-2)</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725,719</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730,062</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767,248</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836,840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913,957</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HV-3: Railway Traction</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At 132 kV and above</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32,000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93,750</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97,750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112,413</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129,274</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lastRenderedPageBreak/>
              <w:t>Below 132 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64,300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22,050</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24,750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27,225</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29,948</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Metro traction</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(HV-3)</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96,300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115,800</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122,500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139,638</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159,222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HV-4: Lift Irrigation</w:t>
            </w: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At 11kV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20,746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20,921</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20,921</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21,967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23,065</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Above 11kV &amp; up to 66kV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136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143</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143</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147</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152</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Above 66 kV &amp; up to 132kV</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9,350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9,350</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9,350</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9,350</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9,350</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(HV-4)</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30,232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30,414</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30,414</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31,464</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32,567</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Bulk &amp; Extra State</w:t>
            </w:r>
          </w:p>
        </w:tc>
        <w:tc>
          <w:tcPr>
            <w:tcW w:w="590" w:type="pct"/>
            <w:tcBorders>
              <w:top w:val="nil"/>
              <w:left w:val="nil"/>
              <w:bottom w:val="dotted" w:sz="4" w:space="0" w:color="auto"/>
              <w:right w:val="dotted" w:sz="4" w:space="0" w:color="auto"/>
            </w:tcBorders>
            <w:shd w:val="clear" w:color="auto" w:fill="auto"/>
            <w:noWrap/>
            <w:hideMark/>
          </w:tcPr>
          <w:p w:rsidR="007B00DC" w:rsidRDefault="007B00DC">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7B00DC" w:rsidRDefault="007B00DC">
            <w:pPr>
              <w:spacing w:before="0" w:line="240" w:lineRule="auto"/>
              <w:jc w:val="right"/>
              <w:rPr>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7B00DC" w:rsidRDefault="007B00DC">
            <w:pPr>
              <w:spacing w:before="0" w:line="240" w:lineRule="auto"/>
              <w:jc w:val="right"/>
              <w:rPr>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7B00DC" w:rsidRDefault="007B00DC">
            <w:pPr>
              <w:spacing w:before="0" w:line="240" w:lineRule="auto"/>
              <w:jc w:val="right"/>
              <w:rPr>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7B00DC" w:rsidRDefault="007B00DC">
            <w:pPr>
              <w:spacing w:before="0" w:line="240" w:lineRule="auto"/>
              <w:jc w:val="right"/>
              <w:rPr>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Extra state &amp; others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Bulk supply – NPCL</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Bulk supply – KESCO</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i/>
                <w:iCs/>
                <w:color w:val="000000"/>
                <w:sz w:val="22"/>
                <w:szCs w:val="22"/>
                <w:lang w:val="en-IN" w:eastAsia="en-IN"/>
              </w:rPr>
            </w:pPr>
            <w:r w:rsidRPr="00A4229E">
              <w:rPr>
                <w:rFonts w:cs="Arial"/>
                <w:i/>
                <w:iCs/>
                <w:color w:val="000000"/>
                <w:sz w:val="22"/>
                <w:szCs w:val="22"/>
                <w:lang w:val="en-IN" w:eastAsia="en-IN"/>
              </w:rPr>
              <w:t>Bulk supply – Others</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color w:val="000000"/>
                <w:sz w:val="22"/>
                <w:szCs w:val="22"/>
                <w:lang w:val="en-US"/>
              </w:rPr>
            </w:pPr>
            <w:r w:rsidRPr="00A4229E">
              <w:rPr>
                <w:rFonts w:cs="Arial"/>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SUBTOTAL (Bulk &amp; Extra State)</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w:t>
            </w: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337C98" w:rsidRDefault="00337C98" w:rsidP="00337C98">
            <w:pPr>
              <w:spacing w:before="0" w:line="240" w:lineRule="auto"/>
              <w:jc w:val="left"/>
              <w:rPr>
                <w:rFonts w:cs="Arial"/>
                <w:b/>
                <w:bCs/>
                <w:color w:val="000000"/>
                <w:sz w:val="22"/>
                <w:szCs w:val="22"/>
                <w:lang w:val="en-IN" w:eastAsia="en-IN"/>
              </w:rPr>
            </w:pPr>
          </w:p>
        </w:tc>
        <w:tc>
          <w:tcPr>
            <w:tcW w:w="590"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571"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714"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c>
          <w:tcPr>
            <w:tcW w:w="643" w:type="pct"/>
            <w:tcBorders>
              <w:top w:val="nil"/>
              <w:left w:val="nil"/>
              <w:bottom w:val="dotted" w:sz="4" w:space="0" w:color="auto"/>
              <w:right w:val="dotted" w:sz="4" w:space="0" w:color="auto"/>
            </w:tcBorders>
            <w:shd w:val="clear" w:color="auto" w:fill="auto"/>
            <w:noWrap/>
            <w:hideMark/>
          </w:tcPr>
          <w:p w:rsidR="00337C98" w:rsidRDefault="00337C98" w:rsidP="00337C98">
            <w:pPr>
              <w:spacing w:before="0" w:line="240" w:lineRule="auto"/>
              <w:jc w:val="right"/>
              <w:rPr>
                <w:rFonts w:cstheme="minorHAnsi"/>
                <w:b/>
                <w:bCs/>
                <w:color w:val="000000"/>
                <w:sz w:val="20"/>
                <w:szCs w:val="20"/>
                <w:lang w:val="en-US"/>
              </w:rPr>
            </w:pPr>
          </w:p>
        </w:tc>
      </w:tr>
      <w:tr w:rsidR="00733B2E" w:rsidRPr="00A4229E" w:rsidTr="00FC4ADE">
        <w:trPr>
          <w:trHeight w:val="300"/>
        </w:trPr>
        <w:tc>
          <w:tcPr>
            <w:tcW w:w="1839" w:type="pct"/>
            <w:tcBorders>
              <w:top w:val="nil"/>
              <w:left w:val="dotted" w:sz="4" w:space="0" w:color="auto"/>
              <w:bottom w:val="dotted" w:sz="4" w:space="0" w:color="auto"/>
              <w:right w:val="dotted" w:sz="4" w:space="0" w:color="auto"/>
            </w:tcBorders>
            <w:shd w:val="clear" w:color="auto" w:fill="auto"/>
            <w:noWrap/>
            <w:hideMark/>
          </w:tcPr>
          <w:p w:rsidR="007B00DC" w:rsidRDefault="00733B2E">
            <w:pPr>
              <w:spacing w:before="0" w:line="240" w:lineRule="auto"/>
              <w:jc w:val="left"/>
              <w:rPr>
                <w:rFonts w:cs="Arial"/>
                <w:b/>
                <w:bCs/>
                <w:color w:val="000000"/>
                <w:sz w:val="22"/>
                <w:szCs w:val="22"/>
                <w:lang w:val="en-IN" w:eastAsia="en-IN"/>
              </w:rPr>
            </w:pPr>
            <w:r w:rsidRPr="00A4229E">
              <w:rPr>
                <w:rFonts w:cs="Arial"/>
                <w:b/>
                <w:bCs/>
                <w:color w:val="000000"/>
                <w:sz w:val="22"/>
                <w:szCs w:val="22"/>
                <w:lang w:val="en-IN" w:eastAsia="en-IN"/>
              </w:rPr>
              <w:t>GRAND TOTAL</w:t>
            </w:r>
          </w:p>
        </w:tc>
        <w:tc>
          <w:tcPr>
            <w:tcW w:w="590"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7,519,966</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7,608,138</w:t>
            </w:r>
          </w:p>
        </w:tc>
        <w:tc>
          <w:tcPr>
            <w:tcW w:w="571"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8,475,256</w:t>
            </w:r>
          </w:p>
        </w:tc>
        <w:tc>
          <w:tcPr>
            <w:tcW w:w="714"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9,784,252</w:t>
            </w:r>
          </w:p>
        </w:tc>
        <w:tc>
          <w:tcPr>
            <w:tcW w:w="643" w:type="pct"/>
            <w:tcBorders>
              <w:top w:val="nil"/>
              <w:left w:val="nil"/>
              <w:bottom w:val="dotted" w:sz="4" w:space="0" w:color="auto"/>
              <w:right w:val="dotted" w:sz="4" w:space="0" w:color="auto"/>
            </w:tcBorders>
            <w:shd w:val="clear" w:color="auto" w:fill="auto"/>
            <w:noWrap/>
            <w:hideMark/>
          </w:tcPr>
          <w:p w:rsidR="00337C98" w:rsidRDefault="00733B2E" w:rsidP="00337C98">
            <w:pPr>
              <w:spacing w:before="0" w:line="240" w:lineRule="auto"/>
              <w:jc w:val="right"/>
              <w:rPr>
                <w:rFonts w:cs="Arial"/>
                <w:b/>
                <w:bCs/>
                <w:color w:val="000000"/>
                <w:sz w:val="22"/>
                <w:szCs w:val="22"/>
                <w:lang w:val="en-US"/>
              </w:rPr>
            </w:pPr>
            <w:r w:rsidRPr="00A4229E">
              <w:rPr>
                <w:rFonts w:cs="Arial"/>
                <w:b/>
                <w:bCs/>
                <w:color w:val="000000"/>
                <w:sz w:val="22"/>
                <w:szCs w:val="22"/>
                <w:lang w:val="en-US"/>
              </w:rPr>
              <w:t>10,997,826</w:t>
            </w:r>
          </w:p>
        </w:tc>
      </w:tr>
    </w:tbl>
    <w:p w:rsidR="00733B2E" w:rsidRPr="00C60AD1" w:rsidRDefault="00733B2E" w:rsidP="00733B2E">
      <w:pPr>
        <w:spacing w:before="0" w:line="240" w:lineRule="auto"/>
        <w:jc w:val="left"/>
        <w:rPr>
          <w:rFonts w:cs="Arial"/>
          <w:b/>
          <w:bCs/>
          <w:szCs w:val="26"/>
        </w:rPr>
      </w:pPr>
    </w:p>
    <w:p w:rsidR="00733B2E" w:rsidRPr="0039560A" w:rsidRDefault="006C63AF" w:rsidP="00733B2E">
      <w:pPr>
        <w:pStyle w:val="Heading3"/>
        <w:numPr>
          <w:ilvl w:val="0"/>
          <w:numId w:val="0"/>
        </w:numPr>
        <w:tabs>
          <w:tab w:val="clear" w:pos="720"/>
        </w:tabs>
        <w:spacing w:after="120"/>
        <w:jc w:val="center"/>
        <w:rPr>
          <w:b/>
          <w:sz w:val="22"/>
        </w:rPr>
      </w:pPr>
      <w:bookmarkStart w:id="1893" w:name="_Toc457604100"/>
      <w:r w:rsidRPr="006C63AF">
        <w:rPr>
          <w:rFonts w:asciiTheme="minorHAnsi" w:hAnsiTheme="minorHAnsi" w:cstheme="minorHAnsi"/>
          <w:b/>
          <w:sz w:val="22"/>
          <w:szCs w:val="24"/>
        </w:rPr>
        <w:t xml:space="preserve">Table </w:t>
      </w:r>
      <w:r w:rsidRPr="006C63AF">
        <w:rPr>
          <w:rFonts w:asciiTheme="minorHAnsi" w:hAnsiTheme="minorHAnsi" w:cstheme="minorHAnsi"/>
          <w:b/>
          <w:sz w:val="22"/>
        </w:rPr>
        <w:t>11</w:t>
      </w:r>
      <w:r w:rsidRPr="006C63AF">
        <w:rPr>
          <w:rFonts w:asciiTheme="minorHAnsi" w:hAnsiTheme="minorHAnsi" w:cstheme="minorHAnsi"/>
          <w:b/>
          <w:sz w:val="22"/>
          <w:szCs w:val="24"/>
        </w:rPr>
        <w:noBreakHyphen/>
      </w:r>
      <w:r w:rsidR="009741CA" w:rsidRPr="006C63AF">
        <w:rPr>
          <w:rFonts w:asciiTheme="minorHAnsi" w:hAnsiTheme="minorHAnsi" w:cstheme="minorHAnsi"/>
          <w:b/>
          <w:sz w:val="22"/>
          <w:szCs w:val="24"/>
        </w:rPr>
        <w:fldChar w:fldCharType="begin"/>
      </w:r>
      <w:r w:rsidRPr="006C63AF">
        <w:rPr>
          <w:rFonts w:asciiTheme="minorHAnsi" w:hAnsiTheme="minorHAnsi" w:cstheme="minorHAnsi"/>
          <w:b/>
          <w:sz w:val="22"/>
          <w:szCs w:val="24"/>
        </w:rPr>
        <w:instrText xml:space="preserve"> SEQ Table \* ARABIC \s 1 </w:instrText>
      </w:r>
      <w:r w:rsidR="009741CA" w:rsidRPr="006C63AF">
        <w:rPr>
          <w:rFonts w:asciiTheme="minorHAnsi" w:hAnsiTheme="minorHAnsi" w:cstheme="minorHAnsi"/>
          <w:b/>
          <w:sz w:val="22"/>
          <w:szCs w:val="24"/>
        </w:rPr>
        <w:fldChar w:fldCharType="separate"/>
      </w:r>
      <w:r w:rsidR="00BA08F0">
        <w:rPr>
          <w:rFonts w:asciiTheme="minorHAnsi" w:hAnsiTheme="minorHAnsi" w:cstheme="minorHAnsi"/>
          <w:b/>
          <w:noProof/>
          <w:sz w:val="22"/>
          <w:szCs w:val="24"/>
        </w:rPr>
        <w:t>3</w:t>
      </w:r>
      <w:r w:rsidR="009741CA" w:rsidRPr="006C63AF">
        <w:rPr>
          <w:rFonts w:asciiTheme="minorHAnsi" w:hAnsiTheme="minorHAnsi" w:cstheme="minorHAnsi"/>
          <w:b/>
          <w:sz w:val="22"/>
          <w:szCs w:val="24"/>
        </w:rPr>
        <w:fldChar w:fldCharType="end"/>
      </w:r>
      <w:r w:rsidRPr="006C63AF">
        <w:rPr>
          <w:rFonts w:asciiTheme="minorHAnsi" w:hAnsiTheme="minorHAnsi" w:cstheme="minorHAnsi"/>
          <w:b/>
          <w:sz w:val="22"/>
          <w:szCs w:val="24"/>
        </w:rPr>
        <w:t>:</w:t>
      </w:r>
      <w:r w:rsidRPr="006C63AF">
        <w:rPr>
          <w:rFonts w:asciiTheme="minorHAnsi" w:hAnsiTheme="minorHAnsi" w:cstheme="minorHAnsi"/>
          <w:sz w:val="22"/>
          <w:szCs w:val="24"/>
        </w:rPr>
        <w:t xml:space="preserve"> </w:t>
      </w:r>
      <w:r w:rsidRPr="006C63AF">
        <w:rPr>
          <w:rFonts w:asciiTheme="minorHAnsi" w:hAnsiTheme="minorHAnsi" w:cstheme="minorHAnsi"/>
          <w:b/>
          <w:bCs w:val="0"/>
          <w:sz w:val="22"/>
          <w:szCs w:val="24"/>
        </w:rPr>
        <w:t>C</w:t>
      </w:r>
      <w:r w:rsidRPr="006C63AF">
        <w:rPr>
          <w:b/>
          <w:sz w:val="22"/>
        </w:rPr>
        <w:t>OMMISSION’S APPROVAL OF ENERGY SALES (MU) FOR FY 2016-17</w:t>
      </w:r>
      <w:bookmarkEnd w:id="1893"/>
    </w:p>
    <w:tbl>
      <w:tblPr>
        <w:tblW w:w="5584" w:type="pct"/>
        <w:tblInd w:w="-459" w:type="dxa"/>
        <w:tblLayout w:type="fixed"/>
        <w:tblLook w:val="04A0"/>
      </w:tblPr>
      <w:tblGrid>
        <w:gridCol w:w="3545"/>
        <w:gridCol w:w="1276"/>
        <w:gridCol w:w="1133"/>
        <w:gridCol w:w="1133"/>
        <w:gridCol w:w="1560"/>
        <w:gridCol w:w="1276"/>
      </w:tblGrid>
      <w:tr w:rsidR="00733B2E" w:rsidRPr="00C60AD1" w:rsidTr="005828E5">
        <w:trPr>
          <w:trHeight w:val="900"/>
          <w:tblHeader/>
        </w:trPr>
        <w:tc>
          <w:tcPr>
            <w:tcW w:w="1786" w:type="pct"/>
            <w:tcBorders>
              <w:top w:val="dotted" w:sz="4" w:space="0" w:color="auto"/>
              <w:left w:val="dotted" w:sz="4" w:space="0" w:color="auto"/>
              <w:bottom w:val="dotted" w:sz="4" w:space="0" w:color="auto"/>
              <w:right w:val="dotted" w:sz="4" w:space="0" w:color="auto"/>
            </w:tcBorders>
            <w:shd w:val="clear" w:color="000000" w:fill="DCE6F1"/>
            <w:noWrap/>
            <w:hideMark/>
          </w:tcPr>
          <w:p w:rsidR="00603835" w:rsidRDefault="00733B2E">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Consumer categories</w:t>
            </w:r>
          </w:p>
        </w:tc>
        <w:tc>
          <w:tcPr>
            <w:tcW w:w="643" w:type="pct"/>
            <w:tcBorders>
              <w:top w:val="dotted" w:sz="4" w:space="0" w:color="auto"/>
              <w:left w:val="nil"/>
              <w:bottom w:val="dotted" w:sz="4" w:space="0" w:color="auto"/>
              <w:right w:val="dotted" w:sz="4" w:space="0" w:color="auto"/>
            </w:tcBorders>
            <w:shd w:val="clear" w:color="000000" w:fill="DCE6F1"/>
            <w:hideMark/>
          </w:tcPr>
          <w:p w:rsidR="00603835" w:rsidRDefault="00733B2E">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FY 12-13</w:t>
            </w:r>
          </w:p>
        </w:tc>
        <w:tc>
          <w:tcPr>
            <w:tcW w:w="571" w:type="pct"/>
            <w:tcBorders>
              <w:top w:val="dotted" w:sz="4" w:space="0" w:color="auto"/>
              <w:left w:val="nil"/>
              <w:bottom w:val="dotted" w:sz="4" w:space="0" w:color="auto"/>
              <w:right w:val="dotted" w:sz="4" w:space="0" w:color="auto"/>
            </w:tcBorders>
            <w:shd w:val="clear" w:color="000000" w:fill="DCE6F1"/>
            <w:hideMark/>
          </w:tcPr>
          <w:p w:rsidR="00603835" w:rsidRDefault="00733B2E">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FY 13-14</w:t>
            </w:r>
          </w:p>
        </w:tc>
        <w:tc>
          <w:tcPr>
            <w:tcW w:w="571" w:type="pct"/>
            <w:tcBorders>
              <w:top w:val="dotted" w:sz="4" w:space="0" w:color="auto"/>
              <w:left w:val="nil"/>
              <w:bottom w:val="dotted" w:sz="4" w:space="0" w:color="auto"/>
              <w:right w:val="dotted" w:sz="4" w:space="0" w:color="auto"/>
            </w:tcBorders>
            <w:shd w:val="clear" w:color="000000" w:fill="DCE6F1"/>
            <w:hideMark/>
          </w:tcPr>
          <w:p w:rsidR="00603835" w:rsidRDefault="00733B2E">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FY 14-15</w:t>
            </w:r>
          </w:p>
        </w:tc>
        <w:tc>
          <w:tcPr>
            <w:tcW w:w="786" w:type="pct"/>
            <w:tcBorders>
              <w:top w:val="dotted" w:sz="4" w:space="0" w:color="auto"/>
              <w:left w:val="nil"/>
              <w:bottom w:val="dotted" w:sz="4" w:space="0" w:color="auto"/>
              <w:right w:val="dotted" w:sz="4" w:space="0" w:color="auto"/>
            </w:tcBorders>
            <w:shd w:val="clear" w:color="000000" w:fill="DCE6F1"/>
            <w:hideMark/>
          </w:tcPr>
          <w:p w:rsidR="00603835" w:rsidRDefault="00733B2E">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Recomputed for FY 15-16</w:t>
            </w:r>
          </w:p>
        </w:tc>
        <w:tc>
          <w:tcPr>
            <w:tcW w:w="643" w:type="pct"/>
            <w:tcBorders>
              <w:top w:val="dotted" w:sz="4" w:space="0" w:color="auto"/>
              <w:left w:val="nil"/>
              <w:bottom w:val="dotted" w:sz="4" w:space="0" w:color="auto"/>
              <w:right w:val="dotted" w:sz="4" w:space="0" w:color="auto"/>
            </w:tcBorders>
            <w:shd w:val="clear" w:color="000000" w:fill="DCE6F1"/>
            <w:hideMark/>
          </w:tcPr>
          <w:p w:rsidR="00603835" w:rsidRDefault="00733B2E">
            <w:pPr>
              <w:spacing w:before="0" w:line="240" w:lineRule="auto"/>
              <w:jc w:val="center"/>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Approved for FY 2016-17</w:t>
            </w:r>
          </w:p>
        </w:tc>
      </w:tr>
      <w:tr w:rsidR="00733B2E" w:rsidRPr="00C60AD1" w:rsidTr="00FC4ADE">
        <w:trPr>
          <w:trHeight w:val="314"/>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LMV-1: Domestic</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hideMark/>
          </w:tcPr>
          <w:p w:rsidR="00733B2E" w:rsidRPr="00FA7B1E" w:rsidRDefault="00733B2E" w:rsidP="00FC4ADE">
            <w:pPr>
              <w:spacing w:before="0" w:line="240" w:lineRule="auto"/>
              <w:jc w:val="right"/>
              <w:rPr>
                <w:rFonts w:asciiTheme="minorHAnsi" w:hAnsiTheme="minorHAnsi" w:cs="Arial"/>
                <w:color w:val="000000"/>
                <w:sz w:val="22"/>
                <w:szCs w:val="22"/>
              </w:rPr>
            </w:pPr>
          </w:p>
        </w:tc>
      </w:tr>
      <w:tr w:rsidR="00733B2E" w:rsidRPr="00C60AD1" w:rsidTr="00FC4ADE">
        <w:trPr>
          <w:trHeight w:val="26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(unmetered)</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668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795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966</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1,185</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1,161</w:t>
            </w:r>
          </w:p>
        </w:tc>
      </w:tr>
      <w:tr w:rsidR="00733B2E" w:rsidRPr="00C60AD1" w:rsidTr="00FC4ADE">
        <w:trPr>
          <w:trHeight w:val="305"/>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(metered)</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902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1,064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1,191</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2,258</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3,957</w:t>
            </w:r>
          </w:p>
        </w:tc>
      </w:tr>
      <w:tr w:rsidR="00733B2E" w:rsidRPr="00C60AD1" w:rsidTr="00FC4ADE">
        <w:trPr>
          <w:trHeight w:val="17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Bulk Load</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170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163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r>
      <w:tr w:rsidR="00733B2E" w:rsidRPr="00C60AD1" w:rsidTr="00FC4ADE">
        <w:trPr>
          <w:trHeight w:val="296"/>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Other Metered</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1,721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1,887</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2,169</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2,486</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3,102</w:t>
            </w:r>
          </w:p>
        </w:tc>
      </w:tr>
      <w:tr w:rsidR="00733B2E" w:rsidRPr="00C60AD1" w:rsidTr="00FC4ADE">
        <w:trPr>
          <w:trHeight w:val="161"/>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BPL</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175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220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474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555</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(LMV-1)</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3,602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4,091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4,708</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6,403</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8,776</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LMV-2:Non-Domestic</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(unmetered)</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9</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10</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10</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(metered)</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270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295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283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283</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365</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Advertising</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22</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45</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58</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Other Metered</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462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504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526</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588</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684</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(LMV-2)</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757</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825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840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927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1,118</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LMV-3: Public Lamps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Unmetered - Gram Panchayat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Unmetered - Nagar Palika&amp;Panchayat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38</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38</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Unmetered - Nagar Nigam</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9</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Metered - Gram Panchayat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44</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126</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132</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Metered - Nagar Palika&amp;Panchayat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31</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49</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66</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Metered - Nagar Nigam</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9</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(LMV-3)</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104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119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126</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244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269</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LMV-4: Institutions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Public</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241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237</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265</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309</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400</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Private</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90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100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102</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125</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326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327</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366</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411</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525</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LMV-5: Private Tube Wells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(unmetered)</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980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1,175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1,395</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1,682</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1,682</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(metered)</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129</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194</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(metered)</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954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1,013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1,242</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1,316</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1,395</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(LMV-5)</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2,054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2,317</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2,759</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3,127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3,272</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 6: Small and Medium Power</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Power Loom: Rural</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88</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119</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Power Loom: Urban</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79</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65</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82</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Others: Rural</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75</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153</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Others: Urban</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458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458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424</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454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550</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(LMV-6)</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633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616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620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721</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903</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LMV-7: Public Water Works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Jal Nigam</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181</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217</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JalSansthan</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56</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63</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71</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Other PWWs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15</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19</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Jal Nigam</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52</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58</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63</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JalSansthan</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92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95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87</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128</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138</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Other PWWs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52</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54</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229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268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334</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498</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562</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lastRenderedPageBreak/>
              <w:t>LMV-8: State Tube Wells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Metered STW</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218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281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283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357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382</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Unmetered STW</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301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337</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337</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322</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322</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Unmetered Laghu Dal Nahar</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(LMV-8)</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525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623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623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684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708</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LMV-9: Temporary Supply</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Metered: Individual residential</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15</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19</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22</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Metered: Others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Unmetered: Ceremonies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Unmetered: Temp shops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(LMV-9)</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19</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26</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30</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LMV-10: Departmental Employees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Class IV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19</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23</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Class III</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15</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15</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Junior Engineers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Assistant Engineers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Executive Engineers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Deputy General Manager</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CGM/GM</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Pensioners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47</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55</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63</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(LMV-10)</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98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85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94</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97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113</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HV-1: Non-Industrial Bulk Loads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11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179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255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204</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324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347</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Above 11 kV &amp; up to 66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49</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60</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62</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Above 66 kV &amp; up to 132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Above 132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At 11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Above 11 kV &amp; up to 66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(HV-1)</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238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296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263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384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409</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HV-2: Large and Heavy Power</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11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839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1,123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1,156</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1,339</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1,499</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Above 11 kV &amp; up to 66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649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674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678</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767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798</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Above 66 kV &amp; up to 132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192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197</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157</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173</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190</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Urban: Above 132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189</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218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267</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346</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349</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lastRenderedPageBreak/>
              <w:t>Rural: At 11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212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85</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172</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189</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Rural: Above 11 kV &amp; up to 66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(HV-2)</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2,080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2,248</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2,342</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2,797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3,026</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HV-3: Railway Traction</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At 132 kV and above</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135</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183</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481</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553</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Below 132 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77</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80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74</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116</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128</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Metro traction</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(HV-3)</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196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216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256</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597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681</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HV-4: Lift Irrigation</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At 11kV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114</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137</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144</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Above 11kV &amp; up to 66kV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0</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3</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Above 66 kV &amp; up to 132kV</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10</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11</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14</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15</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15</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SUBTOTAL (HV-4)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126</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143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144</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154</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161</w:t>
            </w: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0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Bulk &amp; Extra State</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358"/>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Extra state &amp; others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296"/>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Bulk supply – NPCL</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161"/>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Bulk supply – KESCO</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107"/>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Bulk supply – Others</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color w:val="000000"/>
                <w:sz w:val="22"/>
                <w:szCs w:val="22"/>
              </w:rPr>
            </w:pPr>
            <w:r w:rsidRPr="00FA7B1E">
              <w:rPr>
                <w:rFonts w:asciiTheme="minorHAnsi" w:hAnsiTheme="minorHAnsi" w:cs="Arial"/>
                <w:color w:val="000000"/>
                <w:sz w:val="22"/>
                <w:szCs w:val="22"/>
              </w:rPr>
              <w:t>-</w:t>
            </w:r>
          </w:p>
        </w:tc>
      </w:tr>
      <w:tr w:rsidR="00733B2E" w:rsidRPr="00C60AD1" w:rsidTr="00FC4ADE">
        <w:trPr>
          <w:trHeight w:val="332"/>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i/>
                <w:iCs/>
                <w:color w:val="000000"/>
                <w:sz w:val="22"/>
                <w:szCs w:val="22"/>
                <w:lang w:val="en-IN" w:eastAsia="en-IN"/>
              </w:rPr>
            </w:pPr>
            <w:r w:rsidRPr="00FA7B1E">
              <w:rPr>
                <w:rFonts w:asciiTheme="minorHAnsi" w:hAnsiTheme="minorHAnsi" w:cs="Arial"/>
                <w:i/>
                <w:iCs/>
                <w:color w:val="000000"/>
                <w:sz w:val="22"/>
                <w:szCs w:val="22"/>
                <w:lang w:val="en-IN" w:eastAsia="en-IN"/>
              </w:rPr>
              <w:t>SUBTOTAL (Bulk &amp; Extra State)</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w:t>
            </w:r>
          </w:p>
        </w:tc>
      </w:tr>
      <w:tr w:rsidR="00733B2E" w:rsidRPr="00C60AD1" w:rsidTr="00FC4ADE">
        <w:trPr>
          <w:trHeight w:val="269"/>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color w:val="000000"/>
                <w:sz w:val="22"/>
                <w:szCs w:val="22"/>
                <w:lang w:val="en-IN" w:eastAsia="en-IN"/>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olor w:val="000000"/>
                <w:sz w:val="22"/>
                <w:szCs w:val="22"/>
              </w:rPr>
            </w:pPr>
          </w:p>
        </w:tc>
      </w:tr>
      <w:tr w:rsidR="00733B2E" w:rsidRPr="00C60AD1" w:rsidTr="00FC4ADE">
        <w:trPr>
          <w:trHeight w:val="260"/>
        </w:trPr>
        <w:tc>
          <w:tcPr>
            <w:tcW w:w="1786" w:type="pct"/>
            <w:tcBorders>
              <w:top w:val="nil"/>
              <w:left w:val="dotted" w:sz="4" w:space="0" w:color="auto"/>
              <w:bottom w:val="dotted" w:sz="4" w:space="0" w:color="auto"/>
              <w:right w:val="dotted" w:sz="4" w:space="0" w:color="auto"/>
            </w:tcBorders>
            <w:shd w:val="clear" w:color="auto" w:fill="auto"/>
            <w:noWrap/>
            <w:hideMark/>
          </w:tcPr>
          <w:p w:rsidR="00733B2E" w:rsidRPr="00FA7B1E" w:rsidRDefault="00733B2E" w:rsidP="00FC4ADE">
            <w:pPr>
              <w:spacing w:before="0" w:line="240" w:lineRule="auto"/>
              <w:rPr>
                <w:rFonts w:asciiTheme="minorHAnsi" w:hAnsiTheme="minorHAnsi" w:cs="Arial"/>
                <w:b/>
                <w:bCs/>
                <w:color w:val="000000"/>
                <w:sz w:val="22"/>
                <w:szCs w:val="22"/>
                <w:lang w:val="en-IN" w:eastAsia="en-IN"/>
              </w:rPr>
            </w:pPr>
            <w:r w:rsidRPr="00FA7B1E">
              <w:rPr>
                <w:rFonts w:asciiTheme="minorHAnsi" w:hAnsiTheme="minorHAnsi" w:cs="Arial"/>
                <w:b/>
                <w:bCs/>
                <w:color w:val="000000"/>
                <w:sz w:val="22"/>
                <w:szCs w:val="22"/>
                <w:lang w:val="en-IN" w:eastAsia="en-IN"/>
              </w:rPr>
              <w:t>GRAND TOTAL</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10,983</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12,182</w:t>
            </w:r>
          </w:p>
        </w:tc>
        <w:tc>
          <w:tcPr>
            <w:tcW w:w="571"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13,494</w:t>
            </w:r>
          </w:p>
        </w:tc>
        <w:tc>
          <w:tcPr>
            <w:tcW w:w="786"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17,069</w:t>
            </w:r>
          </w:p>
        </w:tc>
        <w:tc>
          <w:tcPr>
            <w:tcW w:w="643" w:type="pct"/>
            <w:tcBorders>
              <w:top w:val="nil"/>
              <w:left w:val="nil"/>
              <w:bottom w:val="dotted" w:sz="4" w:space="0" w:color="auto"/>
              <w:right w:val="dotted" w:sz="4" w:space="0" w:color="auto"/>
            </w:tcBorders>
            <w:shd w:val="clear" w:color="auto" w:fill="auto"/>
            <w:noWrap/>
            <w:hideMark/>
          </w:tcPr>
          <w:p w:rsidR="00733B2E" w:rsidRPr="00FA7B1E" w:rsidRDefault="00733B2E" w:rsidP="00FC4ADE">
            <w:pPr>
              <w:spacing w:before="0" w:line="240" w:lineRule="auto"/>
              <w:jc w:val="right"/>
              <w:rPr>
                <w:rFonts w:asciiTheme="minorHAnsi" w:hAnsiTheme="minorHAnsi" w:cs="Arial"/>
                <w:b/>
                <w:bCs/>
                <w:color w:val="000000"/>
                <w:sz w:val="22"/>
                <w:szCs w:val="22"/>
              </w:rPr>
            </w:pPr>
            <w:r w:rsidRPr="00FA7B1E">
              <w:rPr>
                <w:rFonts w:asciiTheme="minorHAnsi" w:hAnsiTheme="minorHAnsi" w:cs="Arial"/>
                <w:b/>
                <w:bCs/>
                <w:color w:val="000000"/>
                <w:sz w:val="22"/>
                <w:szCs w:val="22"/>
              </w:rPr>
              <w:t>20,552</w:t>
            </w:r>
          </w:p>
        </w:tc>
      </w:tr>
    </w:tbl>
    <w:p w:rsidR="00D5771F" w:rsidRDefault="00D5771F">
      <w:pPr>
        <w:pStyle w:val="Heading2"/>
        <w:numPr>
          <w:ilvl w:val="0"/>
          <w:numId w:val="0"/>
        </w:numPr>
        <w:ind w:left="780"/>
      </w:pPr>
    </w:p>
    <w:p w:rsidR="00733B2E" w:rsidRDefault="00733B2E" w:rsidP="00733B2E">
      <w:pPr>
        <w:pStyle w:val="Heading2"/>
        <w:numPr>
          <w:ilvl w:val="1"/>
          <w:numId w:val="29"/>
        </w:numPr>
        <w:sectPr w:rsidR="00733B2E" w:rsidSect="00FC4ADE">
          <w:pgSz w:w="11909" w:h="16834"/>
          <w:pgMar w:top="1440" w:right="1440" w:bottom="1440" w:left="1800" w:header="720" w:footer="720" w:gutter="0"/>
          <w:pgNumType w:chapSep="colon"/>
          <w:cols w:space="720"/>
          <w:docGrid w:linePitch="326"/>
        </w:sectPr>
      </w:pPr>
    </w:p>
    <w:p w:rsidR="0031252C" w:rsidRPr="006D7A5E" w:rsidRDefault="0031252C" w:rsidP="0031252C">
      <w:pPr>
        <w:pStyle w:val="Heading2"/>
        <w:numPr>
          <w:ilvl w:val="1"/>
          <w:numId w:val="29"/>
        </w:numPr>
      </w:pPr>
      <w:bookmarkStart w:id="1894" w:name="_Toc397332183"/>
      <w:bookmarkStart w:id="1895" w:name="_Toc397607938"/>
      <w:bookmarkStart w:id="1896" w:name="_Ref399523373"/>
      <w:bookmarkStart w:id="1897" w:name="_Toc399623771"/>
      <w:bookmarkStart w:id="1898" w:name="_Ref422136626"/>
      <w:bookmarkStart w:id="1899" w:name="_Toc422310097"/>
      <w:bookmarkStart w:id="1900" w:name="_Toc455574121"/>
      <w:bookmarkStart w:id="1901" w:name="_Toc457603986"/>
      <w:r w:rsidRPr="009A53B9">
        <w:rPr>
          <w:rFonts w:ascii="Calibri" w:hAnsi="Calibri"/>
        </w:rPr>
        <w:lastRenderedPageBreak/>
        <w:t>RATE SCHEDULE FOR FY 2016</w:t>
      </w:r>
      <w:bookmarkEnd w:id="1894"/>
      <w:bookmarkEnd w:id="1895"/>
      <w:bookmarkEnd w:id="1896"/>
      <w:bookmarkEnd w:id="1897"/>
      <w:bookmarkEnd w:id="1898"/>
      <w:bookmarkEnd w:id="1899"/>
      <w:r w:rsidRPr="009A53B9">
        <w:rPr>
          <w:rFonts w:ascii="Calibri" w:hAnsi="Calibri"/>
        </w:rPr>
        <w:t>-17</w:t>
      </w:r>
      <w:bookmarkEnd w:id="1900"/>
      <w:bookmarkEnd w:id="1901"/>
    </w:p>
    <w:p w:rsidR="0031252C" w:rsidRDefault="0031252C" w:rsidP="0031252C">
      <w:pPr>
        <w:pStyle w:val="Heading2"/>
        <w:numPr>
          <w:ilvl w:val="0"/>
          <w:numId w:val="0"/>
        </w:numPr>
        <w:ind w:left="780"/>
        <w:rPr>
          <w:rFonts w:ascii="Calibri" w:hAnsi="Calibri"/>
        </w:rPr>
      </w:pPr>
    </w:p>
    <w:p w:rsidR="00905390" w:rsidRDefault="00905390" w:rsidP="00905390">
      <w:pPr>
        <w:jc w:val="center"/>
        <w:rPr>
          <w:rFonts w:cstheme="minorHAnsi"/>
          <w:b/>
          <w:lang w:val="en-US"/>
        </w:rPr>
      </w:pPr>
      <w:r w:rsidRPr="009A53B9">
        <w:rPr>
          <w:rFonts w:cstheme="minorHAnsi"/>
          <w:b/>
          <w:lang w:val="en-US"/>
        </w:rPr>
        <w:t>RETAIL TARIFFS FOR FINANCIAL YEAR 2016-17:</w:t>
      </w:r>
    </w:p>
    <w:p w:rsidR="00D555F2" w:rsidRPr="009A53B9" w:rsidRDefault="00D555F2" w:rsidP="00905390">
      <w:pPr>
        <w:jc w:val="center"/>
        <w:rPr>
          <w:rFonts w:cstheme="minorHAnsi"/>
          <w:b/>
        </w:rPr>
      </w:pPr>
    </w:p>
    <w:p w:rsidR="00D555F2" w:rsidRPr="00516994" w:rsidRDefault="00D555F2" w:rsidP="00D555F2">
      <w:pPr>
        <w:spacing w:before="100" w:after="100"/>
        <w:rPr>
          <w:rFonts w:cstheme="minorHAnsi"/>
          <w:b/>
        </w:rPr>
      </w:pPr>
      <w:r w:rsidRPr="00516994">
        <w:rPr>
          <w:rFonts w:cstheme="minorHAnsi"/>
          <w:b/>
          <w:lang w:val="en-US"/>
        </w:rPr>
        <w:t>GENERAL PROVISIONS:</w:t>
      </w:r>
    </w:p>
    <w:p w:rsidR="00D555F2" w:rsidRPr="00516994" w:rsidRDefault="00D555F2" w:rsidP="00D555F2">
      <w:pPr>
        <w:spacing w:before="100" w:after="100"/>
        <w:rPr>
          <w:rFonts w:cstheme="minorHAnsi"/>
        </w:rPr>
      </w:pPr>
      <w:r w:rsidRPr="00516994">
        <w:rPr>
          <w:rFonts w:cstheme="minorHAnsi"/>
          <w:lang w:val="en-US"/>
        </w:rPr>
        <w:t>These provisions shall apply to all categories unless specified otherwise and are integral part of the Rate Schedule.</w:t>
      </w:r>
    </w:p>
    <w:p w:rsidR="00D555F2" w:rsidRPr="00516994" w:rsidRDefault="00D555F2" w:rsidP="00D555F2">
      <w:pPr>
        <w:spacing w:before="100" w:after="100"/>
        <w:rPr>
          <w:rFonts w:cs="Calibr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NEW CONNECTIONS:</w:t>
      </w:r>
    </w:p>
    <w:p w:rsidR="00D555F2" w:rsidRPr="00516994" w:rsidRDefault="00D555F2" w:rsidP="00D555F2">
      <w:pPr>
        <w:spacing w:before="100" w:after="100" w:line="288" w:lineRule="auto"/>
        <w:ind w:left="720" w:right="29"/>
        <w:rPr>
          <w:rFonts w:cs="Calibri"/>
        </w:rPr>
      </w:pPr>
      <w:r w:rsidRPr="00516994">
        <w:rPr>
          <w:rFonts w:cs="Calibri"/>
        </w:rPr>
        <w:t>All new connections shall be given as per the applicable provisions of Electricity Supply Code and shall be released in multiples of KW only, excluding consumers under categories LMV-5 &amp; LMV-8 of Rate Schedule.  Further, for tariff application purposes, if the contracted load (kW) of already existing consumer is in fractions then the same shall be treated as next higher kW load.</w:t>
      </w:r>
    </w:p>
    <w:p w:rsidR="00D555F2" w:rsidRPr="00516994" w:rsidRDefault="00D555F2" w:rsidP="00D555F2">
      <w:pPr>
        <w:spacing w:before="100" w:after="100" w:line="288" w:lineRule="auto"/>
        <w:ind w:left="720" w:right="29"/>
        <w:rPr>
          <w:rFonts w:cs="Calibr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READING OF METERS:</w:t>
      </w:r>
    </w:p>
    <w:p w:rsidR="00D555F2" w:rsidRPr="00516994" w:rsidRDefault="00D555F2" w:rsidP="00D555F2">
      <w:pPr>
        <w:spacing w:before="100" w:after="100"/>
        <w:ind w:left="360" w:right="-58" w:firstLine="360"/>
        <w:rPr>
          <w:rFonts w:cs="Calibri"/>
        </w:rPr>
      </w:pPr>
      <w:r w:rsidRPr="00516994">
        <w:rPr>
          <w:rFonts w:cs="Calibri"/>
        </w:rPr>
        <w:t>As per applicable provisions of Electricity Supply Code.</w:t>
      </w:r>
    </w:p>
    <w:p w:rsidR="00D555F2" w:rsidRPr="00516994" w:rsidRDefault="00D555F2" w:rsidP="00D555F2">
      <w:pPr>
        <w:ind w:left="720" w:hanging="720"/>
        <w:rPr>
          <w:rFonts w:cs="Calibri"/>
          <w:b/>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BILLING WHEN METER IS NOT MADE ACCESSIBLE:</w:t>
      </w:r>
    </w:p>
    <w:p w:rsidR="00D555F2" w:rsidRPr="00516994" w:rsidRDefault="00D555F2" w:rsidP="00D555F2">
      <w:pPr>
        <w:spacing w:before="100" w:after="100"/>
        <w:ind w:left="720" w:right="-58"/>
        <w:rPr>
          <w:rFonts w:cs="Calibri"/>
        </w:rPr>
      </w:pPr>
      <w:r w:rsidRPr="00516994">
        <w:rPr>
          <w:rFonts w:cs="Calibri"/>
        </w:rPr>
        <w:t xml:space="preserve">A penalty of Rs. 50 / kW or as decided by the Commission through an Order shall be levied for the purposes of Clause 6.2 (c) of the applicable Electricity Supply Code.  </w:t>
      </w:r>
    </w:p>
    <w:p w:rsidR="00D555F2" w:rsidRPr="00516994" w:rsidRDefault="00D555F2" w:rsidP="00D555F2">
      <w:pPr>
        <w:tabs>
          <w:tab w:val="left" w:pos="720"/>
        </w:tabs>
        <w:spacing w:before="100" w:after="100"/>
        <w:ind w:left="720" w:right="-61"/>
        <w:rPr>
          <w:rFonts w:cs="Calibri"/>
          <w:b/>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BILLING IN CASE OF DEFECTIVE METERS:</w:t>
      </w:r>
    </w:p>
    <w:p w:rsidR="00D555F2" w:rsidRPr="00516994" w:rsidRDefault="00D555F2" w:rsidP="00D555F2">
      <w:pPr>
        <w:spacing w:before="100" w:after="100"/>
        <w:ind w:right="-58" w:firstLine="720"/>
        <w:rPr>
          <w:rFonts w:cs="Calibri"/>
        </w:rPr>
      </w:pPr>
      <w:r w:rsidRPr="00516994">
        <w:rPr>
          <w:rFonts w:cs="Calibri"/>
        </w:rPr>
        <w:t>As per the applicable provisions of Electricity Supply Code.</w:t>
      </w:r>
    </w:p>
    <w:p w:rsidR="00D555F2" w:rsidRPr="00516994" w:rsidRDefault="00D555F2" w:rsidP="00D555F2">
      <w:pPr>
        <w:spacing w:before="100" w:after="100" w:line="288" w:lineRule="auto"/>
        <w:ind w:left="720" w:right="29"/>
        <w:rPr>
          <w:rFonts w:cs="Calibri"/>
          <w: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KVAH TARIFF:</w:t>
      </w:r>
    </w:p>
    <w:p w:rsidR="00D555F2" w:rsidRPr="00516994" w:rsidRDefault="00D555F2" w:rsidP="00D555F2">
      <w:pPr>
        <w:spacing w:before="100" w:after="100"/>
        <w:ind w:left="720" w:right="-58"/>
        <w:rPr>
          <w:rFonts w:cs="Calibri"/>
        </w:rPr>
      </w:pPr>
      <w:r w:rsidRPr="00516994">
        <w:rPr>
          <w:rFonts w:cs="Calibri"/>
        </w:rPr>
        <w:t xml:space="preserve">‘kVAh based tariffs’ shall be applicable on all consumers having contracted load of 10 kW / 13.4 BHP and above, under different categories with TVM / TOD / Demand recording meters (as appropriate).  </w:t>
      </w:r>
    </w:p>
    <w:p w:rsidR="00D555F2" w:rsidRPr="00516994" w:rsidRDefault="00D555F2" w:rsidP="00D555F2">
      <w:pPr>
        <w:spacing w:before="100" w:after="100"/>
        <w:ind w:left="720" w:right="-58"/>
        <w:rPr>
          <w:rFonts w:cs="Calibri"/>
        </w:rPr>
      </w:pPr>
      <w:r w:rsidRPr="00516994">
        <w:rPr>
          <w:rFonts w:cs="Calibri"/>
        </w:rPr>
        <w:lastRenderedPageBreak/>
        <w:t>The rates prescribed in different categories in terms of kW and kWh will be converted into appropriate kVA and kVAh by multiplying Fixed / Demand Charges and Energy Charges by an average power factor of 0.90.  Similarly, the Fixed / Demand Charges expressed in BHP can be converted into respective kVA rates in accordance with formula given below:</w:t>
      </w:r>
    </w:p>
    <w:p w:rsidR="00D555F2" w:rsidRPr="00516994" w:rsidRDefault="00D555F2" w:rsidP="00D555F2">
      <w:pPr>
        <w:ind w:left="720"/>
        <w:rPr>
          <w:rFonts w:cs="Calibri"/>
          <w:b/>
        </w:rPr>
      </w:pPr>
      <w:r w:rsidRPr="00516994">
        <w:rPr>
          <w:rFonts w:cs="Calibri"/>
          <w:b/>
        </w:rPr>
        <w:t>Demand Charges in kVA = (Demand Charges in BHP / 0.746) * 0 .90</w:t>
      </w:r>
    </w:p>
    <w:p w:rsidR="00D555F2" w:rsidRPr="00516994" w:rsidRDefault="00D555F2" w:rsidP="00D555F2">
      <w:pPr>
        <w:ind w:left="720"/>
        <w:rPr>
          <w:rFonts w:cs="Calibri"/>
          <w:b/>
        </w:rPr>
      </w:pPr>
      <w:r w:rsidRPr="00516994">
        <w:rPr>
          <w:rFonts w:cs="Calibri"/>
          <w:b/>
        </w:rPr>
        <w:t>Demand Charges in kVA = (Fixed Charges in kW * 0.90)</w:t>
      </w:r>
    </w:p>
    <w:p w:rsidR="00D555F2" w:rsidRPr="00516994" w:rsidRDefault="00D555F2" w:rsidP="00D555F2">
      <w:pPr>
        <w:ind w:left="720"/>
        <w:rPr>
          <w:rFonts w:cs="Calibri"/>
          <w:b/>
        </w:rPr>
      </w:pPr>
      <w:r w:rsidRPr="00516994">
        <w:rPr>
          <w:rFonts w:cs="Calibri"/>
          <w:b/>
        </w:rPr>
        <w:t>Energy Charges in kVAh = (Energy Charges in kWh * 0.90)</w:t>
      </w:r>
    </w:p>
    <w:p w:rsidR="00D555F2" w:rsidRPr="00516994" w:rsidRDefault="00D555F2" w:rsidP="00D555F2">
      <w:pPr>
        <w:ind w:left="1440" w:hanging="720"/>
        <w:rPr>
          <w:rFonts w:cs="Calibri"/>
        </w:rPr>
      </w:pPr>
      <w:r w:rsidRPr="00516994">
        <w:rPr>
          <w:rFonts w:cs="Calibri"/>
          <w:b/>
        </w:rPr>
        <w:t>Note:</w:t>
      </w:r>
      <w:r w:rsidRPr="00516994">
        <w:rPr>
          <w:rFonts w:cs="Calibri"/>
        </w:rPr>
        <w:tab/>
        <w:t>If the power factor of a consumer is leading and is within the range of 0.95 -1.00, then for tariff application purposes such leading power factor shall be treated as unity. The bills of such consumers shall be prepared accordingly. However, if the leading power factor is below 0.95 (lead) then the consumer shall be billed as per the kVAh reading indicated by the meter. However, the aforesaid provision of treating power factor below 0.95 (lead) as the commensurate lagging power factor for the purposes of billing shall not be applicable on HV-3 category and shall be treated as unity. Hence, for HV-3, lag + lead logic of the meter should not be used and “lag only” logic of the meter should be provided which blocks leading kVARh thereby treating leading power factor as unity and registering instantaneous kWh as instantaneous kVAh in case of leading power factor.</w:t>
      </w:r>
    </w:p>
    <w:p w:rsidR="00D555F2" w:rsidRPr="00516994" w:rsidRDefault="00D555F2" w:rsidP="00D555F2">
      <w:pPr>
        <w:tabs>
          <w:tab w:val="left" w:pos="720"/>
        </w:tabs>
        <w:spacing w:before="100" w:after="100"/>
        <w:ind w:left="720" w:right="-61"/>
        <w:rPr>
          <w:rFonts w:cs="Calibri"/>
          <w:b/>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BILLABLE LOAD / DEMAND:</w:t>
      </w:r>
    </w:p>
    <w:p w:rsidR="00D555F2" w:rsidRPr="00516994" w:rsidRDefault="00D555F2" w:rsidP="00D555F2">
      <w:pPr>
        <w:autoSpaceDE w:val="0"/>
        <w:autoSpaceDN w:val="0"/>
        <w:adjustRightInd w:val="0"/>
        <w:spacing w:line="240" w:lineRule="auto"/>
        <w:ind w:left="720"/>
        <w:rPr>
          <w:rFonts w:cs="Calibri"/>
        </w:rPr>
      </w:pPr>
      <w:r w:rsidRPr="00516994">
        <w:rPr>
          <w:rFonts w:cs="Calibri"/>
        </w:rPr>
        <w:t>For all consumers having TVM / TOD / Demand recording meters installed, the billable load / demand during a month shall be the actual maximum load / demand as recorded by the meter (can be in parts of kW or kVA) or 75% of the contracted load / demand (kW or kVA), whichever is higher.</w:t>
      </w:r>
    </w:p>
    <w:p w:rsidR="00D555F2" w:rsidRPr="00516994" w:rsidRDefault="00D555F2" w:rsidP="00D555F2">
      <w:pPr>
        <w:autoSpaceDE w:val="0"/>
        <w:autoSpaceDN w:val="0"/>
        <w:adjustRightInd w:val="0"/>
        <w:spacing w:line="240" w:lineRule="auto"/>
        <w:ind w:left="720" w:firstLine="720"/>
        <w:rPr>
          <w:rFonts w:cs="Calibri"/>
        </w:rPr>
      </w:pPr>
    </w:p>
    <w:p w:rsidR="00D555F2" w:rsidRPr="00516994" w:rsidRDefault="00D555F2" w:rsidP="00D555F2">
      <w:pPr>
        <w:autoSpaceDE w:val="0"/>
        <w:autoSpaceDN w:val="0"/>
        <w:adjustRightInd w:val="0"/>
        <w:spacing w:line="240" w:lineRule="auto"/>
        <w:ind w:left="720"/>
        <w:rPr>
          <w:rFonts w:cs="Calibri"/>
        </w:rPr>
      </w:pPr>
      <w:r w:rsidRPr="00516994">
        <w:rPr>
          <w:rFonts w:cs="Calibri"/>
        </w:rPr>
        <w:t>Further in case the licensee fails to note the actual maximum load / demand reading or in case of spot-billing, then the consumer may approach the licensee with a photo of the actual maximum load / demand reading displayed on his meter of the previous month. The licensee shall accept the same for the purpose of computation of billable demand, however if the licensee wishes to, it can get the same verified within 10 days.</w:t>
      </w:r>
    </w:p>
    <w:p w:rsidR="00D555F2" w:rsidRPr="00516994" w:rsidDel="009D75BB" w:rsidRDefault="00D555F2" w:rsidP="00D555F2">
      <w:pPr>
        <w:spacing w:before="100" w:after="100"/>
        <w:ind w:left="720" w:right="-58"/>
        <w:rPr>
          <w:rFonts w:cs="Calibri"/>
        </w:rPr>
      </w:pPr>
    </w:p>
    <w:p w:rsidR="00D555F2" w:rsidRDefault="00D555F2" w:rsidP="00D555F2">
      <w:pPr>
        <w:numPr>
          <w:ilvl w:val="3"/>
          <w:numId w:val="99"/>
        </w:numPr>
        <w:tabs>
          <w:tab w:val="left" w:pos="720"/>
        </w:tabs>
        <w:spacing w:before="100" w:after="100"/>
        <w:ind w:left="720" w:right="-58" w:hanging="720"/>
        <w:rPr>
          <w:rFonts w:cs="Calibri"/>
          <w:b/>
        </w:rPr>
      </w:pPr>
      <w:r w:rsidRPr="00516994">
        <w:rPr>
          <w:rFonts w:cs="Calibri"/>
          <w:b/>
        </w:rPr>
        <w:lastRenderedPageBreak/>
        <w:t>SURCHARGE / PENALTY:</w:t>
      </w:r>
    </w:p>
    <w:p w:rsidR="00D555F2" w:rsidRDefault="00D555F2" w:rsidP="00D555F2">
      <w:pPr>
        <w:numPr>
          <w:ilvl w:val="0"/>
          <w:numId w:val="74"/>
        </w:numPr>
        <w:spacing w:before="100" w:line="288" w:lineRule="auto"/>
        <w:ind w:right="11"/>
        <w:rPr>
          <w:rFonts w:cs="Calibri"/>
        </w:rPr>
      </w:pPr>
      <w:r w:rsidRPr="00516994">
        <w:rPr>
          <w:rFonts w:cs="Calibri"/>
          <w:b/>
        </w:rPr>
        <w:t>DELAYED PAYMENT:</w:t>
      </w:r>
    </w:p>
    <w:p w:rsidR="00D555F2" w:rsidRDefault="00D555F2" w:rsidP="00D555F2">
      <w:pPr>
        <w:ind w:left="1440"/>
        <w:rPr>
          <w:rFonts w:cs="Calibri"/>
        </w:rPr>
      </w:pPr>
      <w:r w:rsidRPr="00516994">
        <w:rPr>
          <w:rFonts w:cs="Calibri"/>
        </w:rPr>
        <w:t>If a consumer fails to pay his electricity bill by the due date specified therein, a late payment surcharge shall be levied at 1.25% per month; up-to first three months of delay and subsequently @ 2.00% per month of delay. Late payment surcharge shall be calculated proportionately for the number of days for which the payment is delayed beyond the due date specified in the bill and levied on the unpaid amount of the bill excluding surcharge. Imposition of this surcharge is without prejudice to the right of the Licensee to disconnect the supply or take any other measure permissible under the law.</w:t>
      </w:r>
    </w:p>
    <w:p w:rsidR="00D555F2" w:rsidRPr="00516994" w:rsidRDefault="00D555F2" w:rsidP="00D555F2">
      <w:pPr>
        <w:ind w:left="1440"/>
        <w:rPr>
          <w:rFonts w:cs="Calibri"/>
        </w:rPr>
      </w:pPr>
    </w:p>
    <w:p w:rsidR="00D555F2" w:rsidRPr="006C63AF" w:rsidRDefault="00D555F2" w:rsidP="00D555F2">
      <w:pPr>
        <w:numPr>
          <w:ilvl w:val="0"/>
          <w:numId w:val="74"/>
        </w:numPr>
        <w:spacing w:before="100" w:line="288" w:lineRule="auto"/>
        <w:ind w:right="11"/>
        <w:rPr>
          <w:rFonts w:cs="Calibri"/>
          <w:i/>
        </w:rPr>
      </w:pPr>
      <w:r w:rsidRPr="00516994">
        <w:rPr>
          <w:rFonts w:cs="Calibri"/>
          <w:b/>
        </w:rPr>
        <w:t xml:space="preserve">CHARGES FOR EXCEEDING CONTRACTED DEMAND: </w:t>
      </w:r>
    </w:p>
    <w:p w:rsidR="00D555F2" w:rsidRDefault="00D555F2" w:rsidP="00D555F2">
      <w:pPr>
        <w:pStyle w:val="ListParagraph"/>
        <w:numPr>
          <w:ilvl w:val="0"/>
          <w:numId w:val="222"/>
        </w:numPr>
        <w:spacing w:before="100" w:after="100"/>
        <w:ind w:left="1800" w:right="-58"/>
        <w:rPr>
          <w:rFonts w:cstheme="minorHAnsi"/>
        </w:rPr>
      </w:pPr>
      <w:r w:rsidRPr="00516994">
        <w:rPr>
          <w:rFonts w:cstheme="minorHAnsi"/>
          <w:iCs/>
        </w:rPr>
        <w:t xml:space="preserve">If the maximum load / demand in any month of a </w:t>
      </w:r>
      <w:r w:rsidRPr="00516994">
        <w:rPr>
          <w:rFonts w:cstheme="minorHAnsi"/>
          <w:b/>
        </w:rPr>
        <w:t>domestic consumer</w:t>
      </w:r>
      <w:r w:rsidRPr="00516994">
        <w:rPr>
          <w:rFonts w:cstheme="minorHAnsi"/>
        </w:rPr>
        <w:t xml:space="preserve"> having TVM / TOD / Demand recording meter exceeds the contracted load / demand, then such excess load / demand shall be levied equal to 100% of the normal rate apart from the normal fixed / demand charge as per the maximum load / demand recorded by the meter. Further, if the consumer is found to have exceeded the contracted load / demand for continuous previous three months, the consumer shall be served a notice of one month advising him to get the contracted load enhanced as per the provisions of UPERC Electricity Supply Code, 2005 and amendments thereof. However, the consumer shall be charged for excess load for the period the load is found to exceed the contracted load. The Licensee shall merge the excess load with the previously sanctioned load, and levy additional charges calculated as above, along with additional security. Subsequent action regarding the increase in contracted load, or otherwise shall be taken only after due examination of the consumer’s reply to the notice and a written order in this respect by the Licensee.</w:t>
      </w:r>
    </w:p>
    <w:p w:rsidR="00D555F2" w:rsidRPr="00516994" w:rsidRDefault="00D555F2" w:rsidP="00D555F2">
      <w:pPr>
        <w:pStyle w:val="ListParagraph"/>
        <w:ind w:left="1440"/>
        <w:rPr>
          <w:rFonts w:cstheme="minorHAnsi"/>
        </w:rPr>
      </w:pPr>
    </w:p>
    <w:p w:rsidR="00D555F2" w:rsidRPr="00516994" w:rsidRDefault="00D555F2" w:rsidP="00D555F2">
      <w:pPr>
        <w:pStyle w:val="ListParagraph"/>
        <w:numPr>
          <w:ilvl w:val="0"/>
          <w:numId w:val="222"/>
        </w:numPr>
        <w:spacing w:before="100" w:after="100"/>
        <w:ind w:left="1800" w:right="-58"/>
        <w:contextualSpacing/>
        <w:rPr>
          <w:rFonts w:cstheme="minorHAnsi"/>
        </w:rPr>
      </w:pPr>
      <w:r w:rsidRPr="00516994">
        <w:rPr>
          <w:rFonts w:cstheme="minorHAnsi"/>
        </w:rPr>
        <w:t xml:space="preserve">If the maximum load / demand in any month, for the consumers of </w:t>
      </w:r>
      <w:r w:rsidRPr="00516994">
        <w:rPr>
          <w:rFonts w:cstheme="minorHAnsi"/>
          <w:b/>
        </w:rPr>
        <w:t>other category(except (a) above )</w:t>
      </w:r>
      <w:r w:rsidRPr="00516994">
        <w:rPr>
          <w:rFonts w:cstheme="minorHAnsi"/>
        </w:rPr>
        <w:t xml:space="preserve"> having TVM/ TOD /Demand recording meter exceeds the contracted load /demand , then such excess load /demand shall be levied equal to 200% of the normal rate </w:t>
      </w:r>
      <w:r w:rsidRPr="00516994">
        <w:rPr>
          <w:rFonts w:cstheme="minorHAnsi"/>
        </w:rPr>
        <w:lastRenderedPageBreak/>
        <w:t>apart from the normal fixed /demand charges as  per the maximum load /demand recorded by the meter.</w:t>
      </w:r>
    </w:p>
    <w:p w:rsidR="00D555F2" w:rsidRPr="00516994" w:rsidRDefault="00D555F2" w:rsidP="00D555F2">
      <w:pPr>
        <w:pStyle w:val="ListParagraph"/>
        <w:ind w:left="1440"/>
        <w:rPr>
          <w:rFonts w:cstheme="minorHAnsi"/>
        </w:rPr>
      </w:pPr>
    </w:p>
    <w:p w:rsidR="00D555F2" w:rsidRPr="00516994" w:rsidRDefault="00D555F2" w:rsidP="00D555F2">
      <w:pPr>
        <w:pStyle w:val="ListParagraph"/>
        <w:numPr>
          <w:ilvl w:val="0"/>
          <w:numId w:val="222"/>
        </w:numPr>
        <w:spacing w:before="100" w:after="100"/>
        <w:ind w:left="1800" w:right="-58"/>
        <w:contextualSpacing/>
        <w:rPr>
          <w:rFonts w:cstheme="minorHAnsi"/>
        </w:rPr>
      </w:pPr>
      <w:r w:rsidRPr="00516994">
        <w:rPr>
          <w:rFonts w:cstheme="minorHAnsi"/>
        </w:rPr>
        <w:t>Any surcharge / penalty shall be over and above the minimum charge, if the consumption bill of the consumer is being prepared on the basis of minimum charge.</w:t>
      </w:r>
    </w:p>
    <w:p w:rsidR="00D555F2" w:rsidRPr="00516994" w:rsidRDefault="00D555F2" w:rsidP="00D555F2">
      <w:pPr>
        <w:pStyle w:val="ListParagraph"/>
        <w:rPr>
          <w:rFonts w:cstheme="minorHAnsi"/>
        </w:rPr>
      </w:pPr>
    </w:p>
    <w:p w:rsidR="00D555F2" w:rsidRDefault="00D555F2" w:rsidP="00D555F2">
      <w:pPr>
        <w:numPr>
          <w:ilvl w:val="0"/>
          <w:numId w:val="222"/>
        </w:numPr>
        <w:spacing w:before="100" w:after="100"/>
        <w:ind w:left="1800" w:right="-58"/>
        <w:contextualSpacing/>
        <w:rPr>
          <w:rFonts w:cstheme="minorHAnsi"/>
        </w:rPr>
      </w:pPr>
      <w:r w:rsidRPr="00516994">
        <w:rPr>
          <w:rFonts w:cstheme="minorHAnsi"/>
        </w:rPr>
        <w:t>Provided where no TVM / TOD / Demand recording meter is installed, the excess load / demand penalty shall be billed as per the UPERC Electricity Supply Code, 2005 as amended from time to time.</w:t>
      </w:r>
    </w:p>
    <w:p w:rsidR="00D555F2" w:rsidRPr="00516994" w:rsidRDefault="00D555F2" w:rsidP="00D555F2">
      <w:pPr>
        <w:pStyle w:val="ListParagraph"/>
        <w:spacing w:before="100" w:after="100"/>
        <w:ind w:left="1080" w:right="-58"/>
        <w:rPr>
          <w:rFonts w:cs="Calibri"/>
        </w:rPr>
      </w:pPr>
    </w:p>
    <w:p w:rsidR="00D555F2" w:rsidRPr="006C63AF" w:rsidRDefault="00D555F2" w:rsidP="00D555F2">
      <w:pPr>
        <w:numPr>
          <w:ilvl w:val="3"/>
          <w:numId w:val="99"/>
        </w:numPr>
        <w:tabs>
          <w:tab w:val="left" w:pos="720"/>
        </w:tabs>
        <w:spacing w:before="100" w:after="100"/>
        <w:ind w:left="720" w:right="-58" w:hanging="720"/>
        <w:rPr>
          <w:rFonts w:cs="Calibri"/>
          <w:i/>
        </w:rPr>
      </w:pPr>
      <w:r w:rsidRPr="00516994">
        <w:rPr>
          <w:rFonts w:cs="Calibri"/>
          <w:b/>
        </w:rPr>
        <w:t>POWER FACTOR SURCHARGE:</w:t>
      </w:r>
    </w:p>
    <w:p w:rsidR="00D555F2" w:rsidRDefault="00D555F2" w:rsidP="00D555F2">
      <w:pPr>
        <w:pStyle w:val="ListParagraph"/>
        <w:numPr>
          <w:ilvl w:val="1"/>
          <w:numId w:val="225"/>
        </w:numPr>
        <w:ind w:right="29"/>
        <w:rPr>
          <w:rFonts w:cstheme="minorHAnsi"/>
        </w:rPr>
      </w:pPr>
      <w:r w:rsidRPr="00516994">
        <w:rPr>
          <w:rFonts w:cstheme="minorHAnsi"/>
        </w:rPr>
        <w:t>Power factor surcharge shall not be levied where consumer is being billed on kVAh consumption basis.</w:t>
      </w:r>
    </w:p>
    <w:p w:rsidR="00D555F2" w:rsidRPr="00516994" w:rsidRDefault="00D555F2" w:rsidP="00D555F2">
      <w:pPr>
        <w:pStyle w:val="ListParagraph"/>
        <w:spacing w:before="0"/>
        <w:ind w:left="1440" w:right="29"/>
        <w:contextualSpacing/>
        <w:rPr>
          <w:rFonts w:cstheme="minorHAnsi"/>
        </w:rPr>
      </w:pPr>
    </w:p>
    <w:p w:rsidR="00D555F2" w:rsidRPr="005C2246" w:rsidRDefault="00D555F2" w:rsidP="00D555F2">
      <w:pPr>
        <w:pStyle w:val="ListParagraph"/>
        <w:numPr>
          <w:ilvl w:val="1"/>
          <w:numId w:val="225"/>
        </w:numPr>
        <w:spacing w:before="0" w:after="200"/>
        <w:ind w:right="29"/>
        <w:contextualSpacing/>
        <w:rPr>
          <w:rFonts w:cstheme="minorHAnsi"/>
        </w:rPr>
      </w:pPr>
      <w:r w:rsidRPr="00516994">
        <w:rPr>
          <w:rFonts w:cstheme="minorHAnsi"/>
        </w:rPr>
        <w:t>It shall be obligatory for all consumers to maintain an average power factor of 0.85 or more during any billing period. No new connections of motive power loads / inductive loads above 3 kW, other than under LMV-1 and LMV-2 category, and / or of welding transformers above 1kVA shall be given, unless shunt capacitors having I.S.I specifications of appropriate ratings are installed, as described in ANNEXURE 11.4.</w:t>
      </w:r>
    </w:p>
    <w:p w:rsidR="00D555F2" w:rsidRDefault="00D555F2" w:rsidP="00D555F2">
      <w:pPr>
        <w:pStyle w:val="ListParagraph"/>
        <w:spacing w:before="60" w:after="200"/>
        <w:ind w:left="1440" w:right="29"/>
        <w:contextualSpacing/>
        <w:rPr>
          <w:rFonts w:cstheme="minorHAnsi"/>
        </w:rPr>
      </w:pPr>
    </w:p>
    <w:p w:rsidR="00D555F2" w:rsidRPr="00516994" w:rsidRDefault="00D555F2" w:rsidP="00D555F2">
      <w:pPr>
        <w:pStyle w:val="ListParagraph"/>
        <w:numPr>
          <w:ilvl w:val="1"/>
          <w:numId w:val="225"/>
        </w:numPr>
        <w:spacing w:before="60" w:after="200"/>
        <w:ind w:right="29"/>
        <w:contextualSpacing/>
        <w:rPr>
          <w:rFonts w:cstheme="minorHAnsi"/>
        </w:rPr>
      </w:pPr>
      <w:r w:rsidRPr="00516994">
        <w:rPr>
          <w:rFonts w:cstheme="minorHAnsi"/>
        </w:rPr>
        <w:t xml:space="preserve">In respect of the consumers with or without static TVMs, excluding consumers under LMV-1 category up to contracted load of 10 kW and LMV-2 category up to contracted load of 5 kW, if on inspection it is found that capacitors of appropriate rating are missing or in-operational and Licensee can prove that the absence of capacitor is bringing down the power factor of the consumer below the obligatory norm of 0.85; then a surcharge of 15% of the amount of bill shall be levied on such consumers. Licensee may also initiate action under the relevant provisions of the Electricity Act, 2003, as amended from time to time.  </w:t>
      </w:r>
    </w:p>
    <w:p w:rsidR="00D555F2" w:rsidRDefault="00D555F2" w:rsidP="00D555F2">
      <w:pPr>
        <w:pStyle w:val="ListParagraph"/>
        <w:spacing w:before="60" w:after="240"/>
        <w:ind w:left="1440" w:right="29"/>
        <w:rPr>
          <w:rFonts w:cstheme="minorHAnsi"/>
        </w:rPr>
      </w:pPr>
      <w:r w:rsidRPr="00516994">
        <w:rPr>
          <w:rFonts w:cstheme="minorHAnsi"/>
        </w:rPr>
        <w:t xml:space="preserve">Notwithstanding anything contained above, the Licensee also has a right to disconnect the power supply, if the power factor falls below 0.75.    </w:t>
      </w:r>
    </w:p>
    <w:p w:rsidR="00D555F2" w:rsidRDefault="00D555F2" w:rsidP="00D555F2">
      <w:pPr>
        <w:pStyle w:val="ListParagraph"/>
        <w:numPr>
          <w:ilvl w:val="1"/>
          <w:numId w:val="225"/>
        </w:numPr>
        <w:tabs>
          <w:tab w:val="left" w:pos="360"/>
          <w:tab w:val="left" w:pos="1440"/>
        </w:tabs>
        <w:spacing w:before="100" w:after="100"/>
        <w:ind w:right="29"/>
        <w:rPr>
          <w:rFonts w:cs="Calibri"/>
        </w:rPr>
      </w:pPr>
      <w:r w:rsidRPr="00516994">
        <w:rPr>
          <w:rFonts w:cstheme="minorHAnsi"/>
        </w:rPr>
        <w:t>Power factor surcharge shall however, not be levied during the period of disconnection on account of any reason whatsoever.</w:t>
      </w:r>
    </w:p>
    <w:p w:rsidR="00D555F2" w:rsidRPr="00516994" w:rsidRDefault="00D555F2" w:rsidP="00D555F2">
      <w:pPr>
        <w:pStyle w:val="ListParagraph"/>
        <w:tabs>
          <w:tab w:val="left" w:pos="360"/>
          <w:tab w:val="left" w:pos="1440"/>
        </w:tabs>
        <w:spacing w:before="100" w:after="100"/>
        <w:ind w:left="1440" w:right="28"/>
        <w:contextualSpacing/>
        <w:rPr>
          <w:rFonts w:cs="Calibr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 xml:space="preserve">PROTECTIVE LOAD: </w:t>
      </w:r>
    </w:p>
    <w:p w:rsidR="00D555F2" w:rsidRPr="00C60AD1" w:rsidRDefault="00D555F2" w:rsidP="00D555F2">
      <w:pPr>
        <w:ind w:left="720"/>
        <w:rPr>
          <w:rFonts w:cs="Calibri"/>
        </w:rPr>
      </w:pPr>
      <w:r w:rsidRPr="00C60AD1">
        <w:rPr>
          <w:rFonts w:cs="Calibri"/>
        </w:rPr>
        <w:t xml:space="preserve">Consumers getting supply on independent feeder at 11kV &amp; above voltage, emanating from sub-station, may opt for facility of protective load and avail supply during the period of scheduled rostering imposed by the Licensee, except under emergency rostering. An additional charge @ 100% of base demand charges fixed per month shall be levied on the contracted protective (as per Electricity Supply Code) load each month. However, consumers of LMV-4 (A) - Public Institutions will pay the additional charge @ 25% of base demand charges only. During the period of scheduled rostering, the load shall not exceed the sanctioned protective load. In case the consumer exceeds the sanctioned protective load during scheduled rostering, he shall be liable to pay twice the prescribed charges for such excess load. </w:t>
      </w:r>
    </w:p>
    <w:p w:rsidR="00D555F2" w:rsidRPr="00516994" w:rsidRDefault="00D555F2" w:rsidP="00D555F2">
      <w:pPr>
        <w:ind w:left="720"/>
        <w:rPr>
          <w:rFonts w:cs="Calibr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ROUNDING OFF:</w:t>
      </w:r>
    </w:p>
    <w:p w:rsidR="00D555F2" w:rsidRPr="00516994" w:rsidRDefault="00D555F2" w:rsidP="00D555F2">
      <w:pPr>
        <w:ind w:left="720"/>
        <w:rPr>
          <w:rFonts w:cs="Calibri"/>
        </w:rPr>
      </w:pPr>
      <w:r w:rsidRPr="00516994">
        <w:rPr>
          <w:rFonts w:cs="Calibri"/>
        </w:rPr>
        <w:t>All bills will be rounded off to the nearest rupee i.e. up to 49 paisa shall be rounded down to previous rupee and 50 paisa upwards shall be rounded up to next rupee. The difference due to such rounding shall be adjusted in subsequent bills.</w:t>
      </w:r>
    </w:p>
    <w:p w:rsidR="00D555F2" w:rsidRPr="00516994" w:rsidRDefault="00D555F2" w:rsidP="00D555F2">
      <w:pPr>
        <w:ind w:left="720"/>
        <w:rPr>
          <w:rFonts w:cs="Calibr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OPTION OF MIGRATION TO HV-1 &amp;</w:t>
      </w:r>
      <w:r>
        <w:rPr>
          <w:rFonts w:cs="Calibri"/>
          <w:b/>
        </w:rPr>
        <w:t xml:space="preserve"> </w:t>
      </w:r>
      <w:r w:rsidRPr="00516994">
        <w:rPr>
          <w:rFonts w:cs="Calibri"/>
          <w:b/>
        </w:rPr>
        <w:t>HV-2 CATEGORY:</w:t>
      </w:r>
    </w:p>
    <w:p w:rsidR="00D555F2" w:rsidRPr="00516994" w:rsidRDefault="00D555F2" w:rsidP="00D555F2">
      <w:pPr>
        <w:ind w:left="720"/>
        <w:rPr>
          <w:rFonts w:cs="Calibri"/>
        </w:rPr>
      </w:pPr>
      <w:r w:rsidRPr="00516994">
        <w:rPr>
          <w:rFonts w:cs="Calibri"/>
        </w:rPr>
        <w:t>The consumer under LMV-2 and LMV-4 with contracted load above 50 kW and getting supply at 11 kV &amp; above voltage shall have an option to migrate to the HV-1 category and LMV-6 consumers with contracted load above 50 kW and getting supply at 11 kV &amp; above voltage shall have an option to migrate to the HV-2 category. Furthermore, the consumers shall have an option of migrating back to the original category on payment of charges prescribed in Cost Data Book for change in voltage level.</w:t>
      </w:r>
    </w:p>
    <w:p w:rsidR="00D555F2" w:rsidRPr="00516994" w:rsidRDefault="00D555F2" w:rsidP="00D555F2">
      <w:pPr>
        <w:ind w:left="720"/>
        <w:rPr>
          <w:rFonts w:cs="Calibr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PRE-PAID METERS / AUTOMATIC METER READING SYSTEM:</w:t>
      </w:r>
    </w:p>
    <w:p w:rsidR="00D555F2" w:rsidRPr="00516994" w:rsidRDefault="00D555F2" w:rsidP="00D555F2">
      <w:pPr>
        <w:numPr>
          <w:ilvl w:val="0"/>
          <w:numId w:val="223"/>
        </w:numPr>
        <w:tabs>
          <w:tab w:val="left" w:pos="1440"/>
        </w:tabs>
        <w:spacing w:before="100" w:line="288" w:lineRule="auto"/>
        <w:ind w:right="11"/>
        <w:rPr>
          <w:rFonts w:cstheme="minorHAnsi"/>
        </w:rPr>
      </w:pPr>
      <w:r w:rsidRPr="00516994">
        <w:rPr>
          <w:rFonts w:cstheme="minorHAnsi"/>
        </w:rPr>
        <w:t>Any consumer having prepaid meters shall also be entitled to a discount of 1.25% on Rate as defined in the Tariff Order.</w:t>
      </w:r>
    </w:p>
    <w:p w:rsidR="00D555F2" w:rsidRPr="00516994" w:rsidRDefault="00D555F2" w:rsidP="00D555F2">
      <w:pPr>
        <w:numPr>
          <w:ilvl w:val="0"/>
          <w:numId w:val="223"/>
        </w:numPr>
        <w:tabs>
          <w:tab w:val="left" w:pos="1440"/>
        </w:tabs>
        <w:spacing w:before="100" w:line="288" w:lineRule="auto"/>
        <w:ind w:right="11"/>
        <w:rPr>
          <w:rFonts w:cstheme="minorHAnsi"/>
        </w:rPr>
      </w:pPr>
      <w:r w:rsidRPr="00516994">
        <w:rPr>
          <w:rFonts w:cstheme="minorHAnsi"/>
        </w:rPr>
        <w:lastRenderedPageBreak/>
        <w:t>The token charges for code generation for prepaid meters shall be Rs. 10/- per token or as decided by the Commission from time to time.</w:t>
      </w:r>
    </w:p>
    <w:p w:rsidR="00D555F2" w:rsidRPr="00516994" w:rsidRDefault="00D555F2" w:rsidP="00D555F2">
      <w:pPr>
        <w:tabs>
          <w:tab w:val="left" w:pos="720"/>
        </w:tabs>
        <w:spacing w:before="100" w:after="100"/>
        <w:ind w:left="720" w:right="-61"/>
        <w:rPr>
          <w:rFonts w:cs="Calibri"/>
          <w:b/>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CONSUMERS NOT COVERED UNDER ANY RATE SCHEDULE OR EXPRESSLY EXCLUDED FROM ANY CATEGORY:</w:t>
      </w:r>
    </w:p>
    <w:p w:rsidR="00D555F2" w:rsidRPr="00516994" w:rsidRDefault="00D555F2" w:rsidP="00D555F2">
      <w:pPr>
        <w:ind w:left="720"/>
        <w:rPr>
          <w:rFonts w:cs="Calibri"/>
        </w:rPr>
      </w:pPr>
      <w:r w:rsidRPr="00516994">
        <w:rPr>
          <w:rFonts w:cs="Calibri"/>
        </w:rPr>
        <w:t>For consumers of light, fan &amp; power (excluding motive power loads) not covered under any rate schedule or expressly excluded from any LMV rate schedule will be categorized under LMV-2.</w:t>
      </w:r>
    </w:p>
    <w:p w:rsidR="00D555F2" w:rsidRPr="00516994" w:rsidRDefault="00D555F2" w:rsidP="00D555F2">
      <w:pPr>
        <w:ind w:left="720"/>
        <w:rPr>
          <w:rFonts w:cs="Calibri"/>
        </w:rPr>
      </w:pPr>
    </w:p>
    <w:p w:rsidR="00D555F2" w:rsidRPr="00516994" w:rsidRDefault="00D555F2" w:rsidP="00D555F2">
      <w:pPr>
        <w:numPr>
          <w:ilvl w:val="3"/>
          <w:numId w:val="99"/>
        </w:numPr>
        <w:tabs>
          <w:tab w:val="left" w:pos="720"/>
        </w:tabs>
        <w:spacing w:before="100" w:after="100"/>
        <w:ind w:left="720" w:right="-61" w:hanging="720"/>
        <w:rPr>
          <w:rFonts w:cs="Calibri"/>
        </w:rPr>
      </w:pPr>
      <w:r w:rsidRPr="00516994">
        <w:rPr>
          <w:rFonts w:cs="Calibri"/>
        </w:rPr>
        <w:t>A consumer under metered category may undertake any extension work, in the same premises, on his existing connection without taking any temporary connection as long as his demand does not exceed his contracted demand and the consumer shall be billed in accordance with the tariff applicable to that category of consumer.</w:t>
      </w:r>
    </w:p>
    <w:p w:rsidR="00D555F2" w:rsidRPr="00516994" w:rsidRDefault="00D555F2" w:rsidP="00D555F2">
      <w:pPr>
        <w:ind w:left="705" w:hanging="705"/>
        <w:rPr>
          <w:rFonts w:cs="Calibri"/>
          <w:b/>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 xml:space="preserve">SOLAR WATER HEATER REBATE: </w:t>
      </w:r>
    </w:p>
    <w:p w:rsidR="00D555F2" w:rsidRPr="00516994" w:rsidRDefault="00D555F2" w:rsidP="00D555F2">
      <w:pPr>
        <w:ind w:left="720"/>
        <w:rPr>
          <w:rFonts w:cs="Calibri"/>
        </w:rPr>
      </w:pPr>
      <w:r w:rsidRPr="00516994">
        <w:rPr>
          <w:rFonts w:cs="Calibri"/>
        </w:rPr>
        <w:t>If consumer installs and uses solar water heating system of 100 litres or more, a rebate of Rs. 100 /- per month or actual bill for that month whichever is lower shall be given. The same shall be subject to the condition that consumer gives an affidavit to the licensee to the effect that he has installed such system and is in working condition, which the licensee shall be free to verify from time to time. If any such claim is found to be false, in addition to punitive legal action that may be taken against such consumer, the licensee will recover the total rebate allowed to the consumer with 100% penalty and debar him from availing such rebate for the next 12 months.</w:t>
      </w:r>
    </w:p>
    <w:p w:rsidR="00D555F2" w:rsidRPr="00516994" w:rsidRDefault="00D555F2" w:rsidP="00D555F2">
      <w:pPr>
        <w:rPr>
          <w:rFonts w:cs="Calibr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REBATE ON PAYMENT ON OR BEFORE DUE DATE:</w:t>
      </w:r>
    </w:p>
    <w:p w:rsidR="00D555F2" w:rsidRPr="00516994" w:rsidRDefault="00D555F2" w:rsidP="00D555F2">
      <w:pPr>
        <w:ind w:left="720"/>
        <w:rPr>
          <w:rFonts w:cs="Calibri"/>
        </w:rPr>
      </w:pPr>
      <w:r w:rsidRPr="00516994">
        <w:rPr>
          <w:rFonts w:cstheme="minorHAnsi"/>
        </w:rPr>
        <w:t>A rebate at 0.50% of Rate shall be given in case the payment is made on or before the due date. The consumers having any arrears in the bill shall not be entitled for this rebate. The consumers who have made advance deposit against their future monthly energy bills shall also be eligible for the above rebate applicable on Rate.</w:t>
      </w:r>
    </w:p>
    <w:p w:rsidR="00D555F2" w:rsidRPr="00516994" w:rsidRDefault="00D555F2" w:rsidP="00D555F2">
      <w:pPr>
        <w:ind w:left="720"/>
        <w:rPr>
          <w:rFonts w:cs="Calibr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lastRenderedPageBreak/>
        <w:t>REBATE TO CONSUMERS WHO SHIFT FROM UNMETERED TO METERED CONNECTION:</w:t>
      </w:r>
    </w:p>
    <w:p w:rsidR="00D555F2" w:rsidRPr="00516994" w:rsidRDefault="00D555F2" w:rsidP="00D555F2">
      <w:pPr>
        <w:pStyle w:val="ListParagraph"/>
        <w:keepNext/>
        <w:spacing w:before="100"/>
        <w:ind w:right="-58"/>
        <w:rPr>
          <w:rFonts w:cstheme="minorHAnsi"/>
        </w:rPr>
      </w:pPr>
      <w:r w:rsidRPr="00516994">
        <w:rPr>
          <w:rFonts w:cstheme="minorHAnsi"/>
        </w:rPr>
        <w:t>In case any rural consumer shifts from unmetered to metered category, he shall be entitled to rebate of 10% on Rate which shall be applicable from date of installation of meter till end of FY 2017-18.</w:t>
      </w:r>
    </w:p>
    <w:p w:rsidR="00D555F2" w:rsidRPr="00516994" w:rsidRDefault="00D555F2" w:rsidP="00D555F2">
      <w:pPr>
        <w:ind w:left="1440"/>
        <w:rPr>
          <w:rFonts w:cs="Calibri"/>
        </w:rPr>
      </w:pPr>
    </w:p>
    <w:p w:rsidR="00D555F2" w:rsidRPr="00516994" w:rsidRDefault="00D555F2" w:rsidP="00D555F2">
      <w:pPr>
        <w:numPr>
          <w:ilvl w:val="3"/>
          <w:numId w:val="99"/>
        </w:numPr>
        <w:tabs>
          <w:tab w:val="left" w:pos="720"/>
        </w:tabs>
        <w:spacing w:before="100" w:after="100"/>
        <w:ind w:left="720" w:right="-61" w:hanging="720"/>
        <w:rPr>
          <w:b/>
        </w:rPr>
      </w:pPr>
      <w:r w:rsidRPr="00516994">
        <w:rPr>
          <w:b/>
        </w:rPr>
        <w:t>SCHEME FOR ADVANCE DEPOSIT FOR FUTURE MONTHLY ENERGY BILLS:</w:t>
      </w:r>
    </w:p>
    <w:p w:rsidR="00D555F2" w:rsidRPr="00516994" w:rsidRDefault="00D555F2" w:rsidP="00D555F2">
      <w:pPr>
        <w:ind w:left="720"/>
        <w:rPr>
          <w:rFonts w:cs="Calibri"/>
        </w:rPr>
      </w:pPr>
      <w:r w:rsidRPr="00516994">
        <w:rPr>
          <w:rFonts w:cstheme="minorHAnsi"/>
        </w:rPr>
        <w:t>If a consumer intends to make advance deposit against his future monthly energy bills, the Licensee, shall accept such payment and this amount shall be adjusted only towards his future monthly energy bills. On such advance deposit the consumers shall be paid interest, at the interest rate applicable on security deposit, for the period during which advance exists for each month on reducing balance method and amount so accrued shall be adjusted in the electricity bills which shall be shown separately in the bill of each month. Further, quarterly report regarding the same must be submitted to the Commission.</w:t>
      </w:r>
    </w:p>
    <w:p w:rsidR="00D555F2" w:rsidRPr="00516994" w:rsidRDefault="00D555F2" w:rsidP="00D555F2">
      <w:pPr>
        <w:spacing w:line="240" w:lineRule="auto"/>
        <w:rPr>
          <w:rFonts w:cs="Calibri"/>
        </w:rPr>
      </w:pPr>
      <w:r w:rsidRPr="00516994">
        <w:rPr>
          <w:rFonts w:cs="Calibri"/>
        </w:rPr>
        <w:tab/>
      </w:r>
    </w:p>
    <w:p w:rsidR="00D555F2" w:rsidRDefault="00D555F2" w:rsidP="00D555F2">
      <w:pPr>
        <w:numPr>
          <w:ilvl w:val="3"/>
          <w:numId w:val="99"/>
        </w:numPr>
        <w:tabs>
          <w:tab w:val="left" w:pos="720"/>
        </w:tabs>
        <w:spacing w:before="100" w:after="100"/>
        <w:ind w:left="720" w:right="-61" w:hanging="720"/>
      </w:pPr>
      <w:r w:rsidRPr="00516994">
        <w:rPr>
          <w:b/>
        </w:rPr>
        <w:t>FACILITATION CHARGE FOR ONLINE PAYMENT:</w:t>
      </w:r>
    </w:p>
    <w:p w:rsidR="00D555F2" w:rsidRPr="00516994" w:rsidRDefault="00D555F2" w:rsidP="00D555F2">
      <w:pPr>
        <w:numPr>
          <w:ilvl w:val="0"/>
          <w:numId w:val="224"/>
        </w:numPr>
        <w:tabs>
          <w:tab w:val="clear" w:pos="1800"/>
        </w:tabs>
        <w:spacing w:before="100" w:line="288" w:lineRule="auto"/>
        <w:ind w:left="1418" w:right="11"/>
        <w:rPr>
          <w:rFonts w:cstheme="minorHAnsi"/>
        </w:rPr>
      </w:pPr>
      <w:r w:rsidRPr="00516994">
        <w:rPr>
          <w:rFonts w:cstheme="minorHAnsi"/>
        </w:rPr>
        <w:t>No transaction charge shall be collected from the consumers making their payment through internet banking.</w:t>
      </w:r>
    </w:p>
    <w:p w:rsidR="00D555F2" w:rsidRPr="00516994" w:rsidRDefault="00D555F2" w:rsidP="00D555F2">
      <w:pPr>
        <w:numPr>
          <w:ilvl w:val="0"/>
          <w:numId w:val="224"/>
        </w:numPr>
        <w:tabs>
          <w:tab w:val="clear" w:pos="1800"/>
        </w:tabs>
        <w:spacing w:before="100" w:line="288" w:lineRule="auto"/>
        <w:ind w:left="1440" w:right="11"/>
        <w:rPr>
          <w:rFonts w:cstheme="minorHAnsi"/>
        </w:rPr>
      </w:pPr>
      <w:r w:rsidRPr="00516994">
        <w:rPr>
          <w:rFonts w:cstheme="minorHAnsi"/>
        </w:rPr>
        <w:t xml:space="preserve">The Licensees shall bear the transaction charges for transactions up to Rs. 4,000 for payment of bill through internet using Credit Card / Debit Card. </w:t>
      </w:r>
    </w:p>
    <w:p w:rsidR="00D555F2" w:rsidRPr="00516994" w:rsidRDefault="00D555F2" w:rsidP="00D555F2">
      <w:pPr>
        <w:spacing w:line="240" w:lineRule="auto"/>
        <w:ind w:left="720"/>
        <w:rPr>
          <w:rFonts w:cs="Calibr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MINIMUM CHARGE:</w:t>
      </w:r>
    </w:p>
    <w:p w:rsidR="00D555F2" w:rsidRPr="00516994" w:rsidRDefault="00D555F2" w:rsidP="00D555F2">
      <w:pPr>
        <w:tabs>
          <w:tab w:val="left" w:pos="720"/>
        </w:tabs>
        <w:spacing w:before="100" w:after="100"/>
        <w:ind w:left="720" w:right="-61"/>
        <w:rPr>
          <w:rFonts w:cstheme="minorHAnsi"/>
        </w:rPr>
      </w:pPr>
      <w:r w:rsidRPr="00516994">
        <w:rPr>
          <w:rFonts w:cstheme="minorHAnsi"/>
        </w:rPr>
        <w:t>Minimum charge is the charge in accordance with the tariff in force from time to time and come into effect only when sum of fixed / demand charges and energy charges are less than a certain prescribed amount i.e. Minimum Charges. For each month, consumer will pay an amount that is higher of the following:</w:t>
      </w:r>
    </w:p>
    <w:p w:rsidR="00D555F2" w:rsidRPr="00516994" w:rsidRDefault="00D555F2" w:rsidP="00D555F2">
      <w:pPr>
        <w:pStyle w:val="ListParagraph"/>
        <w:numPr>
          <w:ilvl w:val="0"/>
          <w:numId w:val="101"/>
        </w:numPr>
        <w:tabs>
          <w:tab w:val="left" w:pos="720"/>
        </w:tabs>
        <w:spacing w:before="100" w:after="100"/>
        <w:ind w:right="-61"/>
        <w:rPr>
          <w:rFonts w:cstheme="minorHAnsi"/>
        </w:rPr>
      </w:pPr>
      <w:r w:rsidRPr="00516994">
        <w:rPr>
          <w:rFonts w:cstheme="minorHAnsi"/>
        </w:rPr>
        <w:t>Fixed / Demand charges plus Energy Charge on the basis of actual consumption for the month and additional charges such as Electricity Duty, Regulatory Surcharges, FPPCA Surcharges and any other charges as specified by the Commission from time to time.</w:t>
      </w:r>
    </w:p>
    <w:p w:rsidR="00D555F2" w:rsidRPr="00516994" w:rsidRDefault="00D555F2" w:rsidP="00D555F2">
      <w:pPr>
        <w:pStyle w:val="ListParagraph"/>
        <w:numPr>
          <w:ilvl w:val="0"/>
          <w:numId w:val="101"/>
        </w:numPr>
        <w:tabs>
          <w:tab w:val="left" w:pos="720"/>
        </w:tabs>
        <w:spacing w:before="100" w:after="100"/>
        <w:ind w:right="-61"/>
        <w:rPr>
          <w:rFonts w:cstheme="minorHAnsi"/>
        </w:rPr>
      </w:pPr>
      <w:r w:rsidRPr="00516994">
        <w:rPr>
          <w:rFonts w:cstheme="minorHAnsi"/>
        </w:rPr>
        <w:t xml:space="preserve">Monthly minimum charge as specified by the Commission and computed at the contracted load and additional charges such as Electricity Duty, </w:t>
      </w:r>
      <w:r w:rsidRPr="00516994">
        <w:rPr>
          <w:rFonts w:cstheme="minorHAnsi"/>
        </w:rPr>
        <w:lastRenderedPageBreak/>
        <w:t>Regulatory Surcharges, FPPCA Surcharges and any other charges as specified by the Commission from time to time.</w:t>
      </w:r>
    </w:p>
    <w:p w:rsidR="00D555F2" w:rsidRPr="00516994" w:rsidRDefault="00D555F2" w:rsidP="00D555F2">
      <w:pPr>
        <w:tabs>
          <w:tab w:val="left" w:pos="720"/>
        </w:tabs>
        <w:spacing w:before="100" w:after="100"/>
        <w:ind w:right="-61"/>
        <w:rPr>
          <w:rFonts w:cstheme="minorHAns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 xml:space="preserve">EXEMPTION FROM MINIMUM CHARGE FOR USING SOLAR POWER: </w:t>
      </w:r>
    </w:p>
    <w:p w:rsidR="00D555F2" w:rsidRPr="00516994" w:rsidRDefault="00D555F2" w:rsidP="00D555F2">
      <w:pPr>
        <w:ind w:left="720"/>
        <w:rPr>
          <w:rFonts w:cs="Calibri"/>
        </w:rPr>
      </w:pPr>
      <w:r w:rsidRPr="00516994">
        <w:rPr>
          <w:rFonts w:cs="Calibri"/>
        </w:rPr>
        <w:t xml:space="preserve">If a consumer under LMV-2 (Non domestic light, fan and power) category installs a rooftop solar plant under the provisions of </w:t>
      </w:r>
      <w:r w:rsidRPr="00516994">
        <w:t>UPERC (Rooftop Solar PV Grid Interactive Systems Gross / Net Metering) Regulations, 2015</w:t>
      </w:r>
      <w:r w:rsidRPr="00516994">
        <w:rPr>
          <w:rFonts w:cs="Calibri"/>
        </w:rPr>
        <w:t xml:space="preserve"> with maximum peak capacity of the grid connected rooftop solar PV system not exceeding 100% of the sanctioned connected load / contract demand of the consumer, then such consumer shall be exempted from payment of monthly minimum charges. Such exemption shall be in force till the time the solar plant remains fully operational.</w:t>
      </w:r>
    </w:p>
    <w:p w:rsidR="00D555F2" w:rsidRPr="00516994" w:rsidRDefault="00D555F2" w:rsidP="00D555F2">
      <w:pPr>
        <w:rPr>
          <w:rFonts w:cs="Calibri"/>
        </w:rPr>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INTEREST ON DUES PAYABLE TO CONSUMER BY THE LICENSEE:</w:t>
      </w:r>
    </w:p>
    <w:p w:rsidR="00D555F2" w:rsidRPr="00516994" w:rsidRDefault="00D555F2" w:rsidP="00D555F2">
      <w:pPr>
        <w:tabs>
          <w:tab w:val="left" w:pos="720"/>
        </w:tabs>
        <w:spacing w:before="100" w:after="100"/>
        <w:ind w:left="720" w:right="-61"/>
      </w:pPr>
      <w:r w:rsidRPr="00516994">
        <w:t>If a consumer becomes eligible for dues from the Licensee which may arise out of rectification / adjustment / settlement of bill(s), then such consumer will also be entitled to get interest at an interest rate applicable for interest on security deposits on all the dues payable by the Licensee to the consumer. The Licensee shall compute the interest amount for the period during which such pending amounts exists and adjust such interest towards the future monthly bills of consumers. After adjustment of the interest amount in a particular month, the balance amount, will be carried forward to next month for adjustment with interest on balance amount. The details of such interest amount and adjustment made during the month shall be shown separately in the bill. Further, separate accounting of interest paid must be maintained by the Licensees.</w:t>
      </w:r>
    </w:p>
    <w:p w:rsidR="00D555F2" w:rsidRPr="00516994" w:rsidRDefault="00D555F2" w:rsidP="00D555F2">
      <w:pPr>
        <w:tabs>
          <w:tab w:val="left" w:pos="720"/>
        </w:tabs>
        <w:spacing w:before="100" w:after="100"/>
        <w:ind w:left="720" w:right="-61"/>
      </w:pPr>
    </w:p>
    <w:p w:rsidR="00D555F2" w:rsidRPr="00516994" w:rsidRDefault="00D555F2" w:rsidP="00D555F2">
      <w:pPr>
        <w:numPr>
          <w:ilvl w:val="3"/>
          <w:numId w:val="99"/>
        </w:numPr>
        <w:tabs>
          <w:tab w:val="left" w:pos="720"/>
        </w:tabs>
        <w:spacing w:before="100" w:after="100"/>
        <w:ind w:left="720" w:right="-61" w:hanging="720"/>
        <w:rPr>
          <w:rFonts w:cs="Calibri"/>
          <w:b/>
        </w:rPr>
      </w:pPr>
      <w:r w:rsidRPr="00516994">
        <w:rPr>
          <w:rFonts w:cs="Calibri"/>
          <w:b/>
        </w:rPr>
        <w:t xml:space="preserve">DEFINITION OF RURAL SCHEDULE: </w:t>
      </w:r>
    </w:p>
    <w:p w:rsidR="00D555F2" w:rsidRDefault="00D555F2" w:rsidP="00D555F2">
      <w:pPr>
        <w:ind w:left="720"/>
        <w:rPr>
          <w:rFonts w:cs="Calibri"/>
        </w:rPr>
      </w:pPr>
      <w:r w:rsidRPr="00516994">
        <w:rPr>
          <w:rFonts w:cs="Calibri"/>
        </w:rPr>
        <w:t>Rural Schedule means supply schedule as defined and notified by State Load Despatch Centre (SLDC), Lucknow from time to time.</w:t>
      </w:r>
    </w:p>
    <w:p w:rsidR="00D555F2" w:rsidRDefault="00D555F2" w:rsidP="00D555F2">
      <w:pPr>
        <w:pStyle w:val="Heading2"/>
        <w:numPr>
          <w:ilvl w:val="1"/>
          <w:numId w:val="29"/>
        </w:numPr>
        <w:sectPr w:rsidR="00D555F2" w:rsidSect="006F02AD">
          <w:pgSz w:w="11909" w:h="16834"/>
          <w:pgMar w:top="1440" w:right="1440" w:bottom="1440" w:left="1800" w:header="720" w:footer="720" w:gutter="0"/>
          <w:pgNumType w:chapSep="colon"/>
          <w:cols w:space="720"/>
          <w:docGrid w:linePitch="326"/>
        </w:sectPr>
      </w:pPr>
    </w:p>
    <w:p w:rsidR="00D555F2" w:rsidRPr="00114531" w:rsidRDefault="00D555F2" w:rsidP="00D555F2">
      <w:pPr>
        <w:jc w:val="center"/>
        <w:rPr>
          <w:b/>
          <w:caps/>
          <w:u w:val="single"/>
        </w:rPr>
      </w:pPr>
      <w:r w:rsidRPr="00114531">
        <w:rPr>
          <w:b/>
          <w:caps/>
          <w:u w:val="single"/>
        </w:rPr>
        <w:lastRenderedPageBreak/>
        <w:t>Rate Schedule LMV – 1:</w:t>
      </w:r>
    </w:p>
    <w:p w:rsidR="00D555F2" w:rsidRPr="00114531" w:rsidRDefault="00D555F2" w:rsidP="00D555F2">
      <w:pPr>
        <w:jc w:val="center"/>
        <w:rPr>
          <w:b/>
          <w:caps/>
          <w:u w:val="single"/>
        </w:rPr>
      </w:pPr>
    </w:p>
    <w:p w:rsidR="00D555F2" w:rsidRPr="00114531" w:rsidRDefault="00D555F2" w:rsidP="00D555F2">
      <w:pPr>
        <w:ind w:left="2520" w:firstLine="360"/>
        <w:rPr>
          <w:b/>
        </w:rPr>
      </w:pPr>
      <w:r w:rsidRPr="00114531">
        <w:rPr>
          <w:b/>
        </w:rPr>
        <w:t>DOMESTIC LIGHT, FAN &amp; POWER:</w:t>
      </w:r>
    </w:p>
    <w:p w:rsidR="00D555F2" w:rsidRPr="00114531" w:rsidRDefault="00D555F2" w:rsidP="00D555F2">
      <w:pPr>
        <w:rPr>
          <w:b/>
        </w:rPr>
      </w:pPr>
      <w:r w:rsidRPr="00114531">
        <w:rPr>
          <w:b/>
        </w:rPr>
        <w:t>1.</w:t>
      </w:r>
      <w:r w:rsidRPr="00114531">
        <w:rPr>
          <w:b/>
        </w:rPr>
        <w:tab/>
        <w:t>APPLICABILITY:</w:t>
      </w:r>
    </w:p>
    <w:p w:rsidR="00D555F2" w:rsidRPr="00114531" w:rsidRDefault="00D555F2" w:rsidP="00D555F2">
      <w:pPr>
        <w:tabs>
          <w:tab w:val="left" w:pos="360"/>
        </w:tabs>
        <w:spacing w:before="100"/>
        <w:ind w:firstLine="360"/>
      </w:pPr>
      <w:r w:rsidRPr="00114531">
        <w:tab/>
        <w:t>This schedule shall apply to:</w:t>
      </w:r>
    </w:p>
    <w:p w:rsidR="00D555F2" w:rsidRPr="00114531" w:rsidRDefault="00D555F2" w:rsidP="00D555F2">
      <w:pPr>
        <w:numPr>
          <w:ilvl w:val="0"/>
          <w:numId w:val="86"/>
        </w:numPr>
        <w:spacing w:before="60" w:after="120" w:line="288" w:lineRule="auto"/>
        <w:ind w:left="1440" w:right="-58" w:hanging="720"/>
      </w:pPr>
      <w:r w:rsidRPr="00114531">
        <w:t>Premises for residential / domestic purpose, Accommodation for Paying Guests for Domestic purpose (Excluding Guest Houses), Janata Service Connections, Kutir Jyoti Connections, Jhuggi / Hutments, Places of Worship (e.g. Temples, Mosques, Gurudwaras, Churches) and Electric Crematoria.</w:t>
      </w:r>
    </w:p>
    <w:p w:rsidR="00D555F2" w:rsidRPr="00114531" w:rsidRDefault="00D555F2" w:rsidP="00D555F2">
      <w:pPr>
        <w:numPr>
          <w:ilvl w:val="0"/>
          <w:numId w:val="86"/>
        </w:numPr>
        <w:spacing w:before="100" w:after="120" w:line="288" w:lineRule="auto"/>
        <w:ind w:left="1440" w:right="-58" w:hanging="720"/>
      </w:pPr>
      <w:r w:rsidRPr="00114531">
        <w:t>Mixed Loads</w:t>
      </w:r>
    </w:p>
    <w:p w:rsidR="00D555F2" w:rsidRPr="00114531" w:rsidRDefault="00D555F2" w:rsidP="00D555F2">
      <w:pPr>
        <w:spacing w:before="100" w:after="120"/>
        <w:ind w:left="1440" w:right="-58"/>
        <w:rPr>
          <w:b/>
        </w:rPr>
      </w:pPr>
      <w:r w:rsidRPr="00114531">
        <w:rPr>
          <w:b/>
        </w:rPr>
        <w:t>i.</w:t>
      </w:r>
      <w:r w:rsidRPr="00114531">
        <w:rPr>
          <w:b/>
        </w:rPr>
        <w:tab/>
        <w:t xml:space="preserve">50 kW and above </w:t>
      </w:r>
    </w:p>
    <w:p w:rsidR="00D555F2" w:rsidRPr="00114531" w:rsidRDefault="00D555F2" w:rsidP="00D555F2">
      <w:pPr>
        <w:spacing w:before="100" w:after="120"/>
        <w:ind w:left="2160" w:right="-58" w:hanging="720"/>
      </w:pPr>
      <w:r w:rsidRPr="00114531">
        <w:t>a.</w:t>
      </w:r>
      <w:r w:rsidRPr="00114531">
        <w:tab/>
        <w:t xml:space="preserve">Registered Societies, Residential Colonies / Townships, Residential Multi-Storied Buildings with mixed loads (getting supply at single point) with the condition that at least 70% of the total contracted load shall be exclusively for the purposes of domestic light, fan and power. The above mixed load, within 70%, shall also include the load required for lifts, water pumps and common lighting, </w:t>
      </w:r>
    </w:p>
    <w:p w:rsidR="00D555F2" w:rsidRPr="00114531" w:rsidRDefault="00D555F2" w:rsidP="00D555F2">
      <w:pPr>
        <w:spacing w:before="100" w:after="120"/>
        <w:ind w:left="2160" w:right="-58" w:hanging="720"/>
      </w:pPr>
      <w:r w:rsidRPr="00114531">
        <w:t>b.</w:t>
      </w:r>
      <w:r w:rsidRPr="00114531">
        <w:tab/>
        <w:t xml:space="preserve">Military Engineer Service (MES) for Defence Establishments (Mixed load without any load restriction).   </w:t>
      </w:r>
    </w:p>
    <w:p w:rsidR="00D555F2" w:rsidRPr="00114531" w:rsidRDefault="00D555F2" w:rsidP="00D555F2">
      <w:pPr>
        <w:numPr>
          <w:ilvl w:val="0"/>
          <w:numId w:val="88"/>
        </w:numPr>
        <w:tabs>
          <w:tab w:val="num" w:pos="2160"/>
        </w:tabs>
        <w:spacing w:before="100" w:after="120" w:line="288" w:lineRule="auto"/>
        <w:ind w:left="2160" w:right="-58"/>
      </w:pPr>
      <w:r w:rsidRPr="00114531">
        <w:rPr>
          <w:b/>
        </w:rPr>
        <w:t>Less than 50 kW</w:t>
      </w:r>
    </w:p>
    <w:p w:rsidR="00D555F2" w:rsidRPr="00114531" w:rsidRDefault="00D555F2" w:rsidP="00D555F2">
      <w:pPr>
        <w:spacing w:before="100" w:after="120"/>
        <w:ind w:left="2160" w:right="-58"/>
      </w:pPr>
      <w:r w:rsidRPr="00114531">
        <w:t xml:space="preserve">Except for the case as specified in Regulation 3.3 (e) of Electricity Supply Code, 2005 as amended from time to time, if any portion of the load is utilized for conduct of business for non-domestic purposes then the entire energy consumed shall be charged under the rate schedule of higher charge </w:t>
      </w:r>
    </w:p>
    <w:p w:rsidR="00D555F2" w:rsidRPr="00114531" w:rsidRDefault="00D555F2" w:rsidP="00D555F2">
      <w:pPr>
        <w:rPr>
          <w:b/>
        </w:rPr>
      </w:pPr>
    </w:p>
    <w:p w:rsidR="00D555F2" w:rsidRPr="00114531" w:rsidRDefault="00D555F2" w:rsidP="00D555F2">
      <w:pPr>
        <w:rPr>
          <w:b/>
        </w:rPr>
      </w:pPr>
      <w:r w:rsidRPr="00114531">
        <w:rPr>
          <w:b/>
        </w:rPr>
        <w:t>2.</w:t>
      </w:r>
      <w:r w:rsidRPr="00114531">
        <w:rPr>
          <w:b/>
        </w:rPr>
        <w:tab/>
        <w:t xml:space="preserve">CHARACTER AND POINT OF SUPPLY: </w:t>
      </w:r>
    </w:p>
    <w:p w:rsidR="00D555F2" w:rsidRPr="00114531" w:rsidRDefault="00D555F2" w:rsidP="00D555F2">
      <w:pPr>
        <w:spacing w:line="240" w:lineRule="auto"/>
        <w:ind w:left="360" w:right="-58" w:firstLine="360"/>
        <w:rPr>
          <w:rFonts w:cs="Arial"/>
        </w:rPr>
      </w:pPr>
      <w:r w:rsidRPr="00114531">
        <w:t>As per the applicable provisions of Electricity Supply Code.</w:t>
      </w:r>
    </w:p>
    <w:p w:rsidR="00D555F2" w:rsidRPr="00114531" w:rsidRDefault="00D555F2" w:rsidP="00D555F2">
      <w:pPr>
        <w:spacing w:line="240" w:lineRule="auto"/>
        <w:rPr>
          <w:b/>
        </w:rPr>
      </w:pPr>
      <w:r w:rsidRPr="00114531">
        <w:rPr>
          <w:b/>
        </w:rPr>
        <w:br w:type="page"/>
      </w:r>
    </w:p>
    <w:p w:rsidR="00D555F2" w:rsidRPr="00114531" w:rsidRDefault="00D555F2" w:rsidP="00D555F2">
      <w:pPr>
        <w:rPr>
          <w:b/>
        </w:rPr>
      </w:pPr>
      <w:r w:rsidRPr="00114531">
        <w:rPr>
          <w:b/>
        </w:rPr>
        <w:lastRenderedPageBreak/>
        <w:t>3.</w:t>
      </w:r>
      <w:r w:rsidRPr="00114531">
        <w:rPr>
          <w:b/>
        </w:rPr>
        <w:tab/>
        <w:t>RATE:</w:t>
      </w:r>
    </w:p>
    <w:p w:rsidR="00D555F2" w:rsidRPr="00114531" w:rsidRDefault="00D555F2" w:rsidP="00D555F2">
      <w:pPr>
        <w:spacing w:line="240" w:lineRule="auto"/>
        <w:ind w:left="360" w:right="-58"/>
      </w:pPr>
      <w:r w:rsidRPr="00114531">
        <w:t>Rate, gives the fixed and energy charges at which the consumer shall be billed for his consumption during the billing period applicable to the category:</w:t>
      </w:r>
    </w:p>
    <w:p w:rsidR="00D555F2" w:rsidRPr="00114531" w:rsidRDefault="00D555F2" w:rsidP="00D555F2">
      <w:pPr>
        <w:spacing w:after="120"/>
        <w:ind w:left="360"/>
        <w:rPr>
          <w:rFonts w:cs="Arial"/>
          <w:b/>
          <w:bCs/>
        </w:rPr>
      </w:pPr>
    </w:p>
    <w:p w:rsidR="00D555F2" w:rsidRPr="00114531" w:rsidRDefault="00D555F2" w:rsidP="00D555F2">
      <w:pPr>
        <w:spacing w:after="120"/>
        <w:ind w:left="360"/>
      </w:pPr>
      <w:r w:rsidRPr="00114531">
        <w:rPr>
          <w:rFonts w:cs="Arial"/>
          <w:b/>
          <w:bCs/>
        </w:rPr>
        <w:t>(a) Consumers getting supply as per ‘Rural Schedule’:</w:t>
      </w:r>
    </w:p>
    <w:tbl>
      <w:tblPr>
        <w:tblW w:w="7786" w:type="dxa"/>
        <w:jc w:val="center"/>
        <w:tblInd w:w="480" w:type="dxa"/>
        <w:tblLayout w:type="fixed"/>
        <w:tblCellMar>
          <w:left w:w="30" w:type="dxa"/>
          <w:right w:w="30" w:type="dxa"/>
        </w:tblCellMar>
        <w:tblLook w:val="0000"/>
      </w:tblPr>
      <w:tblGrid>
        <w:gridCol w:w="1664"/>
        <w:gridCol w:w="1851"/>
        <w:gridCol w:w="1841"/>
        <w:gridCol w:w="2430"/>
      </w:tblGrid>
      <w:tr w:rsidR="00D555F2" w:rsidRPr="00114531" w:rsidTr="00BB5A5A">
        <w:trPr>
          <w:cantSplit/>
          <w:trHeight w:val="282"/>
          <w:tblHeader/>
          <w:jc w:val="center"/>
        </w:trPr>
        <w:tc>
          <w:tcPr>
            <w:tcW w:w="1664" w:type="dxa"/>
            <w:tcBorders>
              <w:top w:val="single" w:sz="6" w:space="0" w:color="auto"/>
              <w:left w:val="single" w:sz="6" w:space="0" w:color="auto"/>
              <w:bottom w:val="single" w:sz="4" w:space="0" w:color="auto"/>
            </w:tcBorders>
            <w:shd w:val="clear" w:color="auto" w:fill="DBE5F1" w:themeFill="accent1" w:themeFillTint="33"/>
          </w:tcPr>
          <w:p w:rsidR="00D555F2" w:rsidRPr="00114531" w:rsidRDefault="00D555F2" w:rsidP="00BB5A5A">
            <w:pPr>
              <w:spacing w:line="240" w:lineRule="auto"/>
              <w:jc w:val="center"/>
              <w:rPr>
                <w:rFonts w:cs="Arial"/>
                <w:b/>
                <w:color w:val="000000"/>
              </w:rPr>
            </w:pPr>
            <w:r w:rsidRPr="00114531">
              <w:rPr>
                <w:rFonts w:cs="Arial"/>
                <w:b/>
                <w:color w:val="000000"/>
              </w:rPr>
              <w:t>Description</w:t>
            </w:r>
          </w:p>
        </w:tc>
        <w:tc>
          <w:tcPr>
            <w:tcW w:w="1851" w:type="dxa"/>
            <w:tcBorders>
              <w:top w:val="single" w:sz="4" w:space="0" w:color="auto"/>
              <w:left w:val="single" w:sz="4" w:space="0" w:color="auto"/>
              <w:bottom w:val="single" w:sz="4" w:space="0" w:color="auto"/>
            </w:tcBorders>
            <w:shd w:val="clear" w:color="auto" w:fill="DBE5F1" w:themeFill="accent1" w:themeFillTint="33"/>
          </w:tcPr>
          <w:p w:rsidR="00D555F2" w:rsidRPr="00114531" w:rsidRDefault="00D555F2" w:rsidP="00BB5A5A">
            <w:pPr>
              <w:spacing w:line="240" w:lineRule="auto"/>
              <w:jc w:val="center"/>
              <w:rPr>
                <w:rFonts w:cs="Arial"/>
                <w:b/>
                <w:color w:val="000000"/>
              </w:rPr>
            </w:pPr>
            <w:r w:rsidRPr="00114531">
              <w:rPr>
                <w:rFonts w:cs="Arial"/>
                <w:b/>
                <w:color w:val="000000"/>
              </w:rPr>
              <w:t>Description</w:t>
            </w:r>
          </w:p>
        </w:tc>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55F2" w:rsidRPr="00114531" w:rsidRDefault="00D555F2" w:rsidP="00BB5A5A">
            <w:pPr>
              <w:spacing w:line="240" w:lineRule="auto"/>
              <w:jc w:val="center"/>
              <w:rPr>
                <w:rFonts w:cs="Arial"/>
                <w:b/>
                <w:color w:val="000000"/>
              </w:rPr>
            </w:pPr>
            <w:r w:rsidRPr="00114531">
              <w:rPr>
                <w:rFonts w:cs="Arial"/>
                <w:b/>
                <w:color w:val="000000"/>
              </w:rPr>
              <w:t>Fixed charge</w:t>
            </w:r>
          </w:p>
        </w:tc>
        <w:tc>
          <w:tcPr>
            <w:tcW w:w="24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555F2" w:rsidRPr="00114531" w:rsidRDefault="00D555F2" w:rsidP="00BB5A5A">
            <w:pPr>
              <w:spacing w:line="240" w:lineRule="auto"/>
              <w:jc w:val="center"/>
              <w:rPr>
                <w:rFonts w:cs="Arial"/>
                <w:b/>
                <w:color w:val="000000"/>
              </w:rPr>
            </w:pPr>
            <w:r w:rsidRPr="00114531">
              <w:rPr>
                <w:rFonts w:cs="Arial"/>
                <w:b/>
                <w:color w:val="000000"/>
              </w:rPr>
              <w:t>Energy charge)</w:t>
            </w:r>
          </w:p>
        </w:tc>
      </w:tr>
      <w:tr w:rsidR="00D555F2" w:rsidRPr="00114531" w:rsidTr="00BB5A5A">
        <w:trPr>
          <w:cantSplit/>
          <w:trHeight w:val="257"/>
          <w:jc w:val="center"/>
        </w:trPr>
        <w:tc>
          <w:tcPr>
            <w:tcW w:w="1664" w:type="dxa"/>
            <w:vMerge w:val="restart"/>
            <w:tcBorders>
              <w:top w:val="single" w:sz="4" w:space="0" w:color="auto"/>
              <w:left w:val="single" w:sz="6" w:space="0" w:color="auto"/>
            </w:tcBorders>
            <w:vAlign w:val="center"/>
          </w:tcPr>
          <w:p w:rsidR="00D555F2" w:rsidRPr="00114531" w:rsidRDefault="00D555F2" w:rsidP="00BB5A5A">
            <w:pPr>
              <w:spacing w:line="240" w:lineRule="auto"/>
              <w:rPr>
                <w:rFonts w:cs="Arial"/>
                <w:bCs/>
                <w:color w:val="000000"/>
              </w:rPr>
            </w:pPr>
            <w:r w:rsidRPr="00114531">
              <w:rPr>
                <w:rFonts w:cs="Arial"/>
                <w:bCs/>
                <w:color w:val="000000"/>
              </w:rPr>
              <w:t xml:space="preserve">i) Un-metered </w:t>
            </w:r>
          </w:p>
        </w:tc>
        <w:tc>
          <w:tcPr>
            <w:tcW w:w="1851" w:type="dxa"/>
            <w:tcBorders>
              <w:top w:val="single" w:sz="4" w:space="0" w:color="auto"/>
              <w:left w:val="single" w:sz="4" w:space="0" w:color="auto"/>
              <w:bottom w:val="single" w:sz="4" w:space="0" w:color="auto"/>
            </w:tcBorders>
          </w:tcPr>
          <w:p w:rsidR="00D555F2" w:rsidRPr="00114531" w:rsidRDefault="00D555F2" w:rsidP="00BB5A5A">
            <w:pPr>
              <w:spacing w:line="240" w:lineRule="auto"/>
              <w:jc w:val="center"/>
              <w:rPr>
                <w:rFonts w:cs="Arial"/>
                <w:color w:val="000000"/>
              </w:rPr>
            </w:pPr>
            <w:r w:rsidRPr="00114531">
              <w:rPr>
                <w:rFonts w:cs="Arial"/>
                <w:color w:val="000000"/>
              </w:rPr>
              <w:t>Load up to 2 kW</w:t>
            </w:r>
          </w:p>
        </w:tc>
        <w:tc>
          <w:tcPr>
            <w:tcW w:w="1841" w:type="dxa"/>
            <w:tcBorders>
              <w:top w:val="single" w:sz="4" w:space="0" w:color="auto"/>
              <w:left w:val="single" w:sz="4" w:space="0" w:color="auto"/>
              <w:bottom w:val="single" w:sz="4" w:space="0" w:color="auto"/>
              <w:right w:val="single" w:sz="4" w:space="0" w:color="auto"/>
            </w:tcBorders>
          </w:tcPr>
          <w:p w:rsidR="00D555F2" w:rsidRPr="00114531" w:rsidRDefault="00D555F2" w:rsidP="00BB5A5A">
            <w:pPr>
              <w:spacing w:line="240" w:lineRule="auto"/>
              <w:jc w:val="center"/>
              <w:rPr>
                <w:rFonts w:cs="Arial"/>
                <w:color w:val="000000"/>
              </w:rPr>
            </w:pPr>
            <w:r w:rsidRPr="00114531">
              <w:rPr>
                <w:rFonts w:cs="Arial"/>
                <w:color w:val="000000"/>
              </w:rPr>
              <w:t>Rs. 180 / kW / month</w:t>
            </w:r>
          </w:p>
        </w:tc>
        <w:tc>
          <w:tcPr>
            <w:tcW w:w="2430" w:type="dxa"/>
            <w:tcBorders>
              <w:top w:val="single" w:sz="4" w:space="0" w:color="auto"/>
              <w:left w:val="single" w:sz="4" w:space="0" w:color="auto"/>
              <w:bottom w:val="single" w:sz="4" w:space="0" w:color="auto"/>
              <w:right w:val="single" w:sz="4" w:space="0" w:color="auto"/>
            </w:tcBorders>
          </w:tcPr>
          <w:p w:rsidR="00D555F2" w:rsidRPr="00114531" w:rsidRDefault="00D555F2" w:rsidP="00BB5A5A">
            <w:pPr>
              <w:spacing w:line="240" w:lineRule="auto"/>
              <w:jc w:val="center"/>
              <w:rPr>
                <w:rFonts w:cs="Arial"/>
                <w:color w:val="000000"/>
              </w:rPr>
            </w:pPr>
            <w:r w:rsidRPr="00114531">
              <w:rPr>
                <w:rFonts w:cs="Arial"/>
                <w:color w:val="000000"/>
              </w:rPr>
              <w:t>Nil</w:t>
            </w:r>
          </w:p>
        </w:tc>
      </w:tr>
      <w:tr w:rsidR="00D555F2" w:rsidRPr="00114531" w:rsidTr="00BB5A5A">
        <w:trPr>
          <w:cantSplit/>
          <w:trHeight w:val="257"/>
          <w:jc w:val="center"/>
        </w:trPr>
        <w:tc>
          <w:tcPr>
            <w:tcW w:w="1664" w:type="dxa"/>
            <w:vMerge/>
            <w:tcBorders>
              <w:left w:val="single" w:sz="6" w:space="0" w:color="auto"/>
              <w:bottom w:val="single" w:sz="6" w:space="0" w:color="auto"/>
            </w:tcBorders>
          </w:tcPr>
          <w:p w:rsidR="00D555F2" w:rsidRPr="00114531" w:rsidRDefault="00D555F2" w:rsidP="00BB5A5A">
            <w:pPr>
              <w:spacing w:line="240" w:lineRule="auto"/>
              <w:rPr>
                <w:rFonts w:cs="Arial"/>
                <w:bCs/>
                <w:color w:val="000000"/>
              </w:rPr>
            </w:pPr>
          </w:p>
        </w:tc>
        <w:tc>
          <w:tcPr>
            <w:tcW w:w="1851" w:type="dxa"/>
            <w:tcBorders>
              <w:top w:val="single" w:sz="4" w:space="0" w:color="auto"/>
              <w:left w:val="single" w:sz="4" w:space="0" w:color="auto"/>
              <w:bottom w:val="single" w:sz="4" w:space="0" w:color="auto"/>
            </w:tcBorders>
          </w:tcPr>
          <w:p w:rsidR="00D555F2" w:rsidRPr="00114531" w:rsidRDefault="00D555F2" w:rsidP="00BB5A5A">
            <w:pPr>
              <w:spacing w:line="240" w:lineRule="auto"/>
              <w:jc w:val="center"/>
              <w:rPr>
                <w:rFonts w:cs="Arial"/>
                <w:color w:val="000000"/>
              </w:rPr>
            </w:pPr>
            <w:r w:rsidRPr="00114531">
              <w:rPr>
                <w:rFonts w:cs="Arial"/>
                <w:color w:val="000000"/>
              </w:rPr>
              <w:t>Load above 2 kW</w:t>
            </w:r>
          </w:p>
        </w:tc>
        <w:tc>
          <w:tcPr>
            <w:tcW w:w="1841" w:type="dxa"/>
            <w:tcBorders>
              <w:top w:val="single" w:sz="4" w:space="0" w:color="auto"/>
              <w:left w:val="single" w:sz="4" w:space="0" w:color="auto"/>
              <w:bottom w:val="single" w:sz="4" w:space="0" w:color="auto"/>
              <w:right w:val="single" w:sz="4" w:space="0" w:color="auto"/>
            </w:tcBorders>
          </w:tcPr>
          <w:p w:rsidR="00D555F2" w:rsidRPr="00114531" w:rsidRDefault="00D555F2" w:rsidP="00BB5A5A">
            <w:pPr>
              <w:spacing w:line="240" w:lineRule="auto"/>
              <w:jc w:val="center"/>
              <w:rPr>
                <w:rFonts w:cs="Arial"/>
                <w:color w:val="000000"/>
              </w:rPr>
            </w:pPr>
            <w:r w:rsidRPr="00114531">
              <w:rPr>
                <w:rFonts w:cs="Arial"/>
                <w:color w:val="000000"/>
              </w:rPr>
              <w:t>Rs. 200 / kW / month</w:t>
            </w:r>
          </w:p>
        </w:tc>
        <w:tc>
          <w:tcPr>
            <w:tcW w:w="2430" w:type="dxa"/>
            <w:tcBorders>
              <w:top w:val="single" w:sz="4" w:space="0" w:color="auto"/>
              <w:left w:val="single" w:sz="4" w:space="0" w:color="auto"/>
              <w:bottom w:val="single" w:sz="4" w:space="0" w:color="auto"/>
              <w:right w:val="single" w:sz="4" w:space="0" w:color="auto"/>
            </w:tcBorders>
          </w:tcPr>
          <w:p w:rsidR="00D555F2" w:rsidRPr="00114531" w:rsidRDefault="00D555F2" w:rsidP="00BB5A5A">
            <w:pPr>
              <w:spacing w:line="240" w:lineRule="auto"/>
              <w:jc w:val="center"/>
              <w:rPr>
                <w:rFonts w:cs="Arial"/>
                <w:color w:val="000000"/>
              </w:rPr>
            </w:pPr>
            <w:r w:rsidRPr="00114531">
              <w:rPr>
                <w:rFonts w:cs="Arial"/>
                <w:color w:val="000000"/>
              </w:rPr>
              <w:t>Nil</w:t>
            </w:r>
          </w:p>
        </w:tc>
      </w:tr>
      <w:tr w:rsidR="00D555F2" w:rsidRPr="00114531" w:rsidTr="00BB5A5A">
        <w:trPr>
          <w:cantSplit/>
          <w:trHeight w:val="275"/>
          <w:jc w:val="center"/>
        </w:trPr>
        <w:tc>
          <w:tcPr>
            <w:tcW w:w="1664" w:type="dxa"/>
            <w:tcBorders>
              <w:top w:val="single" w:sz="6" w:space="0" w:color="auto"/>
              <w:left w:val="single" w:sz="6" w:space="0" w:color="auto"/>
              <w:bottom w:val="single" w:sz="6" w:space="0" w:color="auto"/>
            </w:tcBorders>
          </w:tcPr>
          <w:p w:rsidR="00D555F2" w:rsidRPr="00114531" w:rsidRDefault="00D555F2" w:rsidP="00BB5A5A">
            <w:pPr>
              <w:spacing w:line="240" w:lineRule="auto"/>
              <w:rPr>
                <w:rFonts w:cs="Arial"/>
                <w:bCs/>
                <w:color w:val="000000"/>
              </w:rPr>
            </w:pPr>
            <w:r w:rsidRPr="00114531">
              <w:rPr>
                <w:rFonts w:cs="Arial"/>
                <w:bCs/>
              </w:rPr>
              <w:t xml:space="preserve"> ii) Metered </w:t>
            </w:r>
          </w:p>
        </w:tc>
        <w:tc>
          <w:tcPr>
            <w:tcW w:w="1851" w:type="dxa"/>
            <w:tcBorders>
              <w:top w:val="single" w:sz="4" w:space="0" w:color="auto"/>
              <w:left w:val="single" w:sz="4" w:space="0" w:color="auto"/>
              <w:bottom w:val="single" w:sz="4" w:space="0" w:color="auto"/>
            </w:tcBorders>
          </w:tcPr>
          <w:p w:rsidR="00D555F2" w:rsidRPr="00114531" w:rsidRDefault="00D555F2" w:rsidP="00BB5A5A">
            <w:pPr>
              <w:spacing w:line="240" w:lineRule="auto"/>
              <w:jc w:val="center"/>
              <w:rPr>
                <w:color w:val="000000"/>
              </w:rPr>
            </w:pPr>
            <w:r w:rsidRPr="00114531">
              <w:rPr>
                <w:color w:val="000000"/>
              </w:rPr>
              <w:t>All Load</w:t>
            </w:r>
          </w:p>
        </w:tc>
        <w:tc>
          <w:tcPr>
            <w:tcW w:w="1841" w:type="dxa"/>
            <w:tcBorders>
              <w:top w:val="single" w:sz="4" w:space="0" w:color="auto"/>
              <w:left w:val="single" w:sz="4" w:space="0" w:color="auto"/>
              <w:bottom w:val="single" w:sz="4" w:space="0" w:color="auto"/>
              <w:right w:val="single" w:sz="4" w:space="0" w:color="auto"/>
            </w:tcBorders>
          </w:tcPr>
          <w:p w:rsidR="00D555F2" w:rsidRPr="00114531" w:rsidRDefault="00D555F2" w:rsidP="00BB5A5A">
            <w:pPr>
              <w:spacing w:line="240" w:lineRule="auto"/>
              <w:jc w:val="center"/>
              <w:rPr>
                <w:rFonts w:cs="Arial"/>
                <w:color w:val="000000"/>
              </w:rPr>
            </w:pPr>
            <w:r w:rsidRPr="00114531">
              <w:rPr>
                <w:color w:val="000000"/>
              </w:rPr>
              <w:t xml:space="preserve">Rs. </w:t>
            </w:r>
            <w:r w:rsidRPr="00114531">
              <w:t xml:space="preserve">50 </w:t>
            </w:r>
            <w:r w:rsidRPr="00114531">
              <w:rPr>
                <w:color w:val="000000"/>
              </w:rPr>
              <w:t>/ kW / month</w:t>
            </w:r>
          </w:p>
        </w:tc>
        <w:tc>
          <w:tcPr>
            <w:tcW w:w="2430" w:type="dxa"/>
            <w:tcBorders>
              <w:top w:val="single" w:sz="4" w:space="0" w:color="auto"/>
              <w:left w:val="single" w:sz="4" w:space="0" w:color="auto"/>
              <w:bottom w:val="single" w:sz="4" w:space="0" w:color="auto"/>
              <w:right w:val="single" w:sz="4" w:space="0" w:color="auto"/>
            </w:tcBorders>
          </w:tcPr>
          <w:p w:rsidR="00D555F2" w:rsidRPr="00114531" w:rsidRDefault="00D555F2" w:rsidP="00BB5A5A">
            <w:pPr>
              <w:spacing w:line="240" w:lineRule="auto"/>
              <w:jc w:val="center"/>
              <w:rPr>
                <w:rFonts w:cs="Arial"/>
                <w:color w:val="000000"/>
              </w:rPr>
            </w:pPr>
            <w:r w:rsidRPr="00114531">
              <w:rPr>
                <w:rFonts w:cs="Arial"/>
                <w:color w:val="000000"/>
              </w:rPr>
              <w:t>Rs. 2.20 / kWh</w:t>
            </w:r>
          </w:p>
        </w:tc>
      </w:tr>
    </w:tbl>
    <w:p w:rsidR="00D555F2" w:rsidRDefault="00D555F2" w:rsidP="00D555F2">
      <w:pPr>
        <w:rPr>
          <w:rFonts w:cs="Calibri"/>
        </w:rPr>
      </w:pPr>
    </w:p>
    <w:p w:rsidR="00D555F2" w:rsidRPr="00114531" w:rsidRDefault="00D555F2" w:rsidP="00D555F2">
      <w:pPr>
        <w:ind w:left="426"/>
        <w:rPr>
          <w:rFonts w:cs="Arial"/>
          <w:b/>
          <w:bCs/>
        </w:rPr>
      </w:pPr>
      <w:r w:rsidRPr="00114531">
        <w:rPr>
          <w:rFonts w:cs="Calibri"/>
        </w:rPr>
        <w:t xml:space="preserve"> </w:t>
      </w:r>
      <w:r w:rsidRPr="00114531">
        <w:rPr>
          <w:rFonts w:cs="Arial"/>
          <w:b/>
          <w:bCs/>
        </w:rPr>
        <w:t>(b) Supply at Single Point for bulk loads (50 kW and above, Supplied at any Voltage):</w:t>
      </w:r>
    </w:p>
    <w:tbl>
      <w:tblPr>
        <w:tblW w:w="0" w:type="auto"/>
        <w:tblInd w:w="480" w:type="dxa"/>
        <w:tblLayout w:type="fixed"/>
        <w:tblCellMar>
          <w:left w:w="30" w:type="dxa"/>
          <w:right w:w="30" w:type="dxa"/>
        </w:tblCellMar>
        <w:tblLook w:val="0000"/>
      </w:tblPr>
      <w:tblGrid>
        <w:gridCol w:w="4370"/>
        <w:gridCol w:w="1955"/>
        <w:gridCol w:w="1955"/>
      </w:tblGrid>
      <w:tr w:rsidR="00D555F2" w:rsidRPr="00114531" w:rsidTr="00BB5A5A">
        <w:trPr>
          <w:cantSplit/>
          <w:trHeight w:val="199"/>
          <w:tblHeader/>
        </w:trPr>
        <w:tc>
          <w:tcPr>
            <w:tcW w:w="4370" w:type="dxa"/>
            <w:tcBorders>
              <w:top w:val="single" w:sz="4" w:space="0" w:color="auto"/>
              <w:left w:val="single" w:sz="6" w:space="0" w:color="auto"/>
              <w:bottom w:val="single" w:sz="6" w:space="0" w:color="auto"/>
              <w:right w:val="single" w:sz="4" w:space="0" w:color="auto"/>
            </w:tcBorders>
            <w:shd w:val="clear" w:color="auto" w:fill="DBE5F1" w:themeFill="accent1" w:themeFillTint="33"/>
          </w:tcPr>
          <w:p w:rsidR="00D555F2" w:rsidRPr="00114531" w:rsidRDefault="00D555F2" w:rsidP="00BB5A5A">
            <w:pPr>
              <w:spacing w:line="240" w:lineRule="auto"/>
              <w:jc w:val="center"/>
              <w:rPr>
                <w:rFonts w:cs="Arial"/>
                <w:b/>
                <w:bCs/>
              </w:rPr>
            </w:pPr>
            <w:r w:rsidRPr="00114531">
              <w:rPr>
                <w:rFonts w:cs="Arial"/>
                <w:b/>
                <w:bCs/>
              </w:rPr>
              <w:t>Description</w:t>
            </w:r>
          </w:p>
        </w:tc>
        <w:tc>
          <w:tcPr>
            <w:tcW w:w="1955" w:type="dxa"/>
            <w:tcBorders>
              <w:top w:val="single" w:sz="4" w:space="0" w:color="auto"/>
              <w:left w:val="single" w:sz="4" w:space="0" w:color="auto"/>
              <w:bottom w:val="single" w:sz="6" w:space="0" w:color="auto"/>
              <w:right w:val="single" w:sz="4" w:space="0" w:color="auto"/>
            </w:tcBorders>
            <w:shd w:val="clear" w:color="auto" w:fill="DBE5F1" w:themeFill="accent1" w:themeFillTint="33"/>
          </w:tcPr>
          <w:p w:rsidR="00D555F2" w:rsidRPr="00114531" w:rsidRDefault="00D555F2" w:rsidP="00BB5A5A">
            <w:pPr>
              <w:spacing w:line="240" w:lineRule="auto"/>
              <w:jc w:val="center"/>
              <w:rPr>
                <w:rFonts w:cs="Arial"/>
                <w:b/>
                <w:bCs/>
              </w:rPr>
            </w:pPr>
            <w:r w:rsidRPr="00114531">
              <w:rPr>
                <w:rFonts w:cs="Arial"/>
                <w:b/>
                <w:bCs/>
              </w:rPr>
              <w:t>Fixed Charge</w:t>
            </w:r>
          </w:p>
        </w:tc>
        <w:tc>
          <w:tcPr>
            <w:tcW w:w="1955" w:type="dxa"/>
            <w:tcBorders>
              <w:top w:val="single" w:sz="4" w:space="0" w:color="auto"/>
              <w:left w:val="single" w:sz="4" w:space="0" w:color="auto"/>
              <w:bottom w:val="single" w:sz="6" w:space="0" w:color="auto"/>
              <w:right w:val="single" w:sz="4" w:space="0" w:color="auto"/>
            </w:tcBorders>
            <w:shd w:val="clear" w:color="auto" w:fill="DBE5F1" w:themeFill="accent1" w:themeFillTint="33"/>
          </w:tcPr>
          <w:p w:rsidR="00D555F2" w:rsidRPr="00114531" w:rsidRDefault="00D555F2" w:rsidP="00BB5A5A">
            <w:pPr>
              <w:spacing w:line="240" w:lineRule="auto"/>
              <w:jc w:val="center"/>
              <w:rPr>
                <w:rFonts w:cs="Arial"/>
                <w:b/>
                <w:bCs/>
              </w:rPr>
            </w:pPr>
            <w:r w:rsidRPr="00114531">
              <w:rPr>
                <w:rFonts w:cs="Arial"/>
                <w:b/>
                <w:bCs/>
              </w:rPr>
              <w:t xml:space="preserve">Energy Charge </w:t>
            </w:r>
          </w:p>
        </w:tc>
      </w:tr>
      <w:tr w:rsidR="00D555F2" w:rsidRPr="00114531" w:rsidTr="00BB5A5A">
        <w:trPr>
          <w:cantSplit/>
          <w:trHeight w:val="1398"/>
        </w:trPr>
        <w:tc>
          <w:tcPr>
            <w:tcW w:w="4370" w:type="dxa"/>
            <w:tcBorders>
              <w:top w:val="single" w:sz="6" w:space="0" w:color="auto"/>
              <w:left w:val="single" w:sz="6" w:space="0" w:color="auto"/>
              <w:bottom w:val="single" w:sz="6" w:space="0" w:color="auto"/>
              <w:right w:val="single" w:sz="4" w:space="0" w:color="auto"/>
            </w:tcBorders>
          </w:tcPr>
          <w:p w:rsidR="00D555F2" w:rsidRPr="00114531" w:rsidRDefault="00D555F2" w:rsidP="00BB5A5A">
            <w:pPr>
              <w:tabs>
                <w:tab w:val="left" w:pos="60"/>
              </w:tabs>
              <w:spacing w:line="240" w:lineRule="auto"/>
              <w:ind w:left="60" w:right="150"/>
              <w:rPr>
                <w:rFonts w:cs="Arial"/>
                <w:color w:val="000000"/>
              </w:rPr>
            </w:pPr>
            <w:r w:rsidRPr="00114531">
              <w:t xml:space="preserve">For Townships, Registered Societies, Residential Colonies, multi-storied residential complexes (including lifts, water pumps and common lighting within the premises) with loads 50 kW and above with the restriction that at least 70% of the total contracted load is meant exclusively for the domestic light, fan and power purposes and for Military Engineer Service (MES) for Defence Establishments (Mixed load without any load restriction).   </w:t>
            </w:r>
          </w:p>
        </w:tc>
        <w:tc>
          <w:tcPr>
            <w:tcW w:w="1955" w:type="dxa"/>
            <w:tcBorders>
              <w:top w:val="single" w:sz="6" w:space="0" w:color="auto"/>
              <w:left w:val="single" w:sz="6" w:space="0" w:color="auto"/>
              <w:bottom w:val="single" w:sz="6" w:space="0" w:color="auto"/>
              <w:right w:val="single" w:sz="4" w:space="0" w:color="auto"/>
            </w:tcBorders>
            <w:vAlign w:val="center"/>
          </w:tcPr>
          <w:p w:rsidR="00D555F2" w:rsidRPr="00114531" w:rsidRDefault="00D555F2" w:rsidP="00BB5A5A">
            <w:pPr>
              <w:spacing w:line="240" w:lineRule="auto"/>
              <w:jc w:val="center"/>
              <w:rPr>
                <w:rFonts w:cs="Arial"/>
              </w:rPr>
            </w:pPr>
            <w:r w:rsidRPr="00114531">
              <w:rPr>
                <w:rFonts w:cs="Arial"/>
                <w:color w:val="000000"/>
              </w:rPr>
              <w:t>Rs. 85.00 / kW / Month</w:t>
            </w:r>
          </w:p>
        </w:tc>
        <w:tc>
          <w:tcPr>
            <w:tcW w:w="1955" w:type="dxa"/>
            <w:tcBorders>
              <w:top w:val="single" w:sz="6" w:space="0" w:color="auto"/>
              <w:left w:val="single" w:sz="6" w:space="0" w:color="auto"/>
              <w:bottom w:val="single" w:sz="6" w:space="0" w:color="auto"/>
              <w:right w:val="single" w:sz="4" w:space="0" w:color="auto"/>
            </w:tcBorders>
            <w:vAlign w:val="center"/>
          </w:tcPr>
          <w:p w:rsidR="00D555F2" w:rsidRPr="00114531" w:rsidRDefault="00D555F2" w:rsidP="00BB5A5A">
            <w:pPr>
              <w:spacing w:line="240" w:lineRule="auto"/>
              <w:ind w:left="-29"/>
              <w:jc w:val="center"/>
              <w:rPr>
                <w:rFonts w:cs="Arial"/>
                <w:color w:val="000000"/>
              </w:rPr>
            </w:pPr>
            <w:r w:rsidRPr="00114531">
              <w:rPr>
                <w:rFonts w:cs="Arial"/>
                <w:color w:val="000000"/>
              </w:rPr>
              <w:t xml:space="preserve">Rs. </w:t>
            </w:r>
            <w:r w:rsidRPr="00114531">
              <w:t>5.50</w:t>
            </w:r>
            <w:r w:rsidRPr="00114531">
              <w:rPr>
                <w:rFonts w:cs="Arial"/>
                <w:color w:val="000000"/>
              </w:rPr>
              <w:t xml:space="preserve"> / kWh</w:t>
            </w:r>
          </w:p>
        </w:tc>
      </w:tr>
    </w:tbl>
    <w:p w:rsidR="00D555F2" w:rsidRDefault="00D555F2" w:rsidP="00D555F2">
      <w:pPr>
        <w:ind w:left="450"/>
      </w:pPr>
    </w:p>
    <w:p w:rsidR="00D555F2" w:rsidRDefault="00D555F2" w:rsidP="00D555F2">
      <w:pPr>
        <w:ind w:left="450"/>
      </w:pPr>
      <w:r w:rsidRPr="00114531">
        <w:t xml:space="preserve">The body seeking the supply at Single point for bulk loads under this category shall be considered as a deemed franchisee of the Licensee. Such body shall charge not more than </w:t>
      </w:r>
      <w:r w:rsidRPr="00201853">
        <w:t>5%</w:t>
      </w:r>
      <w:r w:rsidRPr="00114531">
        <w:t xml:space="preserve"> additional charge on the above specified ‘Rate’ from its consumers apart from other applicable charges such as Regulatory Surcharge, Penalty, Rebate and Electricity Duty on actual basis.</w:t>
      </w:r>
    </w:p>
    <w:p w:rsidR="00D555F2" w:rsidRPr="00114531" w:rsidRDefault="00D555F2" w:rsidP="00D555F2">
      <w:pPr>
        <w:ind w:left="450"/>
        <w:rPr>
          <w:rFonts w:cstheme="minorHAnsi"/>
        </w:rPr>
      </w:pPr>
      <w:r w:rsidRPr="00201853">
        <w:rPr>
          <w:rFonts w:cstheme="minorHAnsi"/>
        </w:rPr>
        <w:lastRenderedPageBreak/>
        <w:t xml:space="preserve">The 5% additional charge shall be towards facilitating supply of electricity to the </w:t>
      </w:r>
      <w:r w:rsidRPr="00201853">
        <w:rPr>
          <w:rFonts w:cstheme="minorHAnsi"/>
          <w:lang w:val="en-US"/>
        </w:rPr>
        <w:t>individual members</w:t>
      </w:r>
      <w:r w:rsidRPr="00201853">
        <w:rPr>
          <w:rFonts w:cstheme="minorHAnsi"/>
        </w:rPr>
        <w:t xml:space="preserve"> to recover its expenses towards supply of electricity, distribution loss, electrical maintenance in its supply area, billing, accounting and audit etc.</w:t>
      </w:r>
    </w:p>
    <w:p w:rsidR="00D555F2" w:rsidRPr="00201853" w:rsidRDefault="00D555F2" w:rsidP="00D555F2">
      <w:pPr>
        <w:ind w:left="450"/>
      </w:pPr>
      <w:r w:rsidRPr="00201853">
        <w:t>The deemed franchisee is required to provide to all its consumers and the licensee, a copy of the detailed computation of the details of the amounts realized from all the individual consumers and the amount paid to the licensee for  every billing cycle on half yearly basis. If he fails to do so, then the consumers may approach the Consumer Grievance Redressal Forum (CGRF) having jurisdiction over their local area for the redressal of their grievances.</w:t>
      </w:r>
    </w:p>
    <w:p w:rsidR="00D555F2" w:rsidRPr="00201853" w:rsidRDefault="00D555F2" w:rsidP="00D555F2">
      <w:pPr>
        <w:ind w:left="426"/>
        <w:rPr>
          <w:rFonts w:cstheme="minorHAnsi"/>
        </w:rPr>
      </w:pPr>
      <w:r w:rsidRPr="00201853">
        <w:rPr>
          <w:rFonts w:cstheme="minorHAnsi"/>
        </w:rPr>
        <w:t xml:space="preserve">The deemed franchisee shall arrange to get its account(s) audited by a Chartered Accountant mandatorily. The audited accounts will be made available to all the consumers of the deemed franchisee within 3 months of the closure of that financial year. </w:t>
      </w:r>
      <w:r w:rsidRPr="00201853">
        <w:t>If he fails to do so, then the consumers may approach the Consumer Grievance Redressal Forum (CGRF) having jurisdiction over their local area for the redressal of their grievances.</w:t>
      </w:r>
    </w:p>
    <w:p w:rsidR="00D555F2" w:rsidRPr="00201853" w:rsidRDefault="00D555F2" w:rsidP="00D555F2">
      <w:pPr>
        <w:ind w:left="426"/>
        <w:rPr>
          <w:rFonts w:cstheme="minorHAnsi"/>
        </w:rPr>
      </w:pPr>
      <w:r w:rsidRPr="00201853">
        <w:rPr>
          <w:rFonts w:cstheme="minorHAnsi"/>
        </w:rPr>
        <w:t>The deemed franchisee should separately meter the electricity supplied from back up arrangements like DG sets etc. The bill of its consumers should clearly depict the units and rate of electricity supplied through back up arrangement and electricity supplied through Licensee.</w:t>
      </w:r>
    </w:p>
    <w:p w:rsidR="00D555F2" w:rsidRPr="00201853" w:rsidRDefault="00D555F2" w:rsidP="00D555F2">
      <w:pPr>
        <w:ind w:left="426"/>
        <w:contextualSpacing/>
        <w:rPr>
          <w:rFonts w:cstheme="minorHAnsi"/>
        </w:rPr>
      </w:pPr>
      <w:r w:rsidRPr="00201853">
        <w:rPr>
          <w:rFonts w:cstheme="minorHAnsi"/>
        </w:rPr>
        <w:t>The deemed franchisee shall not disconnect the supply of electricity of its consumers on the pretext of defaults in payments related to other charges except for the electricity dues regarding the electricity consumed by its consumers and electricity charges for lift, water lifting pump, streetlight if any, corridor / campus lighting and other common facilities.</w:t>
      </w:r>
    </w:p>
    <w:p w:rsidR="00D555F2" w:rsidRPr="00201853" w:rsidRDefault="00D555F2" w:rsidP="00D555F2">
      <w:pPr>
        <w:spacing w:line="240" w:lineRule="auto"/>
        <w:ind w:left="426"/>
        <w:rPr>
          <w:rFonts w:cstheme="minorHAnsi"/>
          <w:lang w:val="en-US"/>
        </w:rPr>
      </w:pPr>
      <w:r w:rsidRPr="00201853">
        <w:rPr>
          <w:rFonts w:cstheme="minorHAnsi"/>
          <w:bCs/>
          <w:lang w:val="en-US"/>
        </w:rPr>
        <w:t xml:space="preserve">In case the deemed franchisee exceeds the contracted load / demand under </w:t>
      </w:r>
      <w:r w:rsidRPr="00201853">
        <w:rPr>
          <w:rFonts w:cstheme="minorHAnsi"/>
          <w:lang w:val="en-US"/>
        </w:rPr>
        <w:t>the provisions of Clause 7(ii) – ‘Charges for Exceeding Contracted demand’ of the General Provisions of this Rate Schedule</w:t>
      </w:r>
      <w:r w:rsidRPr="00201853">
        <w:rPr>
          <w:rFonts w:cstheme="minorHAnsi"/>
          <w:bCs/>
          <w:lang w:val="en-US"/>
        </w:rPr>
        <w:t>, only in</w:t>
      </w:r>
      <w:r w:rsidRPr="00201853">
        <w:rPr>
          <w:rFonts w:cstheme="minorHAnsi"/>
          <w:lang w:val="en-US"/>
        </w:rPr>
        <w:t xml:space="preserve"> such case the deemed franchisee will recover the same from the individual members who were responsible for it on the basis of their individual excess demands.</w:t>
      </w:r>
    </w:p>
    <w:p w:rsidR="00D555F2" w:rsidRPr="00114531" w:rsidRDefault="00D555F2" w:rsidP="00D555F2">
      <w:pPr>
        <w:ind w:left="450"/>
      </w:pPr>
    </w:p>
    <w:p w:rsidR="00D555F2" w:rsidRPr="00114531" w:rsidRDefault="00D555F2" w:rsidP="00D555F2">
      <w:pPr>
        <w:ind w:firstLine="450"/>
        <w:rPr>
          <w:rFonts w:cs="Arial"/>
          <w:b/>
          <w:bCs/>
        </w:rPr>
      </w:pPr>
      <w:r w:rsidRPr="00114531">
        <w:rPr>
          <w:rFonts w:cs="Arial"/>
          <w:b/>
          <w:bCs/>
        </w:rPr>
        <w:t>(c) OTHER METERED DOMESTIC CONSUMERS:</w:t>
      </w:r>
    </w:p>
    <w:p w:rsidR="00D555F2" w:rsidRPr="00114531" w:rsidRDefault="00D555F2" w:rsidP="00D555F2">
      <w:pPr>
        <w:numPr>
          <w:ilvl w:val="0"/>
          <w:numId w:val="78"/>
        </w:numPr>
        <w:tabs>
          <w:tab w:val="left" w:pos="1440"/>
        </w:tabs>
        <w:spacing w:before="0" w:line="288" w:lineRule="auto"/>
      </w:pPr>
      <w:r w:rsidRPr="00114531">
        <w:rPr>
          <w:b/>
        </w:rPr>
        <w:t xml:space="preserve">Lifeline consumers: </w:t>
      </w:r>
      <w:r w:rsidRPr="00114531">
        <w:t xml:space="preserve">Consumers with contracted load of 1 kW, energy consumption up to 150 kWh / month. </w:t>
      </w:r>
    </w:p>
    <w:p w:rsidR="00D555F2" w:rsidRDefault="00D555F2" w:rsidP="00D555F2">
      <w:pPr>
        <w:tabs>
          <w:tab w:val="left" w:pos="1440"/>
        </w:tabs>
        <w:spacing w:line="288" w:lineRule="auto"/>
        <w:ind w:left="1080"/>
        <w:rPr>
          <w:b/>
        </w:rPr>
      </w:pPr>
    </w:p>
    <w:p w:rsidR="00D555F2" w:rsidRPr="00114531" w:rsidRDefault="00D555F2" w:rsidP="00D555F2">
      <w:pPr>
        <w:tabs>
          <w:tab w:val="left" w:pos="1440"/>
        </w:tabs>
        <w:spacing w:line="288" w:lineRule="auto"/>
        <w:ind w:left="1080"/>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12"/>
        <w:gridCol w:w="2700"/>
        <w:gridCol w:w="2070"/>
      </w:tblGrid>
      <w:tr w:rsidR="00D555F2" w:rsidRPr="00114531" w:rsidTr="00BB5A5A">
        <w:trPr>
          <w:cantSplit/>
          <w:trHeight w:val="235"/>
          <w:tblHeader/>
        </w:trPr>
        <w:tc>
          <w:tcPr>
            <w:tcW w:w="3312" w:type="dxa"/>
            <w:shd w:val="clear" w:color="auto" w:fill="DBE5F1" w:themeFill="accent1" w:themeFillTint="33"/>
          </w:tcPr>
          <w:p w:rsidR="00D555F2" w:rsidRPr="00114531" w:rsidRDefault="00D555F2" w:rsidP="00BB5A5A">
            <w:pPr>
              <w:spacing w:line="240" w:lineRule="auto"/>
              <w:jc w:val="center"/>
              <w:rPr>
                <w:b/>
              </w:rPr>
            </w:pPr>
            <w:r w:rsidRPr="00114531">
              <w:rPr>
                <w:b/>
              </w:rPr>
              <w:lastRenderedPageBreak/>
              <w:t>Description</w:t>
            </w:r>
          </w:p>
        </w:tc>
        <w:tc>
          <w:tcPr>
            <w:tcW w:w="2700" w:type="dxa"/>
            <w:shd w:val="clear" w:color="auto" w:fill="DBE5F1" w:themeFill="accent1" w:themeFillTint="33"/>
          </w:tcPr>
          <w:p w:rsidR="00D555F2" w:rsidRPr="00114531" w:rsidRDefault="00D555F2" w:rsidP="00BB5A5A">
            <w:pPr>
              <w:spacing w:line="240" w:lineRule="auto"/>
              <w:jc w:val="center"/>
              <w:rPr>
                <w:b/>
              </w:rPr>
            </w:pPr>
            <w:r w:rsidRPr="00114531">
              <w:rPr>
                <w:b/>
              </w:rPr>
              <w:t>Fixed Charge</w:t>
            </w:r>
          </w:p>
        </w:tc>
        <w:tc>
          <w:tcPr>
            <w:tcW w:w="2070" w:type="dxa"/>
            <w:shd w:val="clear" w:color="auto" w:fill="DBE5F1" w:themeFill="accent1" w:themeFillTint="33"/>
          </w:tcPr>
          <w:p w:rsidR="00D555F2" w:rsidRPr="00114531" w:rsidRDefault="00D555F2" w:rsidP="00BB5A5A">
            <w:pPr>
              <w:spacing w:line="240" w:lineRule="auto"/>
              <w:jc w:val="center"/>
              <w:rPr>
                <w:b/>
              </w:rPr>
            </w:pPr>
            <w:r w:rsidRPr="00114531">
              <w:rPr>
                <w:b/>
              </w:rPr>
              <w:t>Energy Charge</w:t>
            </w:r>
          </w:p>
        </w:tc>
      </w:tr>
      <w:tr w:rsidR="00D555F2" w:rsidRPr="00114531" w:rsidTr="00BB5A5A">
        <w:trPr>
          <w:cantSplit/>
          <w:trHeight w:val="287"/>
        </w:trPr>
        <w:tc>
          <w:tcPr>
            <w:tcW w:w="3312" w:type="dxa"/>
          </w:tcPr>
          <w:p w:rsidR="00D555F2" w:rsidRPr="00114531" w:rsidRDefault="00D555F2" w:rsidP="00BB5A5A">
            <w:pPr>
              <w:spacing w:line="240" w:lineRule="auto"/>
            </w:pPr>
            <w:r w:rsidRPr="00114531">
              <w:t>Loads of 1 kW only and for consumption up to 50 kWh / month (0 to 50 kWh / month)</w:t>
            </w:r>
          </w:p>
        </w:tc>
        <w:tc>
          <w:tcPr>
            <w:tcW w:w="2700" w:type="dxa"/>
            <w:vMerge w:val="restart"/>
            <w:vAlign w:val="center"/>
          </w:tcPr>
          <w:p w:rsidR="00D555F2" w:rsidRPr="00114531" w:rsidRDefault="00D555F2" w:rsidP="00BB5A5A">
            <w:pPr>
              <w:spacing w:line="240" w:lineRule="auto"/>
              <w:jc w:val="center"/>
            </w:pPr>
            <w:r w:rsidRPr="00114531">
              <w:t>Rs. 50.00 / kW / month</w:t>
            </w:r>
          </w:p>
          <w:p w:rsidR="00D555F2" w:rsidRPr="00114531" w:rsidRDefault="00D555F2" w:rsidP="00BB5A5A">
            <w:pPr>
              <w:spacing w:line="240" w:lineRule="auto"/>
              <w:jc w:val="center"/>
            </w:pPr>
          </w:p>
        </w:tc>
        <w:tc>
          <w:tcPr>
            <w:tcW w:w="2070" w:type="dxa"/>
            <w:vAlign w:val="center"/>
          </w:tcPr>
          <w:p w:rsidR="00D555F2" w:rsidRPr="00114531" w:rsidRDefault="00D555F2" w:rsidP="00BB5A5A">
            <w:pPr>
              <w:spacing w:line="240" w:lineRule="auto"/>
              <w:ind w:left="-29"/>
              <w:jc w:val="center"/>
            </w:pPr>
            <w:r w:rsidRPr="00114531">
              <w:t>Rs. 2.00 / kWh</w:t>
            </w:r>
          </w:p>
        </w:tc>
      </w:tr>
      <w:tr w:rsidR="00D555F2" w:rsidRPr="00114531" w:rsidTr="00BB5A5A">
        <w:trPr>
          <w:cantSplit/>
          <w:trHeight w:val="287"/>
        </w:trPr>
        <w:tc>
          <w:tcPr>
            <w:tcW w:w="3312" w:type="dxa"/>
          </w:tcPr>
          <w:p w:rsidR="00D555F2" w:rsidRPr="00114531" w:rsidRDefault="00D555F2" w:rsidP="00BB5A5A">
            <w:pPr>
              <w:spacing w:line="240" w:lineRule="auto"/>
            </w:pPr>
            <w:r w:rsidRPr="00114531">
              <w:t>Loads of 1 kW only and for consumption above 50 kWh / month up to 150 kWh / month (51 to 150 kWh / month)</w:t>
            </w:r>
          </w:p>
        </w:tc>
        <w:tc>
          <w:tcPr>
            <w:tcW w:w="2700" w:type="dxa"/>
            <w:vMerge/>
            <w:vAlign w:val="center"/>
          </w:tcPr>
          <w:p w:rsidR="00D555F2" w:rsidRPr="00114531" w:rsidRDefault="00D555F2" w:rsidP="00BB5A5A">
            <w:pPr>
              <w:spacing w:line="240" w:lineRule="auto"/>
              <w:jc w:val="center"/>
            </w:pPr>
          </w:p>
        </w:tc>
        <w:tc>
          <w:tcPr>
            <w:tcW w:w="2070" w:type="dxa"/>
            <w:vAlign w:val="center"/>
          </w:tcPr>
          <w:p w:rsidR="00D555F2" w:rsidRPr="00114531" w:rsidRDefault="00D555F2" w:rsidP="00BB5A5A">
            <w:pPr>
              <w:spacing w:line="240" w:lineRule="auto"/>
              <w:ind w:left="-29"/>
              <w:jc w:val="center"/>
            </w:pPr>
            <w:r w:rsidRPr="00114531">
              <w:t>Rs. 3.90 / kWh</w:t>
            </w:r>
          </w:p>
        </w:tc>
      </w:tr>
    </w:tbl>
    <w:p w:rsidR="00D555F2" w:rsidRPr="00114531" w:rsidRDefault="00D555F2" w:rsidP="00D555F2">
      <w:pPr>
        <w:ind w:firstLine="720"/>
        <w:rPr>
          <w:b/>
        </w:rPr>
      </w:pPr>
    </w:p>
    <w:p w:rsidR="00D555F2" w:rsidRDefault="00D555F2" w:rsidP="00D555F2">
      <w:pPr>
        <w:numPr>
          <w:ilvl w:val="0"/>
          <w:numId w:val="78"/>
        </w:numPr>
        <w:tabs>
          <w:tab w:val="left" w:pos="1440"/>
        </w:tabs>
        <w:spacing w:after="240" w:line="288" w:lineRule="auto"/>
      </w:pPr>
      <w:r w:rsidRPr="00114531">
        <w:rPr>
          <w:b/>
        </w:rPr>
        <w:t xml:space="preserve">Others: </w:t>
      </w:r>
      <w:r w:rsidRPr="00114531">
        <w:t>Other than life line consumers (i.e. consumers who do not qualify under the criteria laid down for lifeline consumers.)</w:t>
      </w:r>
    </w:p>
    <w:tbl>
      <w:tblPr>
        <w:tblW w:w="83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2802"/>
        <w:gridCol w:w="1980"/>
        <w:gridCol w:w="2160"/>
      </w:tblGrid>
      <w:tr w:rsidR="00D555F2" w:rsidRPr="00114531" w:rsidTr="00BB5A5A">
        <w:tc>
          <w:tcPr>
            <w:tcW w:w="1428" w:type="dxa"/>
            <w:shd w:val="clear" w:color="auto" w:fill="DBE5F1" w:themeFill="accent1" w:themeFillTint="33"/>
          </w:tcPr>
          <w:p w:rsidR="00D555F2" w:rsidRPr="00114531" w:rsidRDefault="00D555F2" w:rsidP="00BB5A5A">
            <w:pPr>
              <w:keepNext/>
              <w:spacing w:line="240" w:lineRule="auto"/>
              <w:jc w:val="center"/>
              <w:rPr>
                <w:rFonts w:cs="Arial"/>
                <w:b/>
                <w:bCs/>
              </w:rPr>
            </w:pPr>
            <w:r w:rsidRPr="00114531">
              <w:rPr>
                <w:rFonts w:cs="Arial"/>
                <w:b/>
                <w:bCs/>
              </w:rPr>
              <w:t>Description</w:t>
            </w:r>
          </w:p>
        </w:tc>
        <w:tc>
          <w:tcPr>
            <w:tcW w:w="2802" w:type="dxa"/>
            <w:shd w:val="clear" w:color="auto" w:fill="DBE5F1" w:themeFill="accent1" w:themeFillTint="33"/>
          </w:tcPr>
          <w:p w:rsidR="00D555F2" w:rsidRPr="00114531" w:rsidRDefault="00D555F2" w:rsidP="00BB5A5A">
            <w:pPr>
              <w:keepNext/>
              <w:spacing w:line="240" w:lineRule="auto"/>
              <w:jc w:val="center"/>
              <w:rPr>
                <w:rFonts w:cs="Arial"/>
                <w:b/>
                <w:bCs/>
              </w:rPr>
            </w:pPr>
            <w:r w:rsidRPr="00114531">
              <w:rPr>
                <w:rFonts w:cs="Arial"/>
                <w:b/>
                <w:bCs/>
              </w:rPr>
              <w:t>Consumption Range</w:t>
            </w:r>
          </w:p>
        </w:tc>
        <w:tc>
          <w:tcPr>
            <w:tcW w:w="1980" w:type="dxa"/>
            <w:shd w:val="clear" w:color="auto" w:fill="DBE5F1" w:themeFill="accent1" w:themeFillTint="33"/>
          </w:tcPr>
          <w:p w:rsidR="00D555F2" w:rsidRPr="00114531" w:rsidRDefault="00D555F2" w:rsidP="00BB5A5A">
            <w:pPr>
              <w:keepNext/>
              <w:spacing w:line="240" w:lineRule="auto"/>
              <w:jc w:val="center"/>
              <w:rPr>
                <w:rFonts w:cs="Arial"/>
                <w:b/>
                <w:bCs/>
              </w:rPr>
            </w:pPr>
            <w:r w:rsidRPr="00114531">
              <w:rPr>
                <w:rFonts w:cs="Arial"/>
                <w:b/>
                <w:bCs/>
              </w:rPr>
              <w:t>Fixed Charge</w:t>
            </w:r>
          </w:p>
        </w:tc>
        <w:tc>
          <w:tcPr>
            <w:tcW w:w="2160" w:type="dxa"/>
            <w:shd w:val="clear" w:color="auto" w:fill="DBE5F1" w:themeFill="accent1" w:themeFillTint="33"/>
          </w:tcPr>
          <w:p w:rsidR="00D555F2" w:rsidRPr="00114531" w:rsidRDefault="00D555F2" w:rsidP="00BB5A5A">
            <w:pPr>
              <w:keepNext/>
              <w:spacing w:line="240" w:lineRule="auto"/>
              <w:jc w:val="center"/>
              <w:rPr>
                <w:rFonts w:cs="Arial"/>
                <w:b/>
                <w:bCs/>
              </w:rPr>
            </w:pPr>
            <w:r w:rsidRPr="00114531">
              <w:rPr>
                <w:rFonts w:cs="Arial"/>
                <w:b/>
                <w:bCs/>
              </w:rPr>
              <w:t>Energy Charge</w:t>
            </w:r>
          </w:p>
        </w:tc>
      </w:tr>
      <w:tr w:rsidR="00D555F2" w:rsidRPr="00114531" w:rsidTr="00BB5A5A">
        <w:trPr>
          <w:trHeight w:val="429"/>
        </w:trPr>
        <w:tc>
          <w:tcPr>
            <w:tcW w:w="1428" w:type="dxa"/>
            <w:vMerge w:val="restart"/>
            <w:vAlign w:val="center"/>
          </w:tcPr>
          <w:p w:rsidR="00D555F2" w:rsidRPr="00114531" w:rsidRDefault="00D555F2" w:rsidP="00BB5A5A">
            <w:pPr>
              <w:keepNext/>
              <w:spacing w:line="240" w:lineRule="auto"/>
              <w:jc w:val="center"/>
              <w:rPr>
                <w:rFonts w:cs="Arial"/>
                <w:bCs/>
              </w:rPr>
            </w:pPr>
            <w:r w:rsidRPr="00114531">
              <w:rPr>
                <w:rFonts w:cs="Arial"/>
                <w:bCs/>
              </w:rPr>
              <w:t>All loads</w:t>
            </w:r>
          </w:p>
        </w:tc>
        <w:tc>
          <w:tcPr>
            <w:tcW w:w="2802" w:type="dxa"/>
            <w:vAlign w:val="center"/>
          </w:tcPr>
          <w:p w:rsidR="00D555F2" w:rsidRPr="00136ADD" w:rsidRDefault="00D555F2" w:rsidP="00BB5A5A">
            <w:pPr>
              <w:keepNext/>
              <w:spacing w:line="240" w:lineRule="auto"/>
              <w:jc w:val="center"/>
              <w:rPr>
                <w:rFonts w:cs="Arial"/>
                <w:bCs/>
              </w:rPr>
            </w:pPr>
            <w:r>
              <w:rPr>
                <w:rFonts w:cs="Arial"/>
                <w:bCs/>
              </w:rPr>
              <w:t>For first 150 kWh / month</w:t>
            </w:r>
          </w:p>
        </w:tc>
        <w:tc>
          <w:tcPr>
            <w:tcW w:w="1980" w:type="dxa"/>
            <w:vMerge w:val="restart"/>
            <w:vAlign w:val="center"/>
          </w:tcPr>
          <w:p w:rsidR="00D555F2" w:rsidRPr="00114531" w:rsidRDefault="00D555F2" w:rsidP="00BB5A5A">
            <w:pPr>
              <w:keepNext/>
              <w:spacing w:line="240" w:lineRule="auto"/>
              <w:jc w:val="center"/>
              <w:rPr>
                <w:bCs/>
              </w:rPr>
            </w:pPr>
            <w:r w:rsidRPr="00114531">
              <w:rPr>
                <w:bCs/>
              </w:rPr>
              <w:t>Rs. 90</w:t>
            </w:r>
            <w:r w:rsidRPr="00114531">
              <w:t xml:space="preserve">.00 </w:t>
            </w:r>
            <w:r w:rsidRPr="00114531">
              <w:rPr>
                <w:bCs/>
              </w:rPr>
              <w:t>/ kW / month</w:t>
            </w:r>
          </w:p>
        </w:tc>
        <w:tc>
          <w:tcPr>
            <w:tcW w:w="2160" w:type="dxa"/>
            <w:vAlign w:val="center"/>
          </w:tcPr>
          <w:p w:rsidR="00D555F2" w:rsidRPr="00114531" w:rsidRDefault="00D555F2" w:rsidP="00BB5A5A">
            <w:pPr>
              <w:keepNext/>
              <w:spacing w:line="240" w:lineRule="auto"/>
              <w:jc w:val="center"/>
              <w:rPr>
                <w:rFonts w:cs="Arial"/>
                <w:bCs/>
              </w:rPr>
            </w:pPr>
            <w:r w:rsidRPr="00114531">
              <w:rPr>
                <w:rFonts w:cs="Arial"/>
                <w:bCs/>
              </w:rPr>
              <w:t>Rs. 4.40 / kWh</w:t>
            </w:r>
          </w:p>
        </w:tc>
      </w:tr>
      <w:tr w:rsidR="00D555F2" w:rsidRPr="00114531" w:rsidTr="00BB5A5A">
        <w:trPr>
          <w:trHeight w:val="429"/>
        </w:trPr>
        <w:tc>
          <w:tcPr>
            <w:tcW w:w="1428" w:type="dxa"/>
            <w:vMerge/>
            <w:vAlign w:val="center"/>
          </w:tcPr>
          <w:p w:rsidR="00D555F2" w:rsidRPr="00114531" w:rsidRDefault="00D555F2" w:rsidP="00BB5A5A">
            <w:pPr>
              <w:keepNext/>
              <w:spacing w:line="240" w:lineRule="auto"/>
              <w:jc w:val="center"/>
              <w:rPr>
                <w:rFonts w:cs="Arial"/>
                <w:bCs/>
              </w:rPr>
            </w:pPr>
          </w:p>
        </w:tc>
        <w:tc>
          <w:tcPr>
            <w:tcW w:w="2802" w:type="dxa"/>
            <w:vAlign w:val="center"/>
          </w:tcPr>
          <w:p w:rsidR="00D555F2" w:rsidRPr="00136ADD" w:rsidRDefault="00D555F2" w:rsidP="00BB5A5A">
            <w:pPr>
              <w:keepNext/>
              <w:spacing w:line="240" w:lineRule="auto"/>
              <w:jc w:val="center"/>
              <w:rPr>
                <w:rFonts w:cs="Arial"/>
                <w:bCs/>
              </w:rPr>
            </w:pPr>
            <w:r>
              <w:rPr>
                <w:rFonts w:cs="Arial"/>
                <w:bCs/>
              </w:rPr>
              <w:t>For next 151 - 300 kWh / month</w:t>
            </w:r>
          </w:p>
        </w:tc>
        <w:tc>
          <w:tcPr>
            <w:tcW w:w="1980" w:type="dxa"/>
            <w:vMerge/>
            <w:vAlign w:val="center"/>
          </w:tcPr>
          <w:p w:rsidR="00D555F2" w:rsidRPr="00114531" w:rsidRDefault="00D555F2" w:rsidP="00BB5A5A">
            <w:pPr>
              <w:keepNext/>
              <w:spacing w:line="240" w:lineRule="auto"/>
              <w:jc w:val="center"/>
              <w:rPr>
                <w:rFonts w:cs="Arial"/>
                <w:bCs/>
              </w:rPr>
            </w:pPr>
          </w:p>
        </w:tc>
        <w:tc>
          <w:tcPr>
            <w:tcW w:w="2160" w:type="dxa"/>
            <w:vAlign w:val="center"/>
          </w:tcPr>
          <w:p w:rsidR="00D555F2" w:rsidRPr="00114531" w:rsidRDefault="00D555F2" w:rsidP="00BB5A5A">
            <w:pPr>
              <w:keepNext/>
              <w:spacing w:line="240" w:lineRule="auto"/>
              <w:jc w:val="center"/>
              <w:rPr>
                <w:rFonts w:cs="Arial"/>
                <w:bCs/>
              </w:rPr>
            </w:pPr>
            <w:r w:rsidRPr="00114531">
              <w:rPr>
                <w:rFonts w:cs="Arial"/>
                <w:bCs/>
              </w:rPr>
              <w:t>Rs. 4.95 / kWh</w:t>
            </w:r>
          </w:p>
        </w:tc>
      </w:tr>
      <w:tr w:rsidR="00D555F2" w:rsidRPr="00114531" w:rsidTr="00BB5A5A">
        <w:trPr>
          <w:trHeight w:val="438"/>
        </w:trPr>
        <w:tc>
          <w:tcPr>
            <w:tcW w:w="1428" w:type="dxa"/>
            <w:vMerge/>
            <w:vAlign w:val="center"/>
          </w:tcPr>
          <w:p w:rsidR="00D555F2" w:rsidRPr="00114531" w:rsidRDefault="00D555F2" w:rsidP="00BB5A5A">
            <w:pPr>
              <w:keepNext/>
              <w:spacing w:line="240" w:lineRule="auto"/>
              <w:jc w:val="center"/>
              <w:rPr>
                <w:rFonts w:cs="Arial"/>
                <w:bCs/>
              </w:rPr>
            </w:pPr>
          </w:p>
        </w:tc>
        <w:tc>
          <w:tcPr>
            <w:tcW w:w="2802" w:type="dxa"/>
            <w:vAlign w:val="center"/>
          </w:tcPr>
          <w:p w:rsidR="00D555F2" w:rsidRPr="00136ADD" w:rsidRDefault="00D555F2" w:rsidP="00BB5A5A">
            <w:pPr>
              <w:keepNext/>
              <w:spacing w:line="240" w:lineRule="auto"/>
              <w:jc w:val="center"/>
              <w:rPr>
                <w:rFonts w:cs="Arial"/>
                <w:bCs/>
              </w:rPr>
            </w:pPr>
            <w:r>
              <w:rPr>
                <w:rFonts w:cs="Arial"/>
                <w:bCs/>
              </w:rPr>
              <w:t>For next 301 – 500 kWh / month</w:t>
            </w:r>
          </w:p>
        </w:tc>
        <w:tc>
          <w:tcPr>
            <w:tcW w:w="1980" w:type="dxa"/>
            <w:vMerge/>
            <w:vAlign w:val="center"/>
          </w:tcPr>
          <w:p w:rsidR="00D555F2" w:rsidRPr="00114531" w:rsidRDefault="00D555F2" w:rsidP="00BB5A5A">
            <w:pPr>
              <w:keepNext/>
              <w:spacing w:line="240" w:lineRule="auto"/>
              <w:jc w:val="center"/>
              <w:rPr>
                <w:rFonts w:cs="Arial"/>
                <w:b/>
                <w:bCs/>
                <w:caps/>
                <w:kern w:val="32"/>
              </w:rPr>
            </w:pPr>
          </w:p>
        </w:tc>
        <w:tc>
          <w:tcPr>
            <w:tcW w:w="2160" w:type="dxa"/>
            <w:vAlign w:val="center"/>
          </w:tcPr>
          <w:p w:rsidR="00D555F2" w:rsidRPr="00114531" w:rsidRDefault="00D555F2" w:rsidP="00BB5A5A">
            <w:pPr>
              <w:keepNext/>
              <w:spacing w:line="240" w:lineRule="auto"/>
              <w:jc w:val="center"/>
              <w:rPr>
                <w:rFonts w:cs="Arial"/>
                <w:bCs/>
              </w:rPr>
            </w:pPr>
            <w:r w:rsidRPr="00114531">
              <w:rPr>
                <w:rFonts w:cs="Arial"/>
                <w:bCs/>
              </w:rPr>
              <w:t xml:space="preserve">Rs. </w:t>
            </w:r>
            <w:r w:rsidRPr="00114531">
              <w:t>5.60</w:t>
            </w:r>
            <w:r w:rsidRPr="00114531">
              <w:rPr>
                <w:rFonts w:cs="Arial"/>
                <w:bCs/>
              </w:rPr>
              <w:t xml:space="preserve"> / kWh</w:t>
            </w:r>
          </w:p>
        </w:tc>
      </w:tr>
      <w:tr w:rsidR="00D555F2" w:rsidRPr="00114531" w:rsidTr="00BB5A5A">
        <w:trPr>
          <w:trHeight w:val="321"/>
        </w:trPr>
        <w:tc>
          <w:tcPr>
            <w:tcW w:w="1428" w:type="dxa"/>
            <w:vMerge/>
            <w:vAlign w:val="center"/>
          </w:tcPr>
          <w:p w:rsidR="00D555F2" w:rsidRPr="00114531" w:rsidRDefault="00D555F2" w:rsidP="00BB5A5A">
            <w:pPr>
              <w:keepNext/>
              <w:spacing w:line="240" w:lineRule="auto"/>
              <w:jc w:val="center"/>
              <w:rPr>
                <w:rFonts w:cs="Arial"/>
                <w:bCs/>
              </w:rPr>
            </w:pPr>
          </w:p>
        </w:tc>
        <w:tc>
          <w:tcPr>
            <w:tcW w:w="2802" w:type="dxa"/>
            <w:vAlign w:val="center"/>
          </w:tcPr>
          <w:p w:rsidR="00D555F2" w:rsidRPr="00136ADD" w:rsidRDefault="00D555F2" w:rsidP="00BB5A5A">
            <w:pPr>
              <w:keepNext/>
              <w:spacing w:line="240" w:lineRule="auto"/>
              <w:jc w:val="center"/>
              <w:rPr>
                <w:rFonts w:cs="Arial"/>
                <w:bCs/>
              </w:rPr>
            </w:pPr>
            <w:r>
              <w:rPr>
                <w:rFonts w:cs="Arial"/>
                <w:bCs/>
              </w:rPr>
              <w:t>For above 500 kWh / month</w:t>
            </w:r>
          </w:p>
          <w:p w:rsidR="00D555F2" w:rsidRPr="00136ADD" w:rsidRDefault="00D555F2" w:rsidP="00BB5A5A">
            <w:pPr>
              <w:keepNext/>
              <w:spacing w:line="240" w:lineRule="auto"/>
              <w:jc w:val="center"/>
              <w:rPr>
                <w:rFonts w:cs="Arial"/>
                <w:bCs/>
              </w:rPr>
            </w:pPr>
            <w:r>
              <w:rPr>
                <w:rFonts w:cs="Arial"/>
                <w:bCs/>
              </w:rPr>
              <w:t>(Starting from 501</w:t>
            </w:r>
            <w:r>
              <w:rPr>
                <w:rFonts w:cs="Arial"/>
                <w:bCs/>
                <w:vertAlign w:val="superscript"/>
              </w:rPr>
              <w:t>st</w:t>
            </w:r>
            <w:r>
              <w:rPr>
                <w:rFonts w:cs="Arial"/>
                <w:bCs/>
              </w:rPr>
              <w:t xml:space="preserve"> unit)</w:t>
            </w:r>
          </w:p>
        </w:tc>
        <w:tc>
          <w:tcPr>
            <w:tcW w:w="1980" w:type="dxa"/>
            <w:vMerge/>
            <w:vAlign w:val="center"/>
          </w:tcPr>
          <w:p w:rsidR="00D555F2" w:rsidRPr="00114531" w:rsidRDefault="00D555F2" w:rsidP="00BB5A5A">
            <w:pPr>
              <w:keepNext/>
              <w:spacing w:line="240" w:lineRule="auto"/>
              <w:jc w:val="center"/>
              <w:rPr>
                <w:rFonts w:cs="Arial"/>
                <w:b/>
                <w:bCs/>
                <w:caps/>
                <w:kern w:val="32"/>
              </w:rPr>
            </w:pPr>
          </w:p>
        </w:tc>
        <w:tc>
          <w:tcPr>
            <w:tcW w:w="2160" w:type="dxa"/>
            <w:vAlign w:val="center"/>
          </w:tcPr>
          <w:p w:rsidR="00D555F2" w:rsidRPr="00114531" w:rsidRDefault="00D555F2" w:rsidP="00BB5A5A">
            <w:pPr>
              <w:keepNext/>
              <w:spacing w:line="240" w:lineRule="auto"/>
              <w:jc w:val="center"/>
              <w:rPr>
                <w:rFonts w:cs="Arial"/>
                <w:bCs/>
              </w:rPr>
            </w:pPr>
            <w:r w:rsidRPr="00114531">
              <w:rPr>
                <w:rFonts w:cs="Arial"/>
                <w:bCs/>
              </w:rPr>
              <w:t xml:space="preserve">Rs. </w:t>
            </w:r>
            <w:r w:rsidRPr="00114531">
              <w:t>6.20</w:t>
            </w:r>
            <w:r w:rsidRPr="00114531">
              <w:rPr>
                <w:rFonts w:cs="Arial"/>
                <w:bCs/>
              </w:rPr>
              <w:t xml:space="preserve"> / kWh</w:t>
            </w:r>
          </w:p>
        </w:tc>
      </w:tr>
    </w:tbl>
    <w:p w:rsidR="00D555F2" w:rsidRPr="00114531" w:rsidRDefault="00D555F2" w:rsidP="00D555F2">
      <w:pPr>
        <w:ind w:firstLine="450"/>
        <w:rPr>
          <w:rFonts w:cs="Arial"/>
          <w:b/>
          <w:bCs/>
        </w:rPr>
      </w:pPr>
      <w:r w:rsidRPr="00114531">
        <w:rPr>
          <w:rFonts w:cs="Arial"/>
          <w:b/>
          <w:bCs/>
        </w:rPr>
        <w:t xml:space="preserve">Note: </w:t>
      </w:r>
    </w:p>
    <w:p w:rsidR="00D555F2" w:rsidRDefault="00D555F2" w:rsidP="00D555F2">
      <w:pPr>
        <w:ind w:left="720"/>
        <w:rPr>
          <w:rFonts w:asciiTheme="minorHAnsi" w:hAnsiTheme="minorHAnsi" w:cs="Arial"/>
          <w:bCs/>
        </w:rPr>
      </w:pPr>
      <w:r w:rsidRPr="00114531">
        <w:rPr>
          <w:rFonts w:asciiTheme="minorHAnsi" w:hAnsiTheme="minorHAnsi" w:cs="Arial"/>
          <w:bCs/>
        </w:rPr>
        <w:t xml:space="preserve">For all consumers under this category the maximum demand during the month recorded by the meter has to be essentially indicated in their monthly bills. However, this condition would be mandatory only in case meter reading is done by the Licensee. Accordingly, if the bill is being prepared on the basis of reading being submitted by the consumer then the consumer would not be liable to furnish maximum demand during the month and his bill would not be held back for lack of </w:t>
      </w:r>
      <w:r>
        <w:rPr>
          <w:rFonts w:asciiTheme="minorHAnsi" w:hAnsiTheme="minorHAnsi" w:cs="Arial"/>
          <w:bCs/>
        </w:rPr>
        <w:t>data of maximum</w:t>
      </w:r>
      <w:r w:rsidRPr="00114531">
        <w:rPr>
          <w:rFonts w:asciiTheme="minorHAnsi" w:hAnsiTheme="minorHAnsi" w:cs="Arial"/>
          <w:bCs/>
        </w:rPr>
        <w:t xml:space="preserve"> demand</w:t>
      </w:r>
      <w:r>
        <w:rPr>
          <w:rFonts w:asciiTheme="minorHAnsi" w:hAnsiTheme="minorHAnsi" w:cs="Arial"/>
          <w:bCs/>
        </w:rPr>
        <w:t>.</w:t>
      </w:r>
    </w:p>
    <w:p w:rsidR="00D555F2" w:rsidRDefault="00D555F2" w:rsidP="00D555F2">
      <w:pPr>
        <w:ind w:left="720"/>
        <w:rPr>
          <w:rFonts w:cs="Arial"/>
          <w:bCs/>
        </w:rPr>
      </w:pPr>
    </w:p>
    <w:p w:rsidR="00D555F2" w:rsidRPr="00C60AD1" w:rsidRDefault="00D555F2" w:rsidP="00D555F2">
      <w:pPr>
        <w:ind w:left="1080" w:hanging="360"/>
        <w:rPr>
          <w:rFonts w:cs="Arial"/>
          <w:bCs/>
        </w:rPr>
        <w:sectPr w:rsidR="00D555F2" w:rsidRPr="00C60AD1" w:rsidSect="006F02AD">
          <w:headerReference w:type="default" r:id="rId14"/>
          <w:footerReference w:type="default" r:id="rId15"/>
          <w:pgSz w:w="11909" w:h="16834" w:code="9"/>
          <w:pgMar w:top="574" w:right="1440" w:bottom="1440" w:left="1729" w:header="426" w:footer="1008" w:gutter="0"/>
          <w:cols w:space="720"/>
        </w:sectPr>
      </w:pPr>
    </w:p>
    <w:p w:rsidR="00D555F2" w:rsidRPr="00C60AD1" w:rsidRDefault="00D555F2" w:rsidP="00D555F2">
      <w:pPr>
        <w:jc w:val="center"/>
        <w:rPr>
          <w:b/>
          <w:u w:val="single"/>
        </w:rPr>
      </w:pPr>
      <w:r w:rsidRPr="00C60AD1">
        <w:rPr>
          <w:b/>
          <w:u w:val="single"/>
        </w:rPr>
        <w:lastRenderedPageBreak/>
        <w:t>RATE SCHEDULE LMV– 2:</w:t>
      </w:r>
    </w:p>
    <w:p w:rsidR="00D555F2" w:rsidRPr="00C60AD1" w:rsidRDefault="00D555F2" w:rsidP="00D555F2">
      <w:pPr>
        <w:jc w:val="center"/>
      </w:pPr>
    </w:p>
    <w:p w:rsidR="00D555F2" w:rsidRPr="00C60AD1" w:rsidRDefault="00D555F2" w:rsidP="00D555F2">
      <w:pPr>
        <w:jc w:val="center"/>
        <w:rPr>
          <w:b/>
        </w:rPr>
      </w:pPr>
      <w:r w:rsidRPr="00C60AD1">
        <w:rPr>
          <w:b/>
        </w:rPr>
        <w:t>NON DOMESTIC LIGHT, FAN AND POWER:</w:t>
      </w:r>
    </w:p>
    <w:p w:rsidR="00D555F2" w:rsidRPr="00C60AD1" w:rsidRDefault="00D555F2" w:rsidP="00D555F2">
      <w:pPr>
        <w:jc w:val="center"/>
        <w:rPr>
          <w:b/>
        </w:rPr>
      </w:pPr>
    </w:p>
    <w:p w:rsidR="00D555F2" w:rsidRPr="00C60AD1" w:rsidRDefault="00D555F2" w:rsidP="00D555F2">
      <w:pPr>
        <w:rPr>
          <w:b/>
        </w:rPr>
      </w:pPr>
      <w:r w:rsidRPr="00C60AD1">
        <w:rPr>
          <w:b/>
        </w:rPr>
        <w:t>1.</w:t>
      </w:r>
      <w:r w:rsidRPr="00C60AD1">
        <w:rPr>
          <w:b/>
        </w:rPr>
        <w:tab/>
        <w:t>APPLICABILITY:</w:t>
      </w:r>
    </w:p>
    <w:p w:rsidR="00D555F2" w:rsidRPr="00C60AD1" w:rsidRDefault="00D555F2" w:rsidP="00D555F2">
      <w:pPr>
        <w:ind w:left="720"/>
      </w:pPr>
      <w:r w:rsidRPr="00C60AD1">
        <w:t xml:space="preserve">This schedule shall apply to all consumers using electric energy for Light, Fan and Power loads for Non-Domestic purposes, like all type of Shops including </w:t>
      </w:r>
      <w:r w:rsidRPr="00C60AD1">
        <w:rPr>
          <w:rFonts w:cs="Arial"/>
        </w:rPr>
        <w:t>Patri Shopkeepers</w:t>
      </w:r>
      <w:r w:rsidRPr="00C60AD1">
        <w:t xml:space="preserve">, Hotels, Restaurants, Private Guest Houses, Private Transit Hostels, Private Students Hostels, Marriage Houses, Show-Rooms, Commercial / Trading Establishments, Cinema and Theatres, Banks, Cable T.V. Operators, Telephone Booths / PCO (STD / ISD), Fax Communication Centres, Photo Copiers, Cyber Café, Private Diagnostic Centres including X-Ray Plants, MRI Centres, CAT Scan Centres, Pathologies and Private Advertising / Sign Posts / Sign Boards, Commercial Institutions / Societies, Automobile Service Centres, Coaching Institutes, Private Museums, Power Looms with less than 5 kW load and for all companies registered under the Companies Act, 1956 with loads less than 75 kW. </w:t>
      </w:r>
    </w:p>
    <w:p w:rsidR="00D555F2" w:rsidRPr="00C60AD1" w:rsidRDefault="00D555F2" w:rsidP="00D555F2">
      <w:pPr>
        <w:ind w:left="720"/>
      </w:pPr>
    </w:p>
    <w:p w:rsidR="00D555F2" w:rsidRPr="00C60AD1" w:rsidRDefault="00D555F2" w:rsidP="00D555F2">
      <w:pPr>
        <w:ind w:left="720" w:hanging="720"/>
        <w:rPr>
          <w:b/>
        </w:rPr>
      </w:pPr>
      <w:r w:rsidRPr="00C60AD1">
        <w:rPr>
          <w:b/>
        </w:rPr>
        <w:t>2</w:t>
      </w:r>
      <w:r w:rsidRPr="00C60AD1">
        <w:t>.</w:t>
      </w:r>
      <w:r w:rsidRPr="00C60AD1">
        <w:tab/>
      </w:r>
      <w:r w:rsidRPr="00C60AD1">
        <w:rPr>
          <w:b/>
        </w:rPr>
        <w:t>Character and Point of Supply:</w:t>
      </w:r>
    </w:p>
    <w:p w:rsidR="00D555F2" w:rsidRPr="00C60AD1" w:rsidRDefault="00D555F2" w:rsidP="00D555F2">
      <w:pPr>
        <w:spacing w:line="240" w:lineRule="auto"/>
        <w:ind w:left="360" w:right="-58" w:firstLine="360"/>
        <w:rPr>
          <w:rFonts w:cs="Arial"/>
        </w:rPr>
      </w:pPr>
      <w:r w:rsidRPr="00C60AD1">
        <w:t>As per the applicable provisions of Electricity Supply Code.</w:t>
      </w:r>
    </w:p>
    <w:p w:rsidR="00D555F2" w:rsidRPr="00C60AD1" w:rsidRDefault="00D555F2" w:rsidP="00D555F2"/>
    <w:p w:rsidR="00D555F2" w:rsidRPr="00C60AD1" w:rsidRDefault="00D555F2" w:rsidP="00D555F2">
      <w:pPr>
        <w:rPr>
          <w:b/>
        </w:rPr>
      </w:pPr>
      <w:r w:rsidRPr="00C60AD1">
        <w:rPr>
          <w:b/>
        </w:rPr>
        <w:t xml:space="preserve">3. </w:t>
      </w:r>
      <w:r w:rsidRPr="00C60AD1">
        <w:rPr>
          <w:b/>
        </w:rPr>
        <w:tab/>
        <w:t>RATE:</w:t>
      </w:r>
    </w:p>
    <w:p w:rsidR="00D555F2" w:rsidRPr="00C60AD1" w:rsidRDefault="00D555F2" w:rsidP="00D555F2">
      <w:pPr>
        <w:spacing w:after="240"/>
        <w:ind w:left="720"/>
      </w:pPr>
      <w:r w:rsidRPr="00C60AD1">
        <w:t xml:space="preserve">Rate, gives the fixed and energy charges at which the consumer shall be billed for his consumption during the billing period applicable to the category: </w:t>
      </w:r>
    </w:p>
    <w:p w:rsidR="00D555F2" w:rsidRPr="00C60AD1" w:rsidRDefault="00D555F2" w:rsidP="00D555F2">
      <w:pPr>
        <w:spacing w:before="100" w:beforeAutospacing="1" w:after="240"/>
        <w:ind w:left="851" w:hanging="567"/>
        <w:rPr>
          <w:rFonts w:cs="Arial"/>
          <w:b/>
          <w:bCs/>
        </w:rPr>
      </w:pPr>
      <w:r w:rsidRPr="00C60AD1">
        <w:rPr>
          <w:rFonts w:cs="Arial"/>
          <w:b/>
          <w:bCs/>
        </w:rPr>
        <w:t xml:space="preserve">  (a) Consumers getting supply as per ‘Rural Schedule’</w:t>
      </w:r>
    </w:p>
    <w:tbl>
      <w:tblPr>
        <w:tblW w:w="7786"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64"/>
        <w:gridCol w:w="1851"/>
        <w:gridCol w:w="1841"/>
        <w:gridCol w:w="2430"/>
      </w:tblGrid>
      <w:tr w:rsidR="00D555F2" w:rsidRPr="00C60AD1" w:rsidTr="00BB5A5A">
        <w:trPr>
          <w:cantSplit/>
          <w:trHeight w:val="282"/>
          <w:tblHeader/>
          <w:jc w:val="center"/>
        </w:trPr>
        <w:tc>
          <w:tcPr>
            <w:tcW w:w="1664" w:type="dxa"/>
            <w:shd w:val="clear" w:color="auto" w:fill="DBE5F1" w:themeFill="accent1" w:themeFillTint="33"/>
          </w:tcPr>
          <w:p w:rsidR="00D555F2" w:rsidRPr="00C60AD1" w:rsidRDefault="00D555F2" w:rsidP="00BB5A5A">
            <w:pPr>
              <w:spacing w:before="0" w:line="240" w:lineRule="auto"/>
              <w:jc w:val="center"/>
              <w:rPr>
                <w:rFonts w:cs="Arial"/>
                <w:b/>
                <w:color w:val="000000"/>
              </w:rPr>
            </w:pPr>
            <w:r w:rsidRPr="00C60AD1">
              <w:rPr>
                <w:rFonts w:cs="Arial"/>
                <w:b/>
                <w:color w:val="000000"/>
              </w:rPr>
              <w:t>Description</w:t>
            </w:r>
          </w:p>
        </w:tc>
        <w:tc>
          <w:tcPr>
            <w:tcW w:w="1851" w:type="dxa"/>
            <w:shd w:val="clear" w:color="auto" w:fill="DBE5F1" w:themeFill="accent1" w:themeFillTint="33"/>
          </w:tcPr>
          <w:p w:rsidR="00D555F2" w:rsidRPr="00C60AD1" w:rsidRDefault="00D555F2" w:rsidP="00BB5A5A">
            <w:pPr>
              <w:spacing w:before="0" w:line="240" w:lineRule="auto"/>
              <w:jc w:val="center"/>
              <w:rPr>
                <w:rFonts w:cs="Arial"/>
                <w:b/>
                <w:color w:val="000000"/>
              </w:rPr>
            </w:pPr>
            <w:r w:rsidRPr="00C60AD1">
              <w:rPr>
                <w:rFonts w:cs="Arial"/>
                <w:b/>
                <w:color w:val="000000"/>
              </w:rPr>
              <w:t>Description</w:t>
            </w:r>
          </w:p>
        </w:tc>
        <w:tc>
          <w:tcPr>
            <w:tcW w:w="1841" w:type="dxa"/>
            <w:shd w:val="clear" w:color="auto" w:fill="DBE5F1" w:themeFill="accent1" w:themeFillTint="33"/>
          </w:tcPr>
          <w:p w:rsidR="00D555F2" w:rsidRPr="00C60AD1" w:rsidRDefault="00D555F2" w:rsidP="00BB5A5A">
            <w:pPr>
              <w:spacing w:before="0" w:line="240" w:lineRule="auto"/>
              <w:jc w:val="center"/>
              <w:rPr>
                <w:rFonts w:cs="Arial"/>
                <w:b/>
                <w:color w:val="000000"/>
              </w:rPr>
            </w:pPr>
            <w:r w:rsidRPr="00C60AD1">
              <w:rPr>
                <w:rFonts w:cs="Arial"/>
                <w:b/>
                <w:color w:val="000000"/>
              </w:rPr>
              <w:t>Fixed charge</w:t>
            </w:r>
          </w:p>
        </w:tc>
        <w:tc>
          <w:tcPr>
            <w:tcW w:w="2430" w:type="dxa"/>
            <w:shd w:val="clear" w:color="auto" w:fill="DBE5F1" w:themeFill="accent1" w:themeFillTint="33"/>
          </w:tcPr>
          <w:p w:rsidR="00D555F2" w:rsidRPr="00C60AD1" w:rsidRDefault="00D555F2" w:rsidP="00BB5A5A">
            <w:pPr>
              <w:spacing w:before="0" w:line="240" w:lineRule="auto"/>
              <w:jc w:val="center"/>
              <w:rPr>
                <w:rFonts w:cs="Arial"/>
                <w:b/>
                <w:color w:val="000000"/>
              </w:rPr>
            </w:pPr>
            <w:r w:rsidRPr="00C60AD1">
              <w:rPr>
                <w:rFonts w:cs="Arial"/>
                <w:b/>
                <w:color w:val="000000"/>
              </w:rPr>
              <w:t>Energy charge)</w:t>
            </w:r>
          </w:p>
        </w:tc>
      </w:tr>
      <w:tr w:rsidR="00D555F2" w:rsidRPr="00C60AD1" w:rsidTr="00BB5A5A">
        <w:trPr>
          <w:cantSplit/>
          <w:trHeight w:val="665"/>
          <w:jc w:val="center"/>
        </w:trPr>
        <w:tc>
          <w:tcPr>
            <w:tcW w:w="1664" w:type="dxa"/>
            <w:vAlign w:val="center"/>
          </w:tcPr>
          <w:p w:rsidR="00D555F2" w:rsidRPr="00C60AD1" w:rsidRDefault="00D555F2" w:rsidP="00BB5A5A">
            <w:pPr>
              <w:spacing w:before="0" w:line="240" w:lineRule="auto"/>
              <w:jc w:val="center"/>
              <w:rPr>
                <w:rFonts w:cs="Arial"/>
                <w:bCs/>
                <w:color w:val="000000"/>
              </w:rPr>
            </w:pPr>
            <w:r w:rsidRPr="00C60AD1">
              <w:rPr>
                <w:rFonts w:cs="Arial"/>
                <w:bCs/>
                <w:color w:val="000000"/>
              </w:rPr>
              <w:t>i) Un-metered</w:t>
            </w:r>
          </w:p>
        </w:tc>
        <w:tc>
          <w:tcPr>
            <w:tcW w:w="1851" w:type="dxa"/>
            <w:vAlign w:val="center"/>
          </w:tcPr>
          <w:p w:rsidR="00D555F2" w:rsidRPr="00C60AD1" w:rsidRDefault="00D555F2" w:rsidP="00BB5A5A">
            <w:pPr>
              <w:spacing w:before="0" w:line="240" w:lineRule="auto"/>
              <w:jc w:val="center"/>
              <w:rPr>
                <w:rFonts w:cs="Arial"/>
                <w:color w:val="000000"/>
              </w:rPr>
            </w:pPr>
            <w:r w:rsidRPr="00C60AD1">
              <w:rPr>
                <w:rFonts w:cs="Arial"/>
                <w:color w:val="000000"/>
              </w:rPr>
              <w:t>All Load</w:t>
            </w:r>
          </w:p>
        </w:tc>
        <w:tc>
          <w:tcPr>
            <w:tcW w:w="1841" w:type="dxa"/>
            <w:vAlign w:val="center"/>
          </w:tcPr>
          <w:p w:rsidR="00D555F2" w:rsidRPr="001D4C94" w:rsidRDefault="00D555F2" w:rsidP="00BB5A5A">
            <w:pPr>
              <w:spacing w:before="0" w:line="240" w:lineRule="auto"/>
              <w:jc w:val="center"/>
              <w:rPr>
                <w:rFonts w:cs="Arial"/>
                <w:color w:val="000000"/>
              </w:rPr>
            </w:pPr>
            <w:r w:rsidRPr="00C60AD1">
              <w:rPr>
                <w:rFonts w:cs="Arial"/>
                <w:color w:val="000000"/>
              </w:rPr>
              <w:t xml:space="preserve">Rs. </w:t>
            </w:r>
            <w:r>
              <w:rPr>
                <w:rFonts w:cs="Arial"/>
                <w:color w:val="000000"/>
              </w:rPr>
              <w:t>600</w:t>
            </w:r>
            <w:r w:rsidRPr="00C60AD1">
              <w:rPr>
                <w:rFonts w:cs="Arial"/>
                <w:color w:val="000000"/>
              </w:rPr>
              <w:t xml:space="preserve"> / kW / month</w:t>
            </w:r>
          </w:p>
        </w:tc>
        <w:tc>
          <w:tcPr>
            <w:tcW w:w="2430" w:type="dxa"/>
            <w:vAlign w:val="center"/>
          </w:tcPr>
          <w:p w:rsidR="00D555F2" w:rsidRPr="001D4C94" w:rsidRDefault="00D555F2" w:rsidP="00BB5A5A">
            <w:pPr>
              <w:spacing w:before="0" w:line="240" w:lineRule="auto"/>
              <w:jc w:val="center"/>
              <w:rPr>
                <w:rFonts w:cs="Arial"/>
                <w:color w:val="000000"/>
              </w:rPr>
            </w:pPr>
            <w:r w:rsidRPr="00C60AD1">
              <w:rPr>
                <w:rFonts w:cs="Arial"/>
                <w:color w:val="000000"/>
              </w:rPr>
              <w:t>Nil</w:t>
            </w:r>
          </w:p>
        </w:tc>
      </w:tr>
      <w:tr w:rsidR="00D555F2" w:rsidRPr="00C60AD1" w:rsidTr="00BB5A5A">
        <w:trPr>
          <w:cantSplit/>
          <w:trHeight w:val="275"/>
          <w:jc w:val="center"/>
        </w:trPr>
        <w:tc>
          <w:tcPr>
            <w:tcW w:w="1664" w:type="dxa"/>
          </w:tcPr>
          <w:p w:rsidR="00D555F2" w:rsidRPr="00C60AD1" w:rsidRDefault="00D555F2" w:rsidP="00BB5A5A">
            <w:pPr>
              <w:spacing w:before="0" w:line="240" w:lineRule="auto"/>
              <w:rPr>
                <w:rFonts w:cs="Arial"/>
                <w:bCs/>
                <w:color w:val="000000"/>
              </w:rPr>
            </w:pPr>
            <w:r w:rsidRPr="00C60AD1">
              <w:rPr>
                <w:rFonts w:cs="Arial"/>
                <w:bCs/>
              </w:rPr>
              <w:t xml:space="preserve"> ii) Metered </w:t>
            </w:r>
          </w:p>
        </w:tc>
        <w:tc>
          <w:tcPr>
            <w:tcW w:w="1851" w:type="dxa"/>
          </w:tcPr>
          <w:p w:rsidR="00D555F2" w:rsidRPr="00C60AD1" w:rsidRDefault="00D555F2" w:rsidP="00BB5A5A">
            <w:pPr>
              <w:spacing w:before="0" w:line="240" w:lineRule="auto"/>
              <w:jc w:val="center"/>
              <w:rPr>
                <w:color w:val="000000"/>
              </w:rPr>
            </w:pPr>
            <w:r w:rsidRPr="00C60AD1">
              <w:rPr>
                <w:color w:val="000000"/>
              </w:rPr>
              <w:t>All Load</w:t>
            </w:r>
          </w:p>
        </w:tc>
        <w:tc>
          <w:tcPr>
            <w:tcW w:w="1841" w:type="dxa"/>
          </w:tcPr>
          <w:p w:rsidR="00D555F2" w:rsidRPr="00C60AD1" w:rsidRDefault="00D555F2" w:rsidP="00BB5A5A">
            <w:pPr>
              <w:spacing w:before="0" w:line="240" w:lineRule="auto"/>
              <w:jc w:val="center"/>
              <w:rPr>
                <w:rFonts w:cs="Arial"/>
                <w:color w:val="000000"/>
              </w:rPr>
            </w:pPr>
            <w:r w:rsidRPr="00C60AD1">
              <w:rPr>
                <w:color w:val="000000"/>
              </w:rPr>
              <w:t>Rs. 6</w:t>
            </w:r>
            <w:r w:rsidRPr="00C60AD1">
              <w:t xml:space="preserve">5 </w:t>
            </w:r>
            <w:r w:rsidRPr="00C60AD1">
              <w:rPr>
                <w:color w:val="000000"/>
              </w:rPr>
              <w:t>/ kW / month</w:t>
            </w:r>
          </w:p>
        </w:tc>
        <w:tc>
          <w:tcPr>
            <w:tcW w:w="2430" w:type="dxa"/>
          </w:tcPr>
          <w:p w:rsidR="00D555F2" w:rsidRPr="00C60AD1" w:rsidRDefault="00D555F2" w:rsidP="00BB5A5A">
            <w:pPr>
              <w:spacing w:before="0" w:line="240" w:lineRule="auto"/>
              <w:jc w:val="center"/>
              <w:rPr>
                <w:rFonts w:cs="Arial"/>
                <w:color w:val="000000"/>
              </w:rPr>
            </w:pPr>
            <w:r w:rsidRPr="00C60AD1">
              <w:rPr>
                <w:rFonts w:cs="Arial"/>
                <w:color w:val="000000"/>
              </w:rPr>
              <w:t>Rs. 3.</w:t>
            </w:r>
            <w:r>
              <w:rPr>
                <w:rFonts w:cs="Arial"/>
                <w:color w:val="000000"/>
              </w:rPr>
              <w:t>5</w:t>
            </w:r>
            <w:r w:rsidRPr="00C60AD1">
              <w:rPr>
                <w:rFonts w:cs="Arial"/>
                <w:color w:val="000000"/>
              </w:rPr>
              <w:t>0 / kWh</w:t>
            </w:r>
          </w:p>
        </w:tc>
      </w:tr>
    </w:tbl>
    <w:p w:rsidR="00D555F2" w:rsidRPr="007B7140" w:rsidRDefault="00D555F2" w:rsidP="00D555F2">
      <w:pPr>
        <w:spacing w:before="0" w:line="288" w:lineRule="auto"/>
        <w:ind w:left="900"/>
        <w:rPr>
          <w:rFonts w:cs="Arial"/>
          <w:b/>
        </w:rPr>
      </w:pPr>
    </w:p>
    <w:p w:rsidR="00D555F2" w:rsidRDefault="00D555F2" w:rsidP="00D555F2">
      <w:pPr>
        <w:spacing w:before="0" w:line="288" w:lineRule="auto"/>
        <w:ind w:left="900"/>
        <w:rPr>
          <w:rFonts w:cs="Arial"/>
          <w:b/>
        </w:rPr>
      </w:pPr>
    </w:p>
    <w:p w:rsidR="00D555F2" w:rsidRPr="007B7140" w:rsidRDefault="00D555F2" w:rsidP="00D555F2">
      <w:pPr>
        <w:spacing w:before="0" w:line="288" w:lineRule="auto"/>
        <w:ind w:left="900"/>
        <w:rPr>
          <w:rFonts w:cs="Arial"/>
          <w:b/>
        </w:rPr>
      </w:pPr>
    </w:p>
    <w:p w:rsidR="00D555F2" w:rsidRDefault="00D555F2" w:rsidP="00D555F2">
      <w:pPr>
        <w:numPr>
          <w:ilvl w:val="0"/>
          <w:numId w:val="89"/>
        </w:numPr>
        <w:spacing w:before="0" w:line="288" w:lineRule="auto"/>
        <w:rPr>
          <w:rFonts w:cs="Arial"/>
          <w:b/>
        </w:rPr>
      </w:pPr>
      <w:r w:rsidRPr="00C60AD1">
        <w:rPr>
          <w:b/>
        </w:rPr>
        <w:lastRenderedPageBreak/>
        <w:t>Private Advertising / Sign Posts / Sign Boards / Glow Signs / Flex</w:t>
      </w:r>
      <w:r w:rsidRPr="00E421A9">
        <w:rPr>
          <w:b/>
          <w:vertAlign w:val="superscript"/>
        </w:rPr>
        <w:t>*</w:t>
      </w:r>
      <w:r w:rsidRPr="00C60AD1">
        <w:rPr>
          <w:b/>
        </w:rPr>
        <w:t>:</w:t>
      </w:r>
    </w:p>
    <w:p w:rsidR="00D555F2" w:rsidRPr="00C60AD1" w:rsidRDefault="00D555F2" w:rsidP="00D555F2">
      <w:pPr>
        <w:ind w:left="900"/>
      </w:pPr>
      <w:r w:rsidRPr="00C60AD1">
        <w:t>For all commercial (road side / roof tops of buildings) advertisement hoardings such as Private Advertising / Sign Posts / Sign Boards / Glow Signs / Flex, the rate of charge shall be as below:</w:t>
      </w:r>
    </w:p>
    <w:tbl>
      <w:tblPr>
        <w:tblpPr w:leftFromText="180" w:rightFromText="180" w:vertAnchor="text" w:horzAnchor="margin" w:tblpXSpec="center" w:tblpY="174"/>
        <w:tblW w:w="57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845"/>
        <w:gridCol w:w="2043"/>
        <w:gridCol w:w="1818"/>
      </w:tblGrid>
      <w:tr w:rsidR="00D555F2" w:rsidRPr="00C60AD1" w:rsidTr="00BB5A5A">
        <w:trPr>
          <w:cantSplit/>
          <w:trHeight w:val="246"/>
        </w:trPr>
        <w:tc>
          <w:tcPr>
            <w:tcW w:w="1845" w:type="dxa"/>
            <w:shd w:val="clear" w:color="auto" w:fill="DBE5F1" w:themeFill="accent1" w:themeFillTint="33"/>
          </w:tcPr>
          <w:p w:rsidR="00D555F2" w:rsidRPr="00C60AD1" w:rsidRDefault="00D555F2" w:rsidP="00BB5A5A">
            <w:pPr>
              <w:ind w:left="360" w:right="-45"/>
              <w:jc w:val="center"/>
              <w:rPr>
                <w:rFonts w:cs="Arial"/>
                <w:b/>
              </w:rPr>
            </w:pPr>
            <w:r w:rsidRPr="00C60AD1">
              <w:br w:type="page"/>
            </w:r>
            <w:r w:rsidRPr="00C60AD1">
              <w:rPr>
                <w:rFonts w:cs="Arial"/>
                <w:b/>
              </w:rPr>
              <w:t>Description</w:t>
            </w:r>
          </w:p>
        </w:tc>
        <w:tc>
          <w:tcPr>
            <w:tcW w:w="2043" w:type="dxa"/>
            <w:tcBorders>
              <w:top w:val="single" w:sz="4" w:space="0" w:color="auto"/>
              <w:right w:val="single" w:sz="4" w:space="0" w:color="auto"/>
            </w:tcBorders>
            <w:shd w:val="clear" w:color="auto" w:fill="DBE5F1" w:themeFill="accent1" w:themeFillTint="33"/>
          </w:tcPr>
          <w:p w:rsidR="00D555F2" w:rsidRPr="00C60AD1" w:rsidRDefault="00D555F2" w:rsidP="00BB5A5A">
            <w:pPr>
              <w:ind w:right="-122"/>
              <w:jc w:val="center"/>
              <w:rPr>
                <w:rFonts w:cs="Arial"/>
                <w:b/>
              </w:rPr>
            </w:pPr>
            <w:r w:rsidRPr="00C60AD1">
              <w:rPr>
                <w:rFonts w:cs="Arial"/>
                <w:b/>
              </w:rPr>
              <w:t>Fixed Charge</w:t>
            </w:r>
          </w:p>
        </w:tc>
        <w:tc>
          <w:tcPr>
            <w:tcW w:w="1818" w:type="dxa"/>
            <w:tcBorders>
              <w:top w:val="single" w:sz="4" w:space="0" w:color="auto"/>
              <w:right w:val="single" w:sz="4" w:space="0" w:color="auto"/>
            </w:tcBorders>
            <w:shd w:val="clear" w:color="auto" w:fill="DBE5F1" w:themeFill="accent1" w:themeFillTint="33"/>
          </w:tcPr>
          <w:p w:rsidR="00D555F2" w:rsidRPr="00C60AD1" w:rsidRDefault="00D555F2" w:rsidP="00BB5A5A">
            <w:pPr>
              <w:ind w:right="-122"/>
              <w:jc w:val="center"/>
              <w:rPr>
                <w:rFonts w:cs="Arial"/>
                <w:b/>
              </w:rPr>
            </w:pPr>
            <w:r w:rsidRPr="00C60AD1">
              <w:rPr>
                <w:rFonts w:cs="Arial"/>
                <w:b/>
              </w:rPr>
              <w:t>Energy Charge</w:t>
            </w:r>
          </w:p>
        </w:tc>
      </w:tr>
      <w:tr w:rsidR="00D555F2" w:rsidRPr="00C60AD1" w:rsidTr="00BB5A5A">
        <w:tc>
          <w:tcPr>
            <w:tcW w:w="1845" w:type="dxa"/>
          </w:tcPr>
          <w:p w:rsidR="00D555F2" w:rsidRPr="00C60AD1" w:rsidRDefault="00D555F2" w:rsidP="00BB5A5A">
            <w:pPr>
              <w:ind w:left="342" w:right="-4"/>
              <w:rPr>
                <w:rFonts w:cs="Arial"/>
              </w:rPr>
            </w:pPr>
            <w:r w:rsidRPr="00C60AD1">
              <w:rPr>
                <w:rFonts w:cs="Arial"/>
              </w:rPr>
              <w:t>Metered</w:t>
            </w:r>
          </w:p>
        </w:tc>
        <w:tc>
          <w:tcPr>
            <w:tcW w:w="2043" w:type="dxa"/>
          </w:tcPr>
          <w:p w:rsidR="00D555F2" w:rsidRPr="00C60AD1" w:rsidRDefault="00D555F2" w:rsidP="00BB5A5A">
            <w:pPr>
              <w:ind w:right="-108"/>
              <w:jc w:val="center"/>
              <w:rPr>
                <w:rFonts w:cs="Arial"/>
              </w:rPr>
            </w:pPr>
            <w:r w:rsidRPr="00C60AD1">
              <w:rPr>
                <w:rFonts w:cs="Arial"/>
              </w:rPr>
              <w:t>-</w:t>
            </w:r>
          </w:p>
        </w:tc>
        <w:tc>
          <w:tcPr>
            <w:tcW w:w="1818" w:type="dxa"/>
          </w:tcPr>
          <w:p w:rsidR="00D555F2" w:rsidRPr="00C60AD1" w:rsidRDefault="00D555F2" w:rsidP="00BB5A5A">
            <w:pPr>
              <w:ind w:right="-18"/>
              <w:jc w:val="center"/>
              <w:rPr>
                <w:rFonts w:cs="Arial"/>
              </w:rPr>
            </w:pPr>
            <w:r w:rsidRPr="00C60AD1">
              <w:rPr>
                <w:rFonts w:cs="Arial"/>
              </w:rPr>
              <w:t>Rs. 18.00 / kWh</w:t>
            </w:r>
          </w:p>
        </w:tc>
      </w:tr>
    </w:tbl>
    <w:p w:rsidR="00D555F2" w:rsidRPr="00C60AD1" w:rsidRDefault="00D555F2" w:rsidP="00D555F2">
      <w:pPr>
        <w:rPr>
          <w:rFonts w:cs="Arial"/>
          <w:b/>
        </w:rPr>
      </w:pPr>
    </w:p>
    <w:p w:rsidR="00D555F2" w:rsidRPr="00C60AD1" w:rsidRDefault="00D555F2" w:rsidP="00D555F2">
      <w:pPr>
        <w:rPr>
          <w:rFonts w:cs="Arial"/>
          <w:b/>
        </w:rPr>
      </w:pPr>
    </w:p>
    <w:p w:rsidR="00D555F2" w:rsidRPr="00C60AD1" w:rsidRDefault="00D555F2" w:rsidP="00D555F2">
      <w:pPr>
        <w:rPr>
          <w:rFonts w:cs="Arial"/>
          <w:b/>
        </w:rPr>
      </w:pPr>
    </w:p>
    <w:p w:rsidR="00D555F2" w:rsidRDefault="00D555F2" w:rsidP="00D555F2">
      <w:pPr>
        <w:spacing w:before="0"/>
        <w:ind w:left="720"/>
        <w:rPr>
          <w:rFonts w:cs="Arial"/>
          <w:b/>
        </w:rPr>
      </w:pPr>
      <w:r w:rsidRPr="000873E5">
        <w:rPr>
          <w:i/>
          <w:sz w:val="22"/>
        </w:rPr>
        <w:t xml:space="preserve">*Minimum bill payable by a consumer under the category “(b) Private Advertising / Sign Posts / Sign Boards / Glow Signs / Flex category” shall be Rs. </w:t>
      </w:r>
      <w:r w:rsidRPr="00C60AD1">
        <w:rPr>
          <w:rFonts w:cs="Arial"/>
          <w:i/>
          <w:sz w:val="22"/>
        </w:rPr>
        <w:t>1</w:t>
      </w:r>
      <w:r>
        <w:rPr>
          <w:rFonts w:cs="Arial"/>
          <w:i/>
          <w:sz w:val="22"/>
        </w:rPr>
        <w:t>6</w:t>
      </w:r>
      <w:r w:rsidRPr="00C60AD1">
        <w:rPr>
          <w:rFonts w:cs="Arial"/>
          <w:i/>
          <w:sz w:val="22"/>
        </w:rPr>
        <w:t>00</w:t>
      </w:r>
      <w:r w:rsidRPr="000873E5">
        <w:rPr>
          <w:i/>
          <w:sz w:val="22"/>
        </w:rPr>
        <w:t xml:space="preserve"> / kW / Month.</w:t>
      </w:r>
    </w:p>
    <w:p w:rsidR="00D555F2" w:rsidRPr="00C60AD1" w:rsidRDefault="00D555F2" w:rsidP="00D555F2">
      <w:pPr>
        <w:ind w:left="720" w:firstLine="360"/>
        <w:rPr>
          <w:rFonts w:cs="Arial"/>
          <w:b/>
        </w:rPr>
      </w:pPr>
      <w:r w:rsidRPr="00C60AD1">
        <w:rPr>
          <w:rFonts w:cs="Arial"/>
          <w:b/>
        </w:rPr>
        <w:t xml:space="preserve">Note: </w:t>
      </w:r>
    </w:p>
    <w:p w:rsidR="00D555F2" w:rsidRPr="00C60AD1" w:rsidRDefault="00D555F2" w:rsidP="00D555F2">
      <w:pPr>
        <w:pStyle w:val="ListParagraph"/>
        <w:numPr>
          <w:ilvl w:val="0"/>
          <w:numId w:val="102"/>
        </w:numPr>
        <w:ind w:left="1440"/>
        <w:rPr>
          <w:rFonts w:cs="Arial"/>
        </w:rPr>
      </w:pPr>
      <w:r w:rsidRPr="00C60AD1">
        <w:rPr>
          <w:rFonts w:cs="Arial"/>
        </w:rPr>
        <w:t>For application of these rates Licensee shall ensure that such consumption is separately metered.</w:t>
      </w:r>
    </w:p>
    <w:p w:rsidR="00D555F2" w:rsidRPr="00C60AD1" w:rsidRDefault="00D555F2" w:rsidP="00D555F2">
      <w:pPr>
        <w:rPr>
          <w:rFonts w:cs="Arial"/>
        </w:rPr>
      </w:pPr>
      <w:r w:rsidRPr="00C60AD1">
        <w:rPr>
          <w:rFonts w:cs="Arial"/>
        </w:rPr>
        <w:t xml:space="preserve"> </w:t>
      </w:r>
    </w:p>
    <w:p w:rsidR="00D555F2" w:rsidRDefault="00D555F2" w:rsidP="00D555F2">
      <w:pPr>
        <w:numPr>
          <w:ilvl w:val="0"/>
          <w:numId w:val="89"/>
        </w:numPr>
        <w:spacing w:before="0" w:line="288" w:lineRule="auto"/>
        <w:rPr>
          <w:rFonts w:cs="Arial"/>
        </w:rPr>
      </w:pPr>
      <w:r w:rsidRPr="00C60AD1">
        <w:rPr>
          <w:rFonts w:cs="Arial"/>
          <w:b/>
        </w:rPr>
        <w:t xml:space="preserve">In all other cases, </w:t>
      </w:r>
      <w:r w:rsidRPr="00C60AD1">
        <w:rPr>
          <w:rFonts w:cs="Arial"/>
        </w:rPr>
        <w:t>including urban consumers and consumers getting supply through rural feeders but exempted from scheduled rostering / restrictions or through co-generating radial feeders in villages / towns.</w:t>
      </w:r>
    </w:p>
    <w:p w:rsidR="00D555F2" w:rsidRPr="00C60AD1" w:rsidRDefault="00D555F2" w:rsidP="00D555F2">
      <w:pPr>
        <w:ind w:left="540"/>
        <w:rPr>
          <w:rFonts w:cs="Arial"/>
        </w:rPr>
      </w:pPr>
    </w:p>
    <w:tbl>
      <w:tblPr>
        <w:tblW w:w="6616"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9"/>
        <w:gridCol w:w="2717"/>
      </w:tblGrid>
      <w:tr w:rsidR="00D555F2" w:rsidRPr="00C60AD1" w:rsidTr="00BB5A5A">
        <w:trPr>
          <w:trHeight w:val="499"/>
          <w:tblHeader/>
          <w:jc w:val="center"/>
        </w:trPr>
        <w:tc>
          <w:tcPr>
            <w:tcW w:w="3899" w:type="dxa"/>
            <w:shd w:val="clear" w:color="auto" w:fill="DBE5F1" w:themeFill="accent1" w:themeFillTint="33"/>
          </w:tcPr>
          <w:p w:rsidR="00D555F2" w:rsidRPr="00C60AD1" w:rsidRDefault="00D555F2" w:rsidP="00BB5A5A">
            <w:pPr>
              <w:spacing w:before="0" w:line="240" w:lineRule="auto"/>
              <w:ind w:left="360" w:right="-45"/>
              <w:jc w:val="center"/>
              <w:rPr>
                <w:b/>
              </w:rPr>
            </w:pPr>
            <w:r>
              <w:rPr>
                <w:b/>
              </w:rPr>
              <w:t>Contracted Load</w:t>
            </w:r>
            <w:r w:rsidRPr="00C60AD1">
              <w:rPr>
                <w:b/>
              </w:rPr>
              <w:t xml:space="preserve"> </w:t>
            </w:r>
          </w:p>
        </w:tc>
        <w:tc>
          <w:tcPr>
            <w:tcW w:w="2717" w:type="dxa"/>
            <w:shd w:val="clear" w:color="auto" w:fill="DBE5F1" w:themeFill="accent1" w:themeFillTint="33"/>
          </w:tcPr>
          <w:p w:rsidR="00D555F2" w:rsidRPr="00C60AD1" w:rsidRDefault="00D555F2" w:rsidP="00BB5A5A">
            <w:pPr>
              <w:keepNext/>
              <w:spacing w:before="0" w:after="120" w:line="240" w:lineRule="auto"/>
              <w:jc w:val="center"/>
              <w:rPr>
                <w:rFonts w:cs="Arial"/>
                <w:b/>
                <w:bCs/>
              </w:rPr>
            </w:pPr>
            <w:r w:rsidRPr="00C60AD1">
              <w:rPr>
                <w:rFonts w:cs="Arial"/>
                <w:b/>
                <w:bCs/>
              </w:rPr>
              <w:t>Fixed Charge</w:t>
            </w:r>
          </w:p>
        </w:tc>
      </w:tr>
      <w:tr w:rsidR="00D555F2" w:rsidRPr="00C60AD1" w:rsidTr="00BB5A5A">
        <w:trPr>
          <w:trHeight w:val="279"/>
          <w:jc w:val="center"/>
        </w:trPr>
        <w:tc>
          <w:tcPr>
            <w:tcW w:w="3899" w:type="dxa"/>
          </w:tcPr>
          <w:p w:rsidR="00D555F2" w:rsidRDefault="00D555F2" w:rsidP="00BB5A5A">
            <w:pPr>
              <w:keepNext/>
              <w:spacing w:before="0" w:after="120" w:line="240" w:lineRule="auto"/>
              <w:jc w:val="left"/>
              <w:rPr>
                <w:rFonts w:cs="Arial"/>
                <w:bCs/>
              </w:rPr>
            </w:pPr>
            <w:r w:rsidRPr="00865EE5">
              <w:rPr>
                <w:rFonts w:cs="Arial"/>
                <w:bCs/>
              </w:rPr>
              <w:t>Up</w:t>
            </w:r>
            <w:r>
              <w:rPr>
                <w:rFonts w:cs="Arial"/>
                <w:bCs/>
              </w:rPr>
              <w:t xml:space="preserve"> </w:t>
            </w:r>
            <w:r w:rsidRPr="00865EE5">
              <w:rPr>
                <w:rFonts w:cs="Arial"/>
                <w:bCs/>
              </w:rPr>
              <w:t>to 2 kW</w:t>
            </w:r>
          </w:p>
        </w:tc>
        <w:tc>
          <w:tcPr>
            <w:tcW w:w="2717" w:type="dxa"/>
          </w:tcPr>
          <w:p w:rsidR="00D555F2" w:rsidRPr="00C60AD1" w:rsidRDefault="00D555F2" w:rsidP="00BB5A5A">
            <w:pPr>
              <w:keepNext/>
              <w:spacing w:before="0" w:after="120" w:line="240" w:lineRule="auto"/>
              <w:jc w:val="center"/>
              <w:rPr>
                <w:rFonts w:cs="Arial"/>
                <w:bCs/>
              </w:rPr>
            </w:pPr>
            <w:r w:rsidRPr="00C60AD1">
              <w:rPr>
                <w:bCs/>
              </w:rPr>
              <w:t>Rs. 225.00 / kW / month</w:t>
            </w:r>
          </w:p>
        </w:tc>
      </w:tr>
      <w:tr w:rsidR="00D555F2" w:rsidRPr="00C60AD1" w:rsidTr="00BB5A5A">
        <w:trPr>
          <w:trHeight w:val="402"/>
          <w:jc w:val="center"/>
        </w:trPr>
        <w:tc>
          <w:tcPr>
            <w:tcW w:w="3899" w:type="dxa"/>
          </w:tcPr>
          <w:p w:rsidR="00D555F2" w:rsidRDefault="00D555F2" w:rsidP="00BB5A5A">
            <w:pPr>
              <w:keepNext/>
              <w:spacing w:before="0" w:after="120" w:line="240" w:lineRule="auto"/>
              <w:jc w:val="left"/>
              <w:rPr>
                <w:rFonts w:cs="Arial"/>
                <w:bCs/>
              </w:rPr>
            </w:pPr>
            <w:r>
              <w:rPr>
                <w:rFonts w:cs="Arial"/>
                <w:bCs/>
              </w:rPr>
              <w:t xml:space="preserve">Above </w:t>
            </w:r>
            <w:r w:rsidRPr="00865EE5">
              <w:rPr>
                <w:rFonts w:cs="Arial"/>
                <w:bCs/>
              </w:rPr>
              <w:t>2 kW to 4 kW</w:t>
            </w:r>
          </w:p>
        </w:tc>
        <w:tc>
          <w:tcPr>
            <w:tcW w:w="2717" w:type="dxa"/>
          </w:tcPr>
          <w:p w:rsidR="00D555F2" w:rsidRPr="00C60AD1" w:rsidRDefault="00D555F2" w:rsidP="00BB5A5A">
            <w:pPr>
              <w:keepNext/>
              <w:spacing w:before="0" w:after="120" w:line="240" w:lineRule="auto"/>
              <w:jc w:val="center"/>
              <w:rPr>
                <w:bCs/>
              </w:rPr>
            </w:pPr>
            <w:r>
              <w:rPr>
                <w:bCs/>
              </w:rPr>
              <w:t>Rs. 27</w:t>
            </w:r>
            <w:r w:rsidRPr="00C60AD1">
              <w:rPr>
                <w:bCs/>
              </w:rPr>
              <w:t>5.00 / kW / month</w:t>
            </w:r>
          </w:p>
        </w:tc>
      </w:tr>
      <w:tr w:rsidR="00D555F2" w:rsidRPr="00C60AD1" w:rsidTr="00BB5A5A">
        <w:trPr>
          <w:trHeight w:val="291"/>
          <w:jc w:val="center"/>
        </w:trPr>
        <w:tc>
          <w:tcPr>
            <w:tcW w:w="3899" w:type="dxa"/>
          </w:tcPr>
          <w:p w:rsidR="00D555F2" w:rsidRDefault="00D555F2" w:rsidP="00BB5A5A">
            <w:pPr>
              <w:keepNext/>
              <w:spacing w:before="0" w:after="120" w:line="240" w:lineRule="auto"/>
              <w:jc w:val="left"/>
              <w:rPr>
                <w:rFonts w:cs="Arial"/>
                <w:bCs/>
              </w:rPr>
            </w:pPr>
            <w:r w:rsidRPr="00865EE5">
              <w:rPr>
                <w:rFonts w:cs="Arial"/>
                <w:bCs/>
              </w:rPr>
              <w:t>Above 4 kW</w:t>
            </w:r>
          </w:p>
        </w:tc>
        <w:tc>
          <w:tcPr>
            <w:tcW w:w="2717" w:type="dxa"/>
          </w:tcPr>
          <w:p w:rsidR="00D555F2" w:rsidRPr="00C60AD1" w:rsidRDefault="00D555F2" w:rsidP="00BB5A5A">
            <w:pPr>
              <w:keepNext/>
              <w:spacing w:before="0" w:after="120" w:line="240" w:lineRule="auto"/>
              <w:jc w:val="center"/>
              <w:rPr>
                <w:bCs/>
              </w:rPr>
            </w:pPr>
            <w:r>
              <w:rPr>
                <w:bCs/>
              </w:rPr>
              <w:t>Rs. 35</w:t>
            </w:r>
            <w:r w:rsidRPr="00C60AD1">
              <w:rPr>
                <w:bCs/>
              </w:rPr>
              <w:t>5.00 / kW / month</w:t>
            </w:r>
          </w:p>
        </w:tc>
      </w:tr>
    </w:tbl>
    <w:p w:rsidR="00D555F2" w:rsidRDefault="00D555F2" w:rsidP="00D555F2">
      <w:pPr>
        <w:rPr>
          <w:b/>
          <w:i/>
          <w:sz w:val="22"/>
        </w:rPr>
      </w:pPr>
    </w:p>
    <w:tbl>
      <w:tblPr>
        <w:tblW w:w="6583"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2"/>
        <w:gridCol w:w="2701"/>
      </w:tblGrid>
      <w:tr w:rsidR="00D555F2" w:rsidRPr="00C60AD1" w:rsidTr="00BB5A5A">
        <w:trPr>
          <w:trHeight w:val="278"/>
          <w:tblHeader/>
          <w:jc w:val="center"/>
        </w:trPr>
        <w:tc>
          <w:tcPr>
            <w:tcW w:w="3882" w:type="dxa"/>
            <w:shd w:val="clear" w:color="auto" w:fill="DBE5F1" w:themeFill="accent1" w:themeFillTint="33"/>
          </w:tcPr>
          <w:p w:rsidR="00D555F2" w:rsidRPr="00C60AD1" w:rsidRDefault="00D555F2" w:rsidP="00BB5A5A">
            <w:pPr>
              <w:spacing w:before="0" w:line="240" w:lineRule="auto"/>
              <w:ind w:left="360" w:right="-45"/>
              <w:jc w:val="center"/>
              <w:rPr>
                <w:b/>
              </w:rPr>
            </w:pPr>
            <w:r w:rsidRPr="00C60AD1">
              <w:rPr>
                <w:b/>
              </w:rPr>
              <w:t xml:space="preserve">Consumption Range </w:t>
            </w:r>
          </w:p>
        </w:tc>
        <w:tc>
          <w:tcPr>
            <w:tcW w:w="2701" w:type="dxa"/>
            <w:shd w:val="clear" w:color="auto" w:fill="DBE5F1" w:themeFill="accent1" w:themeFillTint="33"/>
          </w:tcPr>
          <w:p w:rsidR="00D555F2" w:rsidRPr="00C60AD1" w:rsidRDefault="00D555F2" w:rsidP="00BB5A5A">
            <w:pPr>
              <w:keepNext/>
              <w:spacing w:before="0" w:after="120" w:line="240" w:lineRule="auto"/>
              <w:jc w:val="center"/>
              <w:rPr>
                <w:rFonts w:cs="Arial"/>
                <w:b/>
                <w:bCs/>
              </w:rPr>
            </w:pPr>
            <w:r w:rsidRPr="00C60AD1">
              <w:rPr>
                <w:rFonts w:cs="Arial"/>
                <w:b/>
                <w:bCs/>
              </w:rPr>
              <w:t>Energy Charge</w:t>
            </w:r>
          </w:p>
        </w:tc>
      </w:tr>
      <w:tr w:rsidR="00D555F2" w:rsidRPr="00C60AD1" w:rsidTr="00BB5A5A">
        <w:trPr>
          <w:trHeight w:val="394"/>
          <w:jc w:val="center"/>
        </w:trPr>
        <w:tc>
          <w:tcPr>
            <w:tcW w:w="3882" w:type="dxa"/>
          </w:tcPr>
          <w:p w:rsidR="00D555F2" w:rsidRPr="00136ADD" w:rsidRDefault="00D555F2" w:rsidP="00BB5A5A">
            <w:pPr>
              <w:keepNext/>
              <w:spacing w:before="0" w:after="120" w:line="240" w:lineRule="auto"/>
              <w:jc w:val="left"/>
              <w:rPr>
                <w:rFonts w:cs="Arial"/>
                <w:bCs/>
                <w:sz w:val="18"/>
                <w:szCs w:val="18"/>
              </w:rPr>
            </w:pPr>
            <w:r>
              <w:rPr>
                <w:rFonts w:cs="Arial"/>
                <w:bCs/>
              </w:rPr>
              <w:t>For first 300 kWh / month</w:t>
            </w:r>
          </w:p>
        </w:tc>
        <w:tc>
          <w:tcPr>
            <w:tcW w:w="2701" w:type="dxa"/>
            <w:vAlign w:val="center"/>
          </w:tcPr>
          <w:p w:rsidR="00D555F2" w:rsidRDefault="00D555F2" w:rsidP="00BB5A5A">
            <w:pPr>
              <w:keepNext/>
              <w:spacing w:before="0" w:after="120" w:line="240" w:lineRule="auto"/>
              <w:jc w:val="center"/>
              <w:rPr>
                <w:rFonts w:cs="Arial"/>
                <w:b/>
                <w:bCs/>
                <w:caps/>
                <w:kern w:val="32"/>
                <w:sz w:val="18"/>
                <w:szCs w:val="32"/>
              </w:rPr>
            </w:pPr>
            <w:r w:rsidRPr="00C60AD1">
              <w:rPr>
                <w:rFonts w:cs="Arial"/>
                <w:bCs/>
              </w:rPr>
              <w:t>Rs. 6.70</w:t>
            </w:r>
            <w:r>
              <w:rPr>
                <w:rFonts w:cs="Arial"/>
                <w:bCs/>
              </w:rPr>
              <w:t xml:space="preserve"> </w:t>
            </w:r>
            <w:r w:rsidRPr="00C60AD1">
              <w:rPr>
                <w:rFonts w:cs="Arial"/>
                <w:bCs/>
              </w:rPr>
              <w:t>/</w:t>
            </w:r>
            <w:r>
              <w:rPr>
                <w:rFonts w:cs="Arial"/>
                <w:bCs/>
              </w:rPr>
              <w:t xml:space="preserve"> </w:t>
            </w:r>
            <w:r w:rsidRPr="00C60AD1">
              <w:rPr>
                <w:rFonts w:cs="Arial"/>
                <w:bCs/>
              </w:rPr>
              <w:t xml:space="preserve"> kWh</w:t>
            </w:r>
          </w:p>
        </w:tc>
      </w:tr>
      <w:tr w:rsidR="00D555F2" w:rsidRPr="00C60AD1" w:rsidTr="00BB5A5A">
        <w:trPr>
          <w:trHeight w:val="387"/>
          <w:jc w:val="center"/>
        </w:trPr>
        <w:tc>
          <w:tcPr>
            <w:tcW w:w="3882" w:type="dxa"/>
          </w:tcPr>
          <w:p w:rsidR="00D555F2" w:rsidRPr="00136ADD" w:rsidRDefault="00D555F2" w:rsidP="00BB5A5A">
            <w:pPr>
              <w:keepNext/>
              <w:spacing w:before="0" w:after="120" w:line="240" w:lineRule="auto"/>
              <w:jc w:val="left"/>
              <w:rPr>
                <w:rFonts w:cs="Arial"/>
                <w:bCs/>
                <w:sz w:val="18"/>
                <w:szCs w:val="18"/>
              </w:rPr>
            </w:pPr>
            <w:r>
              <w:rPr>
                <w:rFonts w:cs="Arial"/>
                <w:bCs/>
              </w:rPr>
              <w:t>For next 301 – 1000 kWh / month</w:t>
            </w:r>
          </w:p>
        </w:tc>
        <w:tc>
          <w:tcPr>
            <w:tcW w:w="2701" w:type="dxa"/>
            <w:vAlign w:val="center"/>
          </w:tcPr>
          <w:p w:rsidR="00D555F2" w:rsidRDefault="00D555F2" w:rsidP="00BB5A5A">
            <w:pPr>
              <w:keepNext/>
              <w:spacing w:before="0" w:after="120" w:line="240" w:lineRule="auto"/>
              <w:jc w:val="center"/>
              <w:rPr>
                <w:rFonts w:cs="Arial"/>
                <w:bCs/>
                <w:sz w:val="18"/>
                <w:szCs w:val="18"/>
              </w:rPr>
            </w:pPr>
            <w:r w:rsidRPr="00C60AD1">
              <w:rPr>
                <w:rFonts w:cs="Arial"/>
                <w:bCs/>
                <w:szCs w:val="22"/>
              </w:rPr>
              <w:t>Rs. 7.</w:t>
            </w:r>
            <w:r>
              <w:rPr>
                <w:rFonts w:cs="Arial"/>
                <w:bCs/>
                <w:szCs w:val="22"/>
              </w:rPr>
              <w:t xml:space="preserve">75 </w:t>
            </w:r>
            <w:r w:rsidRPr="00C60AD1">
              <w:rPr>
                <w:rFonts w:cs="Arial"/>
                <w:bCs/>
                <w:szCs w:val="22"/>
              </w:rPr>
              <w:t>/ kWh</w:t>
            </w:r>
          </w:p>
        </w:tc>
      </w:tr>
      <w:tr w:rsidR="00D555F2" w:rsidRPr="00C60AD1" w:rsidTr="00BB5A5A">
        <w:trPr>
          <w:trHeight w:val="725"/>
          <w:jc w:val="center"/>
        </w:trPr>
        <w:tc>
          <w:tcPr>
            <w:tcW w:w="3882" w:type="dxa"/>
          </w:tcPr>
          <w:p w:rsidR="00D555F2" w:rsidRPr="00136ADD" w:rsidRDefault="00D555F2" w:rsidP="00BB5A5A">
            <w:pPr>
              <w:keepNext/>
              <w:spacing w:before="0" w:after="120" w:line="240" w:lineRule="auto"/>
              <w:jc w:val="left"/>
              <w:rPr>
                <w:rFonts w:cs="Arial"/>
                <w:bCs/>
                <w:sz w:val="18"/>
                <w:szCs w:val="18"/>
              </w:rPr>
            </w:pPr>
            <w:r>
              <w:rPr>
                <w:rFonts w:cs="Arial"/>
                <w:bCs/>
              </w:rPr>
              <w:t xml:space="preserve">For </w:t>
            </w:r>
            <w:r w:rsidRPr="00D9618C">
              <w:rPr>
                <w:rFonts w:cs="Arial"/>
                <w:bCs/>
              </w:rPr>
              <w:t>a</w:t>
            </w:r>
            <w:r>
              <w:rPr>
                <w:rFonts w:cs="Arial"/>
                <w:bCs/>
              </w:rPr>
              <w:t>bove 1000 kWh / month (Starting from 1001</w:t>
            </w:r>
            <w:r>
              <w:rPr>
                <w:rFonts w:cs="Arial"/>
                <w:bCs/>
                <w:color w:val="000000"/>
                <w:vertAlign w:val="superscript"/>
              </w:rPr>
              <w:t>st</w:t>
            </w:r>
            <w:r>
              <w:rPr>
                <w:rFonts w:cs="Arial"/>
                <w:bCs/>
                <w:color w:val="000000"/>
              </w:rPr>
              <w:t xml:space="preserve"> </w:t>
            </w:r>
            <w:r>
              <w:rPr>
                <w:rFonts w:cs="Arial"/>
                <w:bCs/>
              </w:rPr>
              <w:t>unit)</w:t>
            </w:r>
          </w:p>
        </w:tc>
        <w:tc>
          <w:tcPr>
            <w:tcW w:w="2701" w:type="dxa"/>
            <w:vAlign w:val="center"/>
          </w:tcPr>
          <w:p w:rsidR="00D555F2" w:rsidRDefault="00D555F2" w:rsidP="00BB5A5A">
            <w:pPr>
              <w:keepNext/>
              <w:spacing w:before="0" w:after="120" w:line="240" w:lineRule="auto"/>
              <w:jc w:val="center"/>
              <w:rPr>
                <w:rFonts w:cs="Arial"/>
                <w:bCs/>
                <w:sz w:val="18"/>
                <w:szCs w:val="18"/>
              </w:rPr>
            </w:pPr>
            <w:r w:rsidRPr="00C60AD1">
              <w:rPr>
                <w:rFonts w:cs="Arial"/>
                <w:bCs/>
                <w:szCs w:val="22"/>
              </w:rPr>
              <w:t>Rs. 7.</w:t>
            </w:r>
            <w:r>
              <w:rPr>
                <w:rFonts w:cs="Arial"/>
                <w:bCs/>
                <w:szCs w:val="22"/>
              </w:rPr>
              <w:t xml:space="preserve">95 </w:t>
            </w:r>
            <w:r w:rsidRPr="00C60AD1">
              <w:rPr>
                <w:rFonts w:cs="Arial"/>
                <w:bCs/>
                <w:szCs w:val="22"/>
              </w:rPr>
              <w:t>/</w:t>
            </w:r>
            <w:r>
              <w:rPr>
                <w:rFonts w:cs="Arial"/>
                <w:bCs/>
                <w:szCs w:val="22"/>
              </w:rPr>
              <w:t xml:space="preserve"> </w:t>
            </w:r>
            <w:r w:rsidRPr="00C60AD1">
              <w:rPr>
                <w:rFonts w:cs="Arial"/>
                <w:bCs/>
                <w:szCs w:val="22"/>
              </w:rPr>
              <w:t xml:space="preserve"> kWh</w:t>
            </w:r>
          </w:p>
        </w:tc>
      </w:tr>
    </w:tbl>
    <w:p w:rsidR="00D555F2" w:rsidRDefault="00D555F2" w:rsidP="00D555F2">
      <w:pPr>
        <w:spacing w:before="0"/>
        <w:rPr>
          <w:b/>
          <w:i/>
          <w:sz w:val="22"/>
        </w:rPr>
      </w:pPr>
    </w:p>
    <w:p w:rsidR="00D555F2" w:rsidRDefault="00D555F2" w:rsidP="00D555F2">
      <w:pPr>
        <w:ind w:left="450"/>
        <w:rPr>
          <w:rFonts w:cs="Arial"/>
          <w:b/>
          <w:bCs/>
          <w:i/>
        </w:rPr>
      </w:pPr>
      <w:r>
        <w:rPr>
          <w:b/>
          <w:i/>
          <w:sz w:val="22"/>
        </w:rPr>
        <w:t>Note:</w:t>
      </w:r>
      <w:r>
        <w:rPr>
          <w:i/>
          <w:sz w:val="22"/>
        </w:rPr>
        <w:t xml:space="preserve"> Minimum charge </w:t>
      </w:r>
      <w:r w:rsidRPr="00D9618C">
        <w:rPr>
          <w:i/>
          <w:sz w:val="22"/>
        </w:rPr>
        <w:t>(as defined under C</w:t>
      </w:r>
      <w:r>
        <w:rPr>
          <w:i/>
          <w:sz w:val="22"/>
        </w:rPr>
        <w:t xml:space="preserve">lause 20 </w:t>
      </w:r>
      <w:r w:rsidRPr="00D9618C">
        <w:rPr>
          <w:i/>
          <w:sz w:val="22"/>
        </w:rPr>
        <w:t>of General Provisions</w:t>
      </w:r>
      <w:r>
        <w:rPr>
          <w:i/>
          <w:sz w:val="22"/>
        </w:rPr>
        <w:t>) payable by a consumer under the category “(c) In all other cases“shall be Rs. 500 / kW / month (From April to September)</w:t>
      </w:r>
      <w:r w:rsidRPr="000873E5">
        <w:rPr>
          <w:i/>
          <w:sz w:val="22"/>
        </w:rPr>
        <w:t xml:space="preserve"> and </w:t>
      </w:r>
      <w:r w:rsidRPr="00201853">
        <w:rPr>
          <w:i/>
          <w:sz w:val="22"/>
        </w:rPr>
        <w:t>Rs. 375 / kW / month</w:t>
      </w:r>
      <w:r w:rsidRPr="000873E5">
        <w:rPr>
          <w:i/>
          <w:sz w:val="22"/>
        </w:rPr>
        <w:t xml:space="preserve"> (From October to March).</w:t>
      </w:r>
    </w:p>
    <w:p w:rsidR="00D555F2" w:rsidRDefault="00D555F2" w:rsidP="00D555F2">
      <w:pPr>
        <w:spacing w:before="0" w:line="240" w:lineRule="auto"/>
        <w:jc w:val="left"/>
        <w:rPr>
          <w:rFonts w:cs="Arial"/>
          <w:b/>
          <w:bCs/>
        </w:rPr>
      </w:pPr>
    </w:p>
    <w:p w:rsidR="00D555F2" w:rsidRPr="00C60AD1" w:rsidRDefault="00D555F2" w:rsidP="00D555F2">
      <w:pPr>
        <w:ind w:firstLine="450"/>
        <w:rPr>
          <w:rFonts w:cs="Arial"/>
          <w:b/>
          <w:bCs/>
        </w:rPr>
      </w:pPr>
      <w:r w:rsidRPr="00C60AD1">
        <w:rPr>
          <w:rFonts w:cs="Arial"/>
          <w:b/>
          <w:bCs/>
        </w:rPr>
        <w:lastRenderedPageBreak/>
        <w:t xml:space="preserve">Note: </w:t>
      </w:r>
    </w:p>
    <w:p w:rsidR="00D555F2" w:rsidRPr="00C60AD1" w:rsidRDefault="00D555F2" w:rsidP="00D555F2">
      <w:pPr>
        <w:pStyle w:val="ListParagraph"/>
        <w:numPr>
          <w:ilvl w:val="0"/>
          <w:numId w:val="103"/>
        </w:numPr>
        <w:rPr>
          <w:rFonts w:cs="Arial"/>
          <w:bCs/>
        </w:rPr>
      </w:pPr>
      <w:r w:rsidRPr="00C60AD1">
        <w:rPr>
          <w:rFonts w:cs="Arial"/>
          <w:bCs/>
        </w:rPr>
        <w:t xml:space="preserve">For all consumers under this category the maximum demand during the month recorded by the meter has to be essentially indicated in their monthly bills. However, this condition would be mandatory only in case meter reading is done by the Licensee. Accordingly, if the bill is being prepared on the basis of reading being submitted by the consumer then the consumer would not be liable to furnish maximum demand during the month and his bill would not be held back for lack of data on maximum demand. </w:t>
      </w:r>
    </w:p>
    <w:p w:rsidR="00D555F2" w:rsidRPr="00C60AD1" w:rsidRDefault="00D555F2" w:rsidP="00D555F2">
      <w:pPr>
        <w:pStyle w:val="ListParagraph"/>
        <w:ind w:left="1080"/>
        <w:rPr>
          <w:rFonts w:cs="Arial"/>
          <w:bCs/>
        </w:rPr>
      </w:pPr>
    </w:p>
    <w:p w:rsidR="00D555F2" w:rsidRPr="00C60AD1" w:rsidRDefault="00D555F2" w:rsidP="00D555F2">
      <w:pPr>
        <w:tabs>
          <w:tab w:val="left" w:pos="360"/>
          <w:tab w:val="left" w:pos="720"/>
        </w:tabs>
        <w:spacing w:before="100"/>
        <w:ind w:left="720" w:right="29" w:hanging="720"/>
        <w:rPr>
          <w:b/>
        </w:rPr>
      </w:pPr>
      <w:r w:rsidRPr="00C60AD1">
        <w:rPr>
          <w:rFonts w:cs="Arial"/>
          <w:bCs/>
        </w:rPr>
        <w:t xml:space="preserve">  </w:t>
      </w:r>
      <w:r w:rsidRPr="00C60AD1">
        <w:rPr>
          <w:b/>
        </w:rPr>
        <w:t>4.</w:t>
      </w:r>
      <w:r w:rsidRPr="00C60AD1">
        <w:rPr>
          <w:b/>
        </w:rPr>
        <w:tab/>
      </w:r>
      <w:r w:rsidRPr="00C60AD1">
        <w:rPr>
          <w:b/>
        </w:rPr>
        <w:tab/>
        <w:t>REBATE TO POWER LOOMS:</w:t>
      </w:r>
    </w:p>
    <w:p w:rsidR="00D555F2" w:rsidRPr="00C60AD1" w:rsidRDefault="00D555F2" w:rsidP="00D555F2">
      <w:pPr>
        <w:ind w:left="720"/>
        <w:rPr>
          <w:b/>
          <w:bCs/>
        </w:rPr>
      </w:pPr>
      <w:r w:rsidRPr="00C60AD1">
        <w:t xml:space="preserve">Rebate to Power Loom consumers shall be applicable in accordance with the Government order dated June 14, 2006 and the Commission’s order dated July 11, 2006 subject to adherence of provision of advance subsidy.  </w:t>
      </w:r>
    </w:p>
    <w:p w:rsidR="00D555F2" w:rsidRPr="00C60AD1" w:rsidRDefault="00D555F2" w:rsidP="00D555F2">
      <w:pPr>
        <w:jc w:val="center"/>
        <w:rPr>
          <w:b/>
          <w:u w:val="single"/>
        </w:rPr>
      </w:pPr>
      <w:r w:rsidRPr="00C60AD1">
        <w:br w:type="page"/>
      </w:r>
      <w:r w:rsidRPr="00C60AD1">
        <w:rPr>
          <w:b/>
          <w:u w:val="single"/>
        </w:rPr>
        <w:lastRenderedPageBreak/>
        <w:t>RATE SCHEDULE LMV -3:</w:t>
      </w:r>
    </w:p>
    <w:p w:rsidR="00D555F2" w:rsidRPr="00C60AD1" w:rsidRDefault="00D555F2" w:rsidP="00D555F2">
      <w:pPr>
        <w:jc w:val="center"/>
      </w:pPr>
    </w:p>
    <w:p w:rsidR="00D555F2" w:rsidRPr="00C60AD1" w:rsidRDefault="00D555F2" w:rsidP="00D555F2">
      <w:pPr>
        <w:jc w:val="center"/>
        <w:rPr>
          <w:b/>
        </w:rPr>
      </w:pPr>
      <w:r w:rsidRPr="00C60AD1">
        <w:rPr>
          <w:b/>
        </w:rPr>
        <w:t>PUBLIC LAMPS:</w:t>
      </w:r>
    </w:p>
    <w:p w:rsidR="00D555F2" w:rsidRPr="00C60AD1" w:rsidRDefault="00D555F2" w:rsidP="00D555F2">
      <w:pPr>
        <w:jc w:val="center"/>
        <w:rPr>
          <w:b/>
        </w:rPr>
      </w:pPr>
    </w:p>
    <w:p w:rsidR="00D555F2" w:rsidRPr="00C60AD1" w:rsidRDefault="00D555F2" w:rsidP="00D555F2">
      <w:pPr>
        <w:rPr>
          <w:b/>
        </w:rPr>
      </w:pPr>
      <w:r w:rsidRPr="00C60AD1">
        <w:rPr>
          <w:b/>
        </w:rPr>
        <w:t>1.</w:t>
      </w:r>
      <w:r w:rsidRPr="00C60AD1">
        <w:rPr>
          <w:b/>
        </w:rPr>
        <w:tab/>
        <w:t>APPLICABILITY:</w:t>
      </w:r>
    </w:p>
    <w:p w:rsidR="00D555F2" w:rsidRPr="00C60AD1" w:rsidRDefault="00D555F2" w:rsidP="00D555F2">
      <w:pPr>
        <w:spacing w:before="100" w:after="120"/>
        <w:ind w:left="720" w:right="29"/>
      </w:pPr>
      <w:r w:rsidRPr="00C60AD1">
        <w:t>This schedule shall apply to Public Lamps including Street Lighting System, Road Traffic Control Signals, Lighting of Public Parks, etc. The street lighting in Harijan Bastis and Rural Areas are also covered by this rate schedule.</w:t>
      </w:r>
    </w:p>
    <w:p w:rsidR="00D555F2" w:rsidRPr="00C60AD1" w:rsidRDefault="00D555F2" w:rsidP="00D555F2">
      <w:pPr>
        <w:spacing w:before="100" w:after="120"/>
        <w:ind w:left="720" w:right="29"/>
      </w:pPr>
    </w:p>
    <w:p w:rsidR="00D555F2" w:rsidRPr="00C60AD1" w:rsidRDefault="00D555F2" w:rsidP="00D555F2">
      <w:pPr>
        <w:ind w:left="720" w:hanging="720"/>
        <w:rPr>
          <w:b/>
        </w:rPr>
      </w:pPr>
      <w:r w:rsidRPr="00C60AD1">
        <w:rPr>
          <w:b/>
        </w:rPr>
        <w:t>2.</w:t>
      </w:r>
      <w:r w:rsidRPr="00C60AD1">
        <w:tab/>
      </w:r>
      <w:r w:rsidRPr="00C60AD1">
        <w:rPr>
          <w:b/>
        </w:rPr>
        <w:t>CHARACTER AND POINT OF SUPPLY:</w:t>
      </w:r>
    </w:p>
    <w:p w:rsidR="00D555F2" w:rsidRPr="00C60AD1" w:rsidRDefault="00D555F2" w:rsidP="00D555F2">
      <w:pPr>
        <w:spacing w:line="240" w:lineRule="auto"/>
        <w:ind w:left="360" w:right="-58" w:firstLine="360"/>
        <w:rPr>
          <w:rFonts w:cs="Arial"/>
        </w:rPr>
      </w:pPr>
      <w:r w:rsidRPr="00C60AD1">
        <w:t>As per the applicable provisions of Electricity Supply Code.</w:t>
      </w:r>
    </w:p>
    <w:p w:rsidR="00D555F2" w:rsidRPr="00C60AD1" w:rsidRDefault="00D555F2" w:rsidP="00D555F2">
      <w:pPr>
        <w:ind w:left="720" w:hanging="720"/>
        <w:rPr>
          <w:b/>
        </w:rPr>
      </w:pPr>
      <w:r w:rsidRPr="00C60AD1">
        <w:t xml:space="preserve">  </w:t>
      </w:r>
    </w:p>
    <w:p w:rsidR="00D555F2" w:rsidRPr="00C60AD1" w:rsidRDefault="00D555F2" w:rsidP="00D555F2">
      <w:pPr>
        <w:rPr>
          <w:b/>
        </w:rPr>
      </w:pPr>
      <w:r w:rsidRPr="00C60AD1">
        <w:rPr>
          <w:b/>
        </w:rPr>
        <w:t>3.</w:t>
      </w:r>
      <w:r w:rsidRPr="00C60AD1">
        <w:tab/>
      </w:r>
      <w:r w:rsidRPr="00C60AD1">
        <w:rPr>
          <w:b/>
        </w:rPr>
        <w:t xml:space="preserve">RATE: </w:t>
      </w:r>
    </w:p>
    <w:p w:rsidR="00D555F2" w:rsidRPr="00C60AD1" w:rsidRDefault="00D555F2" w:rsidP="00D555F2">
      <w:pPr>
        <w:ind w:left="720"/>
      </w:pPr>
      <w:r w:rsidRPr="00C60AD1">
        <w:t xml:space="preserve">Rate gives the fixed and energy charges (including the TOD rates as applicable to the hour of operation) at which the consumer shall be billed for his consumption during the billing period applicable to the category: </w:t>
      </w:r>
    </w:p>
    <w:p w:rsidR="00D555F2" w:rsidRDefault="00D555F2" w:rsidP="00D555F2">
      <w:pPr>
        <w:numPr>
          <w:ilvl w:val="0"/>
          <w:numId w:val="80"/>
        </w:numPr>
        <w:tabs>
          <w:tab w:val="clear" w:pos="720"/>
          <w:tab w:val="num" w:pos="1440"/>
        </w:tabs>
        <w:spacing w:after="120" w:line="288" w:lineRule="auto"/>
        <w:ind w:left="360" w:right="1440" w:firstLine="360"/>
        <w:rPr>
          <w:b/>
        </w:rPr>
      </w:pPr>
      <w:r w:rsidRPr="00C60AD1">
        <w:rPr>
          <w:b/>
        </w:rPr>
        <w:t>Un-metered Supply:</w:t>
      </w:r>
    </w:p>
    <w:tbl>
      <w:tblPr>
        <w:tblW w:w="855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941"/>
        <w:gridCol w:w="1890"/>
        <w:gridCol w:w="2099"/>
        <w:gridCol w:w="1620"/>
      </w:tblGrid>
      <w:tr w:rsidR="00D555F2" w:rsidRPr="00C60AD1" w:rsidTr="00BB5A5A">
        <w:tc>
          <w:tcPr>
            <w:tcW w:w="2941" w:type="dxa"/>
            <w:shd w:val="clear" w:color="auto" w:fill="DBE5F1" w:themeFill="accent1" w:themeFillTint="33"/>
          </w:tcPr>
          <w:p w:rsidR="00D555F2" w:rsidRPr="00C60AD1" w:rsidRDefault="00D555F2" w:rsidP="00BB5A5A">
            <w:pPr>
              <w:ind w:right="-116"/>
              <w:jc w:val="center"/>
              <w:rPr>
                <w:b/>
              </w:rPr>
            </w:pPr>
            <w:r w:rsidRPr="00C60AD1">
              <w:rPr>
                <w:b/>
              </w:rPr>
              <w:t>Description</w:t>
            </w:r>
          </w:p>
        </w:tc>
        <w:tc>
          <w:tcPr>
            <w:tcW w:w="1890" w:type="dxa"/>
            <w:shd w:val="clear" w:color="auto" w:fill="DBE5F1" w:themeFill="accent1" w:themeFillTint="33"/>
          </w:tcPr>
          <w:p w:rsidR="00D555F2" w:rsidRPr="00C60AD1" w:rsidRDefault="00D555F2" w:rsidP="00BB5A5A">
            <w:pPr>
              <w:jc w:val="center"/>
              <w:rPr>
                <w:b/>
              </w:rPr>
            </w:pPr>
            <w:r w:rsidRPr="00C60AD1">
              <w:rPr>
                <w:b/>
              </w:rPr>
              <w:t>Gram Panchayat</w:t>
            </w:r>
          </w:p>
        </w:tc>
        <w:tc>
          <w:tcPr>
            <w:tcW w:w="2099" w:type="dxa"/>
            <w:shd w:val="clear" w:color="auto" w:fill="DBE5F1" w:themeFill="accent1" w:themeFillTint="33"/>
          </w:tcPr>
          <w:p w:rsidR="00D555F2" w:rsidRPr="00C60AD1" w:rsidRDefault="00D555F2" w:rsidP="00BB5A5A">
            <w:pPr>
              <w:jc w:val="center"/>
              <w:rPr>
                <w:b/>
                <w:lang w:val="sv-SE"/>
              </w:rPr>
            </w:pPr>
            <w:r w:rsidRPr="00C60AD1">
              <w:rPr>
                <w:b/>
                <w:lang w:val="sv-SE"/>
              </w:rPr>
              <w:t>Nagar Palika and Nagar Panchayat</w:t>
            </w:r>
          </w:p>
        </w:tc>
        <w:tc>
          <w:tcPr>
            <w:tcW w:w="1620" w:type="dxa"/>
            <w:shd w:val="clear" w:color="auto" w:fill="DBE5F1" w:themeFill="accent1" w:themeFillTint="33"/>
          </w:tcPr>
          <w:p w:rsidR="00D555F2" w:rsidRPr="00C60AD1" w:rsidRDefault="00D555F2" w:rsidP="00BB5A5A">
            <w:pPr>
              <w:ind w:right="-122"/>
              <w:jc w:val="center"/>
              <w:rPr>
                <w:b/>
              </w:rPr>
            </w:pPr>
            <w:r w:rsidRPr="00C60AD1">
              <w:rPr>
                <w:b/>
              </w:rPr>
              <w:t>Nagar Nigam</w:t>
            </w:r>
          </w:p>
        </w:tc>
      </w:tr>
      <w:tr w:rsidR="00D555F2" w:rsidRPr="00C60AD1" w:rsidTr="00BB5A5A">
        <w:tc>
          <w:tcPr>
            <w:tcW w:w="2941" w:type="dxa"/>
          </w:tcPr>
          <w:p w:rsidR="00D555F2" w:rsidRPr="00C60AD1" w:rsidRDefault="00D555F2" w:rsidP="00BB5A5A">
            <w:pPr>
              <w:ind w:right="-4"/>
            </w:pPr>
            <w:r w:rsidRPr="00C60AD1">
              <w:t>To be billed on the basis of total connected load calculated as the summation of individual points</w:t>
            </w:r>
          </w:p>
        </w:tc>
        <w:tc>
          <w:tcPr>
            <w:tcW w:w="1890" w:type="dxa"/>
          </w:tcPr>
          <w:p w:rsidR="00D555F2" w:rsidRPr="00C60AD1" w:rsidRDefault="00D555F2" w:rsidP="00BB5A5A">
            <w:pPr>
              <w:pStyle w:val="BodyText"/>
              <w:spacing w:line="288" w:lineRule="auto"/>
            </w:pPr>
            <w:r w:rsidRPr="00C60AD1">
              <w:t xml:space="preserve">Rs. 1700 per kW or part thereof per month </w:t>
            </w:r>
          </w:p>
        </w:tc>
        <w:tc>
          <w:tcPr>
            <w:tcW w:w="2099" w:type="dxa"/>
          </w:tcPr>
          <w:p w:rsidR="00D555F2" w:rsidRDefault="00D555F2" w:rsidP="00BB5A5A">
            <w:pPr>
              <w:spacing w:after="120" w:line="288" w:lineRule="auto"/>
            </w:pPr>
            <w:r w:rsidRPr="00C60AD1">
              <w:t>Rs. 2</w:t>
            </w:r>
            <w:r>
              <w:t>6</w:t>
            </w:r>
            <w:r w:rsidRPr="00C60AD1">
              <w:t>00 per kW or part thereof per month</w:t>
            </w:r>
          </w:p>
        </w:tc>
        <w:tc>
          <w:tcPr>
            <w:tcW w:w="1620" w:type="dxa"/>
          </w:tcPr>
          <w:p w:rsidR="00D555F2" w:rsidRPr="00C60AD1" w:rsidRDefault="00D555F2" w:rsidP="00BB5A5A">
            <w:pPr>
              <w:pStyle w:val="BodyText"/>
              <w:spacing w:line="288" w:lineRule="auto"/>
            </w:pPr>
            <w:r w:rsidRPr="00C60AD1">
              <w:t>Rs. 3</w:t>
            </w:r>
            <w:r>
              <w:t>5</w:t>
            </w:r>
            <w:r w:rsidRPr="00C60AD1">
              <w:t>00 per kW or part thereof per month</w:t>
            </w:r>
          </w:p>
        </w:tc>
      </w:tr>
    </w:tbl>
    <w:p w:rsidR="00D555F2" w:rsidRDefault="00D555F2" w:rsidP="00D555F2">
      <w:pPr>
        <w:spacing w:line="240" w:lineRule="auto"/>
        <w:jc w:val="left"/>
        <w:rPr>
          <w:b/>
        </w:rPr>
      </w:pPr>
      <w:r w:rsidRPr="00C60AD1">
        <w:rPr>
          <w:b/>
        </w:rPr>
        <w:br w:type="page"/>
      </w:r>
    </w:p>
    <w:p w:rsidR="00D555F2" w:rsidRDefault="00D555F2" w:rsidP="00686B86">
      <w:pPr>
        <w:numPr>
          <w:ilvl w:val="0"/>
          <w:numId w:val="80"/>
        </w:numPr>
        <w:tabs>
          <w:tab w:val="clear" w:pos="720"/>
          <w:tab w:val="num" w:pos="1440"/>
        </w:tabs>
        <w:spacing w:before="240" w:after="120" w:line="288" w:lineRule="auto"/>
        <w:ind w:left="446" w:right="1440" w:firstLine="274"/>
        <w:rPr>
          <w:b/>
        </w:rPr>
      </w:pPr>
      <w:r w:rsidRPr="00C60AD1">
        <w:rPr>
          <w:b/>
        </w:rPr>
        <w:lastRenderedPageBreak/>
        <w:t>Metered Supply:</w:t>
      </w:r>
    </w:p>
    <w:tbl>
      <w:tblPr>
        <w:tblW w:w="855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260"/>
        <w:gridCol w:w="1170"/>
        <w:gridCol w:w="1170"/>
        <w:gridCol w:w="1260"/>
        <w:gridCol w:w="1260"/>
        <w:gridCol w:w="1170"/>
        <w:gridCol w:w="1260"/>
      </w:tblGrid>
      <w:tr w:rsidR="00D555F2" w:rsidRPr="00C60AD1" w:rsidTr="00BB5A5A">
        <w:trPr>
          <w:tblHeader/>
        </w:trPr>
        <w:tc>
          <w:tcPr>
            <w:tcW w:w="1260" w:type="dxa"/>
            <w:tcBorders>
              <w:bottom w:val="single" w:sz="4" w:space="0" w:color="auto"/>
            </w:tcBorders>
            <w:shd w:val="clear" w:color="auto" w:fill="DBE5F1" w:themeFill="accent1" w:themeFillTint="33"/>
          </w:tcPr>
          <w:p w:rsidR="00D555F2" w:rsidRPr="00C60AD1" w:rsidRDefault="00D555F2" w:rsidP="00BB5A5A">
            <w:pPr>
              <w:ind w:left="-108" w:right="-116"/>
              <w:jc w:val="center"/>
              <w:rPr>
                <w:b/>
              </w:rPr>
            </w:pPr>
            <w:r w:rsidRPr="00C60AD1">
              <w:rPr>
                <w:b/>
              </w:rPr>
              <w:t>Description</w:t>
            </w:r>
          </w:p>
        </w:tc>
        <w:tc>
          <w:tcPr>
            <w:tcW w:w="2340" w:type="dxa"/>
            <w:gridSpan w:val="2"/>
            <w:shd w:val="clear" w:color="auto" w:fill="DBE5F1" w:themeFill="accent1" w:themeFillTint="33"/>
          </w:tcPr>
          <w:p w:rsidR="00D555F2" w:rsidRPr="00C60AD1" w:rsidRDefault="00D555F2" w:rsidP="00BB5A5A">
            <w:pPr>
              <w:jc w:val="center"/>
              <w:rPr>
                <w:b/>
              </w:rPr>
            </w:pPr>
            <w:r w:rsidRPr="00C60AD1">
              <w:rPr>
                <w:b/>
              </w:rPr>
              <w:t>Gram Panchayat</w:t>
            </w:r>
          </w:p>
        </w:tc>
        <w:tc>
          <w:tcPr>
            <w:tcW w:w="2520" w:type="dxa"/>
            <w:gridSpan w:val="2"/>
            <w:shd w:val="clear" w:color="auto" w:fill="DBE5F1" w:themeFill="accent1" w:themeFillTint="33"/>
          </w:tcPr>
          <w:p w:rsidR="00D555F2" w:rsidRPr="00C60AD1" w:rsidRDefault="00D555F2" w:rsidP="00BB5A5A">
            <w:pPr>
              <w:jc w:val="center"/>
              <w:rPr>
                <w:b/>
                <w:lang w:val="sv-SE"/>
              </w:rPr>
            </w:pPr>
            <w:r w:rsidRPr="00C60AD1">
              <w:rPr>
                <w:b/>
                <w:lang w:val="sv-SE"/>
              </w:rPr>
              <w:t>Nagar Palika and Nagar Panchayat</w:t>
            </w:r>
          </w:p>
        </w:tc>
        <w:tc>
          <w:tcPr>
            <w:tcW w:w="2430" w:type="dxa"/>
            <w:gridSpan w:val="2"/>
            <w:shd w:val="clear" w:color="auto" w:fill="DBE5F1" w:themeFill="accent1" w:themeFillTint="33"/>
          </w:tcPr>
          <w:p w:rsidR="00D555F2" w:rsidRPr="00C60AD1" w:rsidRDefault="00D555F2" w:rsidP="00BB5A5A">
            <w:pPr>
              <w:ind w:right="-122"/>
              <w:jc w:val="center"/>
              <w:rPr>
                <w:b/>
              </w:rPr>
            </w:pPr>
            <w:r w:rsidRPr="00C60AD1">
              <w:rPr>
                <w:b/>
              </w:rPr>
              <w:t>Nagar Nigam</w:t>
            </w:r>
          </w:p>
        </w:tc>
      </w:tr>
      <w:tr w:rsidR="00D555F2" w:rsidRPr="00C60AD1" w:rsidTr="00BB5A5A">
        <w:trPr>
          <w:trHeight w:val="462"/>
        </w:trPr>
        <w:tc>
          <w:tcPr>
            <w:tcW w:w="1260" w:type="dxa"/>
            <w:vMerge w:val="restart"/>
            <w:tcBorders>
              <w:top w:val="single" w:sz="4" w:space="0" w:color="auto"/>
            </w:tcBorders>
          </w:tcPr>
          <w:p w:rsidR="00D555F2" w:rsidRPr="00C60AD1" w:rsidRDefault="00D555F2" w:rsidP="00BB5A5A">
            <w:pPr>
              <w:ind w:right="-4"/>
            </w:pPr>
            <w:r w:rsidRPr="00C60AD1">
              <w:t>All loads</w:t>
            </w:r>
          </w:p>
        </w:tc>
        <w:tc>
          <w:tcPr>
            <w:tcW w:w="1170" w:type="dxa"/>
            <w:tcBorders>
              <w:bottom w:val="single" w:sz="4" w:space="0" w:color="auto"/>
              <w:right w:val="single" w:sz="4" w:space="0" w:color="auto"/>
            </w:tcBorders>
          </w:tcPr>
          <w:p w:rsidR="00D555F2" w:rsidRPr="00C60AD1" w:rsidRDefault="00D555F2" w:rsidP="00BB5A5A">
            <w:pPr>
              <w:pStyle w:val="BodyText"/>
              <w:spacing w:line="288" w:lineRule="auto"/>
            </w:pPr>
            <w:r w:rsidRPr="00C60AD1">
              <w:t>Fixed Charges</w:t>
            </w:r>
          </w:p>
        </w:tc>
        <w:tc>
          <w:tcPr>
            <w:tcW w:w="1170" w:type="dxa"/>
            <w:tcBorders>
              <w:left w:val="single" w:sz="4" w:space="0" w:color="auto"/>
              <w:bottom w:val="single" w:sz="4" w:space="0" w:color="auto"/>
            </w:tcBorders>
          </w:tcPr>
          <w:p w:rsidR="00D555F2" w:rsidRPr="00C60AD1" w:rsidRDefault="00D555F2" w:rsidP="00BB5A5A">
            <w:pPr>
              <w:pStyle w:val="BodyText"/>
              <w:spacing w:line="288" w:lineRule="auto"/>
            </w:pPr>
            <w:r w:rsidRPr="00C60AD1">
              <w:t>Energy Charges</w:t>
            </w:r>
          </w:p>
        </w:tc>
        <w:tc>
          <w:tcPr>
            <w:tcW w:w="1260" w:type="dxa"/>
            <w:tcBorders>
              <w:bottom w:val="single" w:sz="4" w:space="0" w:color="auto"/>
              <w:right w:val="single" w:sz="4" w:space="0" w:color="auto"/>
            </w:tcBorders>
          </w:tcPr>
          <w:p w:rsidR="00D555F2" w:rsidRPr="00C60AD1" w:rsidRDefault="00D555F2" w:rsidP="00BB5A5A">
            <w:pPr>
              <w:pStyle w:val="BodyText"/>
              <w:spacing w:line="288" w:lineRule="auto"/>
            </w:pPr>
            <w:r w:rsidRPr="00C60AD1">
              <w:t>Fixed Charges</w:t>
            </w:r>
          </w:p>
        </w:tc>
        <w:tc>
          <w:tcPr>
            <w:tcW w:w="1260" w:type="dxa"/>
            <w:tcBorders>
              <w:left w:val="single" w:sz="4" w:space="0" w:color="auto"/>
              <w:bottom w:val="single" w:sz="4" w:space="0" w:color="auto"/>
            </w:tcBorders>
          </w:tcPr>
          <w:p w:rsidR="00D555F2" w:rsidRPr="00C60AD1" w:rsidRDefault="00D555F2" w:rsidP="00BB5A5A">
            <w:pPr>
              <w:pStyle w:val="BodyText"/>
              <w:spacing w:line="288" w:lineRule="auto"/>
            </w:pPr>
            <w:r w:rsidRPr="00C60AD1">
              <w:t>Energy Charges</w:t>
            </w:r>
          </w:p>
        </w:tc>
        <w:tc>
          <w:tcPr>
            <w:tcW w:w="1170" w:type="dxa"/>
            <w:tcBorders>
              <w:bottom w:val="single" w:sz="4" w:space="0" w:color="auto"/>
              <w:right w:val="single" w:sz="4" w:space="0" w:color="auto"/>
            </w:tcBorders>
          </w:tcPr>
          <w:p w:rsidR="00D555F2" w:rsidRPr="00C60AD1" w:rsidRDefault="00D555F2" w:rsidP="00BB5A5A">
            <w:pPr>
              <w:pStyle w:val="BodyText"/>
              <w:spacing w:line="288" w:lineRule="auto"/>
            </w:pPr>
            <w:r w:rsidRPr="00C60AD1">
              <w:t>Fixed Charges</w:t>
            </w:r>
          </w:p>
        </w:tc>
        <w:tc>
          <w:tcPr>
            <w:tcW w:w="1260" w:type="dxa"/>
            <w:tcBorders>
              <w:left w:val="single" w:sz="4" w:space="0" w:color="auto"/>
              <w:bottom w:val="single" w:sz="4" w:space="0" w:color="auto"/>
            </w:tcBorders>
          </w:tcPr>
          <w:p w:rsidR="00D555F2" w:rsidRPr="00C60AD1" w:rsidRDefault="00D555F2" w:rsidP="00BB5A5A">
            <w:pPr>
              <w:pStyle w:val="BodyText"/>
              <w:spacing w:line="288" w:lineRule="auto"/>
            </w:pPr>
            <w:r w:rsidRPr="00C60AD1">
              <w:t>Energy Charges</w:t>
            </w:r>
          </w:p>
        </w:tc>
      </w:tr>
      <w:tr w:rsidR="00D555F2" w:rsidRPr="00C60AD1" w:rsidTr="00BB5A5A">
        <w:trPr>
          <w:trHeight w:val="570"/>
        </w:trPr>
        <w:tc>
          <w:tcPr>
            <w:tcW w:w="1260" w:type="dxa"/>
            <w:vMerge/>
          </w:tcPr>
          <w:p w:rsidR="00D555F2" w:rsidRPr="00C60AD1" w:rsidRDefault="00D555F2" w:rsidP="00BB5A5A">
            <w:pPr>
              <w:ind w:right="-4"/>
            </w:pPr>
          </w:p>
        </w:tc>
        <w:tc>
          <w:tcPr>
            <w:tcW w:w="1170" w:type="dxa"/>
            <w:tcBorders>
              <w:top w:val="single" w:sz="4" w:space="0" w:color="auto"/>
              <w:bottom w:val="single" w:sz="4" w:space="0" w:color="auto"/>
              <w:right w:val="single" w:sz="4" w:space="0" w:color="auto"/>
            </w:tcBorders>
          </w:tcPr>
          <w:p w:rsidR="00D555F2" w:rsidRPr="00C60AD1" w:rsidRDefault="00D555F2" w:rsidP="00BB5A5A">
            <w:pPr>
              <w:pStyle w:val="BodyText"/>
              <w:spacing w:line="288" w:lineRule="auto"/>
              <w:jc w:val="left"/>
            </w:pPr>
            <w:r w:rsidRPr="00C60AD1">
              <w:t>Rs. 120 / kW / month</w:t>
            </w:r>
          </w:p>
        </w:tc>
        <w:tc>
          <w:tcPr>
            <w:tcW w:w="1170" w:type="dxa"/>
            <w:tcBorders>
              <w:top w:val="single" w:sz="4" w:space="0" w:color="auto"/>
              <w:left w:val="single" w:sz="4" w:space="0" w:color="auto"/>
              <w:bottom w:val="single" w:sz="4" w:space="0" w:color="auto"/>
            </w:tcBorders>
          </w:tcPr>
          <w:p w:rsidR="00D555F2" w:rsidRPr="00C60AD1" w:rsidRDefault="00D555F2" w:rsidP="00BB5A5A">
            <w:pPr>
              <w:pStyle w:val="BodyText"/>
              <w:spacing w:line="288" w:lineRule="auto"/>
              <w:jc w:val="left"/>
            </w:pPr>
            <w:r w:rsidRPr="00C60AD1">
              <w:t>Rs.  5.75 / kWh</w:t>
            </w:r>
          </w:p>
        </w:tc>
        <w:tc>
          <w:tcPr>
            <w:tcW w:w="1260" w:type="dxa"/>
            <w:tcBorders>
              <w:top w:val="single" w:sz="4" w:space="0" w:color="auto"/>
              <w:bottom w:val="single" w:sz="4" w:space="0" w:color="auto"/>
              <w:right w:val="single" w:sz="4" w:space="0" w:color="auto"/>
            </w:tcBorders>
          </w:tcPr>
          <w:p w:rsidR="00D555F2" w:rsidRPr="00C60AD1" w:rsidRDefault="00D555F2" w:rsidP="00BB5A5A">
            <w:pPr>
              <w:pStyle w:val="BodyText"/>
              <w:spacing w:line="288" w:lineRule="auto"/>
              <w:jc w:val="left"/>
            </w:pPr>
            <w:r w:rsidRPr="00C60AD1">
              <w:t>Rs. 150 / kW / month</w:t>
            </w:r>
          </w:p>
        </w:tc>
        <w:tc>
          <w:tcPr>
            <w:tcW w:w="1260" w:type="dxa"/>
            <w:tcBorders>
              <w:top w:val="single" w:sz="4" w:space="0" w:color="auto"/>
              <w:left w:val="single" w:sz="4" w:space="0" w:color="auto"/>
              <w:bottom w:val="single" w:sz="4" w:space="0" w:color="auto"/>
            </w:tcBorders>
          </w:tcPr>
          <w:p w:rsidR="00D555F2" w:rsidRPr="00C60AD1" w:rsidRDefault="00D555F2" w:rsidP="00BB5A5A">
            <w:pPr>
              <w:pStyle w:val="BodyText"/>
              <w:spacing w:line="288" w:lineRule="auto"/>
              <w:jc w:val="left"/>
            </w:pPr>
            <w:r w:rsidRPr="00C60AD1">
              <w:t>Rs. 6.00  /</w:t>
            </w:r>
          </w:p>
          <w:p w:rsidR="00D555F2" w:rsidRPr="00C60AD1" w:rsidRDefault="00D555F2" w:rsidP="00BB5A5A">
            <w:pPr>
              <w:pStyle w:val="BodyText"/>
              <w:spacing w:line="288" w:lineRule="auto"/>
              <w:jc w:val="left"/>
            </w:pPr>
            <w:r w:rsidRPr="00C60AD1">
              <w:t>kWh</w:t>
            </w:r>
          </w:p>
        </w:tc>
        <w:tc>
          <w:tcPr>
            <w:tcW w:w="1170" w:type="dxa"/>
            <w:tcBorders>
              <w:top w:val="single" w:sz="4" w:space="0" w:color="auto"/>
              <w:bottom w:val="single" w:sz="4" w:space="0" w:color="auto"/>
              <w:right w:val="single" w:sz="4" w:space="0" w:color="auto"/>
            </w:tcBorders>
          </w:tcPr>
          <w:p w:rsidR="00D555F2" w:rsidRPr="00C60AD1" w:rsidRDefault="00D555F2" w:rsidP="00BB5A5A">
            <w:pPr>
              <w:pStyle w:val="BodyText"/>
              <w:spacing w:line="288" w:lineRule="auto"/>
              <w:jc w:val="left"/>
            </w:pPr>
            <w:r w:rsidRPr="00C60AD1">
              <w:t>Rs. 160 / kW / month</w:t>
            </w:r>
          </w:p>
        </w:tc>
        <w:tc>
          <w:tcPr>
            <w:tcW w:w="1260" w:type="dxa"/>
            <w:tcBorders>
              <w:top w:val="single" w:sz="4" w:space="0" w:color="auto"/>
              <w:left w:val="single" w:sz="4" w:space="0" w:color="auto"/>
              <w:bottom w:val="single" w:sz="4" w:space="0" w:color="auto"/>
            </w:tcBorders>
          </w:tcPr>
          <w:p w:rsidR="00D555F2" w:rsidRPr="00C60AD1" w:rsidRDefault="00D555F2" w:rsidP="00BB5A5A">
            <w:pPr>
              <w:pStyle w:val="BodyText"/>
              <w:spacing w:line="288" w:lineRule="auto"/>
              <w:jc w:val="left"/>
            </w:pPr>
            <w:r w:rsidRPr="00C60AD1">
              <w:t>Rs. 6.25 / kWh</w:t>
            </w:r>
          </w:p>
        </w:tc>
      </w:tr>
    </w:tbl>
    <w:p w:rsidR="00D555F2" w:rsidRPr="00C60AD1" w:rsidRDefault="00D555F2" w:rsidP="00D555F2">
      <w:pPr>
        <w:tabs>
          <w:tab w:val="left" w:pos="360"/>
        </w:tabs>
        <w:spacing w:before="60" w:after="120"/>
        <w:ind w:right="29"/>
      </w:pPr>
      <w:r w:rsidRPr="00C60AD1">
        <w:rPr>
          <w:b/>
        </w:rPr>
        <w:tab/>
      </w:r>
      <w:r w:rsidRPr="00C60AD1">
        <w:t xml:space="preserve"> </w:t>
      </w:r>
    </w:p>
    <w:p w:rsidR="00D555F2" w:rsidRPr="00C60AD1" w:rsidRDefault="00D555F2" w:rsidP="00D555F2">
      <w:pPr>
        <w:tabs>
          <w:tab w:val="left" w:pos="360"/>
        </w:tabs>
        <w:spacing w:before="60" w:after="120"/>
        <w:ind w:right="29"/>
        <w:jc w:val="center"/>
        <w:rPr>
          <w:b/>
        </w:rPr>
      </w:pPr>
      <w:r w:rsidRPr="00C60AD1">
        <w:rPr>
          <w:b/>
        </w:rPr>
        <w:t>TOD Rates applicable for the metered supply (% of Energy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2976"/>
      </w:tblGrid>
      <w:tr w:rsidR="00D555F2" w:rsidRPr="00C60AD1" w:rsidTr="00BB5A5A">
        <w:trPr>
          <w:jc w:val="center"/>
        </w:trPr>
        <w:tc>
          <w:tcPr>
            <w:tcW w:w="2947" w:type="dxa"/>
          </w:tcPr>
          <w:p w:rsidR="00D555F2" w:rsidRPr="00C60AD1" w:rsidRDefault="00D555F2" w:rsidP="00BB5A5A">
            <w:pPr>
              <w:tabs>
                <w:tab w:val="left" w:pos="360"/>
              </w:tabs>
              <w:spacing w:before="60" w:after="120"/>
              <w:ind w:right="29"/>
            </w:pPr>
            <w:r w:rsidRPr="00C60AD1">
              <w:t>18:00 hrs – 06:00 hrs</w:t>
            </w:r>
          </w:p>
        </w:tc>
        <w:tc>
          <w:tcPr>
            <w:tcW w:w="2976" w:type="dxa"/>
          </w:tcPr>
          <w:p w:rsidR="00D555F2" w:rsidRPr="00C60AD1" w:rsidRDefault="00D555F2" w:rsidP="00BB5A5A">
            <w:pPr>
              <w:tabs>
                <w:tab w:val="left" w:pos="360"/>
              </w:tabs>
              <w:spacing w:before="60" w:after="120"/>
              <w:ind w:right="29"/>
            </w:pPr>
            <w:r w:rsidRPr="00C60AD1">
              <w:t xml:space="preserve">0% </w:t>
            </w:r>
          </w:p>
        </w:tc>
      </w:tr>
      <w:tr w:rsidR="00D555F2" w:rsidRPr="00C60AD1" w:rsidTr="00BB5A5A">
        <w:trPr>
          <w:jc w:val="center"/>
        </w:trPr>
        <w:tc>
          <w:tcPr>
            <w:tcW w:w="2947" w:type="dxa"/>
          </w:tcPr>
          <w:p w:rsidR="00D555F2" w:rsidRPr="00C60AD1" w:rsidRDefault="00D555F2" w:rsidP="00BB5A5A">
            <w:pPr>
              <w:tabs>
                <w:tab w:val="left" w:pos="360"/>
              </w:tabs>
              <w:spacing w:before="60" w:after="120"/>
              <w:ind w:right="29"/>
            </w:pPr>
            <w:r w:rsidRPr="00C60AD1">
              <w:t>06:00 hrs – 18:00 hrs</w:t>
            </w:r>
          </w:p>
        </w:tc>
        <w:tc>
          <w:tcPr>
            <w:tcW w:w="2976" w:type="dxa"/>
          </w:tcPr>
          <w:p w:rsidR="00D555F2" w:rsidRPr="00C60AD1" w:rsidRDefault="00D555F2" w:rsidP="00BB5A5A">
            <w:pPr>
              <w:tabs>
                <w:tab w:val="left" w:pos="360"/>
              </w:tabs>
              <w:spacing w:before="60" w:after="120"/>
              <w:ind w:right="29"/>
            </w:pPr>
            <w:r w:rsidRPr="00C60AD1">
              <w:t xml:space="preserve">(+) 20% </w:t>
            </w:r>
          </w:p>
        </w:tc>
      </w:tr>
    </w:tbl>
    <w:p w:rsidR="00D555F2" w:rsidRPr="00C60AD1" w:rsidRDefault="00D555F2" w:rsidP="00D555F2">
      <w:pPr>
        <w:tabs>
          <w:tab w:val="left" w:pos="360"/>
        </w:tabs>
        <w:spacing w:before="60" w:after="120"/>
        <w:ind w:right="29"/>
      </w:pPr>
    </w:p>
    <w:p w:rsidR="00D555F2" w:rsidRPr="00C60AD1" w:rsidRDefault="00D555F2" w:rsidP="00D555F2">
      <w:pPr>
        <w:tabs>
          <w:tab w:val="left" w:pos="360"/>
        </w:tabs>
        <w:spacing w:before="60" w:after="120"/>
        <w:ind w:left="360" w:right="29" w:hanging="360"/>
        <w:rPr>
          <w:b/>
          <w:bCs/>
          <w:u w:val="single"/>
        </w:rPr>
      </w:pPr>
      <w:r w:rsidRPr="00C60AD1">
        <w:rPr>
          <w:b/>
        </w:rPr>
        <w:t>4.</w:t>
      </w:r>
      <w:r w:rsidRPr="00C60AD1">
        <w:rPr>
          <w:b/>
        </w:rPr>
        <w:tab/>
      </w:r>
      <w:r w:rsidRPr="00C60AD1">
        <w:t>For ‘Maintenance Charges’, ‘Provision of Lamps’ and ‘Verification of Load’ refer ANNEXURE</w:t>
      </w:r>
      <w:r>
        <w:t xml:space="preserve"> 11.2.1</w:t>
      </w:r>
      <w:r>
        <w:rPr>
          <w:szCs w:val="22"/>
        </w:rPr>
        <w:t>.</w:t>
      </w:r>
    </w:p>
    <w:p w:rsidR="00D555F2" w:rsidRPr="00C60AD1" w:rsidRDefault="00D555F2" w:rsidP="00D555F2">
      <w:pPr>
        <w:tabs>
          <w:tab w:val="left" w:pos="8280"/>
        </w:tabs>
        <w:spacing w:before="60" w:after="120"/>
        <w:ind w:right="29"/>
        <w:jc w:val="center"/>
        <w:rPr>
          <w:b/>
          <w:u w:val="single"/>
        </w:rPr>
      </w:pPr>
      <w:r w:rsidRPr="00C60AD1">
        <w:rPr>
          <w:b/>
          <w:bCs/>
          <w:u w:val="single"/>
        </w:rPr>
        <w:br w:type="page"/>
      </w:r>
      <w:r w:rsidRPr="00C60AD1">
        <w:rPr>
          <w:b/>
          <w:u w:val="single"/>
        </w:rPr>
        <w:lastRenderedPageBreak/>
        <w:t>RATE SCHEDULE LMV– 4:</w:t>
      </w:r>
    </w:p>
    <w:p w:rsidR="00D555F2" w:rsidRPr="00C60AD1" w:rsidRDefault="00D555F2" w:rsidP="00D555F2">
      <w:pPr>
        <w:jc w:val="center"/>
        <w:rPr>
          <w:b/>
        </w:rPr>
      </w:pPr>
    </w:p>
    <w:p w:rsidR="00D555F2" w:rsidRPr="00C60AD1" w:rsidRDefault="00D555F2" w:rsidP="00D555F2">
      <w:pPr>
        <w:jc w:val="center"/>
        <w:rPr>
          <w:b/>
        </w:rPr>
      </w:pPr>
      <w:r w:rsidRPr="00C60AD1">
        <w:rPr>
          <w:b/>
        </w:rPr>
        <w:t>LIGHT, FAN &amp; POWER FOR PUBLIC INSTITUTIONS AND PRIVATE INSTITUTIONS:</w:t>
      </w:r>
    </w:p>
    <w:p w:rsidR="00D555F2" w:rsidRPr="00C60AD1" w:rsidRDefault="00D555F2" w:rsidP="00D555F2">
      <w:pPr>
        <w:jc w:val="center"/>
        <w:rPr>
          <w:b/>
        </w:rPr>
      </w:pPr>
    </w:p>
    <w:p w:rsidR="00D555F2" w:rsidRPr="00C60AD1" w:rsidRDefault="00D555F2" w:rsidP="00686B86">
      <w:pPr>
        <w:spacing w:after="240"/>
        <w:rPr>
          <w:b/>
        </w:rPr>
      </w:pPr>
      <w:r w:rsidRPr="00C60AD1">
        <w:rPr>
          <w:b/>
        </w:rPr>
        <w:t>1.</w:t>
      </w:r>
      <w:r w:rsidRPr="00C60AD1">
        <w:rPr>
          <w:b/>
        </w:rPr>
        <w:tab/>
        <w:t>APPLICABILITY:</w:t>
      </w:r>
    </w:p>
    <w:p w:rsidR="00D555F2" w:rsidRPr="00C60AD1" w:rsidRDefault="00D555F2" w:rsidP="00D555F2">
      <w:pPr>
        <w:tabs>
          <w:tab w:val="left" w:pos="540"/>
        </w:tabs>
        <w:spacing w:before="60" w:after="120"/>
        <w:ind w:right="-61"/>
      </w:pPr>
      <w:r w:rsidRPr="00C60AD1">
        <w:rPr>
          <w:b/>
        </w:rPr>
        <w:tab/>
      </w:r>
      <w:r w:rsidRPr="00C60AD1">
        <w:rPr>
          <w:b/>
        </w:rPr>
        <w:tab/>
        <w:t>LMV- 4 (A) - PUBLIC INSTITUTIONS:</w:t>
      </w:r>
    </w:p>
    <w:p w:rsidR="00D555F2" w:rsidRPr="00C60AD1" w:rsidRDefault="00D555F2" w:rsidP="00D555F2">
      <w:pPr>
        <w:spacing w:before="60" w:after="120"/>
        <w:ind w:left="540" w:right="-61"/>
      </w:pPr>
      <w:r w:rsidRPr="00C60AD1">
        <w:tab/>
        <w:t>This schedule shall apply to:</w:t>
      </w:r>
    </w:p>
    <w:p w:rsidR="00D555F2" w:rsidRPr="00C60AD1" w:rsidRDefault="00D555F2" w:rsidP="00D555F2">
      <w:pPr>
        <w:spacing w:before="60" w:after="120"/>
        <w:ind w:left="1440" w:right="-58" w:hanging="720"/>
      </w:pPr>
      <w:r w:rsidRPr="00C60AD1">
        <w:t xml:space="preserve">(a) </w:t>
      </w:r>
      <w:r w:rsidRPr="00C60AD1">
        <w:tab/>
      </w:r>
      <w:smartTag w:uri="urn:schemas-microsoft-com:office:smarttags" w:element="place">
        <w:smartTag w:uri="urn:schemas-microsoft-com:office:smarttags" w:element="PlaceName">
          <w:r w:rsidRPr="00C60AD1">
            <w:t>Government</w:t>
          </w:r>
        </w:smartTag>
        <w:r w:rsidRPr="00C60AD1">
          <w:t xml:space="preserve"> </w:t>
        </w:r>
        <w:smartTag w:uri="urn:schemas-microsoft-com:office:smarttags" w:element="PlaceType">
          <w:r w:rsidRPr="00C60AD1">
            <w:t>Hospitals</w:t>
          </w:r>
        </w:smartTag>
      </w:smartTag>
      <w:r w:rsidRPr="00C60AD1">
        <w:t xml:space="preserve"> / Government Research Institutions / Offices of the Government Organizations other than companies registered under Companies Act 1956.</w:t>
      </w:r>
    </w:p>
    <w:p w:rsidR="00D555F2" w:rsidRPr="00C60AD1" w:rsidRDefault="00D555F2" w:rsidP="00D555F2">
      <w:pPr>
        <w:spacing w:before="60" w:after="120"/>
        <w:ind w:left="1440" w:right="-58" w:hanging="720"/>
      </w:pPr>
      <w:r w:rsidRPr="00C60AD1">
        <w:t xml:space="preserve">(b) </w:t>
      </w:r>
      <w:r w:rsidRPr="00C60AD1">
        <w:tab/>
        <w:t>Government &amp; Government aided (i) Educational Institutions (ii) Hostels (iii) Libraries</w:t>
      </w:r>
    </w:p>
    <w:p w:rsidR="00D555F2" w:rsidRDefault="00D555F2" w:rsidP="00D555F2">
      <w:pPr>
        <w:numPr>
          <w:ilvl w:val="0"/>
          <w:numId w:val="80"/>
        </w:numPr>
        <w:tabs>
          <w:tab w:val="clear" w:pos="720"/>
          <w:tab w:val="num" w:pos="900"/>
          <w:tab w:val="num" w:pos="1440"/>
        </w:tabs>
        <w:spacing w:before="60" w:after="120" w:line="288" w:lineRule="auto"/>
        <w:ind w:left="1440" w:right="-58" w:hanging="720"/>
      </w:pPr>
      <w:r w:rsidRPr="00C60AD1">
        <w:t xml:space="preserve">Religious and charitable </w:t>
      </w:r>
      <w:r w:rsidRPr="00201853">
        <w:t>trusts</w:t>
      </w:r>
      <w:r>
        <w:t xml:space="preserve"> &amp; </w:t>
      </w:r>
      <w:r w:rsidRPr="00C60AD1">
        <w:t xml:space="preserve">Institutions </w:t>
      </w:r>
      <w:r w:rsidRPr="00201853">
        <w:rPr>
          <w:rFonts w:cstheme="minorHAnsi"/>
        </w:rPr>
        <w:t>having a valid registration under Section 12 AA &amp; 30G issued by the Income Tax department</w:t>
      </w:r>
      <w:r w:rsidRPr="00C60AD1">
        <w:t xml:space="preserve"> including orphanage homes, old age homes, hospitals, colleges and those providing services free of cost or at the charges / structure of charges not exceeding those in similar Government operated institutions. </w:t>
      </w:r>
    </w:p>
    <w:p w:rsidR="00D555F2" w:rsidRDefault="00D555F2" w:rsidP="00D555F2">
      <w:pPr>
        <w:numPr>
          <w:ilvl w:val="0"/>
          <w:numId w:val="80"/>
        </w:numPr>
        <w:tabs>
          <w:tab w:val="clear" w:pos="720"/>
          <w:tab w:val="num" w:pos="900"/>
          <w:tab w:val="num" w:pos="1440"/>
        </w:tabs>
        <w:spacing w:before="60" w:after="120" w:line="288" w:lineRule="auto"/>
        <w:ind w:left="1440" w:right="-58" w:hanging="720"/>
      </w:pPr>
      <w:r w:rsidRPr="00C60AD1">
        <w:t xml:space="preserve">Railway Establishments (excluding railway traction, industrial premises &amp; Metro) such as Booking Centres, Railway Stations &amp; Railway Research and Development Organization, Railway rest houses, Railway holiday homes, Railway inspection houses. </w:t>
      </w:r>
    </w:p>
    <w:p w:rsidR="00D555F2" w:rsidRDefault="00D555F2" w:rsidP="00D555F2">
      <w:pPr>
        <w:numPr>
          <w:ilvl w:val="0"/>
          <w:numId w:val="80"/>
        </w:numPr>
        <w:tabs>
          <w:tab w:val="clear" w:pos="720"/>
          <w:tab w:val="num" w:pos="900"/>
          <w:tab w:val="num" w:pos="1440"/>
        </w:tabs>
        <w:spacing w:before="60" w:after="120" w:line="288" w:lineRule="auto"/>
        <w:ind w:left="1440" w:right="-58" w:hanging="720"/>
      </w:pPr>
      <w:r w:rsidRPr="00C60AD1">
        <w:t>All India Radio and Doordarshan</w:t>
      </w:r>
    </w:p>
    <w:p w:rsidR="00D555F2" w:rsidRDefault="00D555F2" w:rsidP="00D555F2">
      <w:pPr>
        <w:numPr>
          <w:ilvl w:val="0"/>
          <w:numId w:val="80"/>
        </w:numPr>
        <w:tabs>
          <w:tab w:val="clear" w:pos="720"/>
          <w:tab w:val="num" w:pos="900"/>
          <w:tab w:val="num" w:pos="1440"/>
        </w:tabs>
        <w:spacing w:before="60" w:after="120" w:line="288" w:lineRule="auto"/>
        <w:ind w:left="1440" w:right="-58" w:hanging="720"/>
        <w:rPr>
          <w:lang w:val="en-IN"/>
        </w:rPr>
      </w:pPr>
      <w:r w:rsidRPr="000873E5">
        <w:rPr>
          <w:lang w:val="en-US"/>
        </w:rPr>
        <w:t xml:space="preserve">Guest houses of Government., Semi-Government, Public Sector Undertaking Organisations </w:t>
      </w:r>
    </w:p>
    <w:p w:rsidR="00D555F2" w:rsidRPr="00C60AD1" w:rsidRDefault="00D555F2" w:rsidP="00D555F2">
      <w:pPr>
        <w:tabs>
          <w:tab w:val="num" w:pos="1440"/>
        </w:tabs>
        <w:spacing w:before="60" w:after="120"/>
        <w:ind w:left="720" w:right="-58"/>
      </w:pPr>
    </w:p>
    <w:p w:rsidR="00D555F2" w:rsidRPr="00C60AD1" w:rsidRDefault="00D555F2" w:rsidP="00D555F2">
      <w:pPr>
        <w:tabs>
          <w:tab w:val="left" w:pos="720"/>
        </w:tabs>
        <w:spacing w:before="60" w:after="120"/>
        <w:ind w:right="-61"/>
        <w:rPr>
          <w:b/>
        </w:rPr>
      </w:pPr>
      <w:r w:rsidRPr="00C60AD1">
        <w:rPr>
          <w:b/>
        </w:rPr>
        <w:tab/>
        <w:t>LMV-4 (B) - PRIVATE INSTITUTIONS:</w:t>
      </w:r>
    </w:p>
    <w:p w:rsidR="00D555F2" w:rsidRPr="00C60AD1" w:rsidRDefault="00D555F2" w:rsidP="00D555F2">
      <w:pPr>
        <w:tabs>
          <w:tab w:val="left" w:pos="360"/>
        </w:tabs>
        <w:spacing w:before="60" w:after="120"/>
        <w:ind w:left="720" w:right="-61"/>
        <w:rPr>
          <w:b/>
        </w:rPr>
      </w:pPr>
      <w:r w:rsidRPr="00C60AD1">
        <w:t xml:space="preserve">This schedule shall apply to non-Government hospitals, nursing homes / dispensaries / clinics, private research institutes, and schools / colleges / educational institutes &amp; charitable institutions / trusts not covered under </w:t>
      </w:r>
      <w:r w:rsidRPr="00C60AD1">
        <w:rPr>
          <w:b/>
        </w:rPr>
        <w:t>(A)</w:t>
      </w:r>
      <w:r w:rsidRPr="00C60AD1">
        <w:t xml:space="preserve"> above</w:t>
      </w:r>
      <w:r w:rsidRPr="00C60AD1">
        <w:rPr>
          <w:b/>
        </w:rPr>
        <w:t>.</w:t>
      </w:r>
    </w:p>
    <w:p w:rsidR="00D555F2" w:rsidRPr="00C60AD1" w:rsidRDefault="00D555F2" w:rsidP="00D555F2">
      <w:pPr>
        <w:ind w:left="720" w:hanging="720"/>
      </w:pPr>
      <w:r w:rsidRPr="00C60AD1">
        <w:rPr>
          <w:b/>
        </w:rPr>
        <w:t>2</w:t>
      </w:r>
      <w:r w:rsidRPr="00C60AD1">
        <w:t xml:space="preserve">. </w:t>
      </w:r>
      <w:r w:rsidRPr="00C60AD1">
        <w:rPr>
          <w:b/>
        </w:rPr>
        <w:t xml:space="preserve"> </w:t>
      </w:r>
      <w:r w:rsidRPr="00C60AD1">
        <w:rPr>
          <w:b/>
        </w:rPr>
        <w:tab/>
        <w:t>CHARACTER AND POINT OF SUPPLY</w:t>
      </w:r>
      <w:r w:rsidRPr="00C60AD1">
        <w:t xml:space="preserve">: </w:t>
      </w:r>
    </w:p>
    <w:p w:rsidR="00D555F2" w:rsidRPr="00C60AD1" w:rsidRDefault="00D555F2" w:rsidP="00D555F2">
      <w:pPr>
        <w:spacing w:line="240" w:lineRule="auto"/>
        <w:ind w:left="360" w:right="-58" w:firstLine="360"/>
        <w:rPr>
          <w:rFonts w:cs="Arial"/>
        </w:rPr>
      </w:pPr>
      <w:r w:rsidRPr="00C60AD1">
        <w:lastRenderedPageBreak/>
        <w:t>As per the applicable provisions of Electricity Supply Code.</w:t>
      </w:r>
    </w:p>
    <w:p w:rsidR="00D555F2" w:rsidRPr="00C60AD1" w:rsidRDefault="00D555F2" w:rsidP="00D555F2">
      <w:pPr>
        <w:ind w:left="720" w:hanging="360"/>
      </w:pPr>
    </w:p>
    <w:p w:rsidR="00D555F2" w:rsidRPr="00C60AD1" w:rsidRDefault="00D555F2" w:rsidP="00D555F2">
      <w:pPr>
        <w:rPr>
          <w:b/>
        </w:rPr>
      </w:pPr>
      <w:r w:rsidRPr="00C60AD1">
        <w:rPr>
          <w:b/>
        </w:rPr>
        <w:t>3.</w:t>
      </w:r>
      <w:r w:rsidRPr="00C60AD1">
        <w:rPr>
          <w:b/>
        </w:rPr>
        <w:tab/>
        <w:t>RATE:</w:t>
      </w:r>
    </w:p>
    <w:p w:rsidR="00D555F2" w:rsidRPr="00C60AD1" w:rsidRDefault="00D555F2" w:rsidP="00D555F2">
      <w:pPr>
        <w:spacing w:after="240"/>
        <w:ind w:left="720"/>
      </w:pPr>
      <w:r w:rsidRPr="00C60AD1">
        <w:t>Rate, gives the fixed and energy charges at which the consumer shall be billed for his consumption during the billing period applicable to the category:</w:t>
      </w:r>
    </w:p>
    <w:tbl>
      <w:tblPr>
        <w:tblW w:w="8283" w:type="dxa"/>
        <w:jc w:val="right"/>
        <w:tblInd w:w="-2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835"/>
        <w:gridCol w:w="2471"/>
      </w:tblGrid>
      <w:tr w:rsidR="00D555F2" w:rsidRPr="00C60AD1" w:rsidTr="00BB5A5A">
        <w:trPr>
          <w:jc w:val="right"/>
        </w:trPr>
        <w:tc>
          <w:tcPr>
            <w:tcW w:w="2977" w:type="dxa"/>
            <w:shd w:val="clear" w:color="auto" w:fill="DBE5F1" w:themeFill="accent1" w:themeFillTint="33"/>
          </w:tcPr>
          <w:p w:rsidR="00D555F2" w:rsidRPr="00C60AD1" w:rsidRDefault="00D555F2" w:rsidP="00BB5A5A">
            <w:pPr>
              <w:tabs>
                <w:tab w:val="left" w:pos="360"/>
              </w:tabs>
              <w:ind w:right="612"/>
              <w:jc w:val="center"/>
              <w:rPr>
                <w:rFonts w:cs="Arial"/>
                <w:b/>
              </w:rPr>
            </w:pPr>
            <w:r w:rsidRPr="00C60AD1">
              <w:rPr>
                <w:rFonts w:cs="Arial"/>
                <w:b/>
              </w:rPr>
              <w:t>Description</w:t>
            </w:r>
          </w:p>
        </w:tc>
        <w:tc>
          <w:tcPr>
            <w:tcW w:w="2835" w:type="dxa"/>
            <w:shd w:val="clear" w:color="auto" w:fill="DBE5F1" w:themeFill="accent1" w:themeFillTint="33"/>
          </w:tcPr>
          <w:p w:rsidR="00D555F2" w:rsidRDefault="00D555F2" w:rsidP="00BB5A5A">
            <w:pPr>
              <w:pStyle w:val="Header"/>
              <w:tabs>
                <w:tab w:val="clear" w:pos="4320"/>
                <w:tab w:val="clear" w:pos="8640"/>
                <w:tab w:val="left" w:pos="360"/>
              </w:tabs>
              <w:jc w:val="center"/>
              <w:rPr>
                <w:rFonts w:cs="Arial"/>
                <w:b/>
              </w:rPr>
            </w:pPr>
            <w:r>
              <w:rPr>
                <w:rFonts w:cs="Arial"/>
                <w:b/>
              </w:rPr>
              <w:t>Contracted Load</w:t>
            </w:r>
          </w:p>
        </w:tc>
        <w:tc>
          <w:tcPr>
            <w:tcW w:w="2471" w:type="dxa"/>
            <w:shd w:val="clear" w:color="auto" w:fill="DBE5F1" w:themeFill="accent1" w:themeFillTint="33"/>
          </w:tcPr>
          <w:p w:rsidR="00D555F2" w:rsidRPr="00C60AD1" w:rsidRDefault="00D555F2" w:rsidP="00BB5A5A">
            <w:pPr>
              <w:pStyle w:val="Header"/>
              <w:tabs>
                <w:tab w:val="clear" w:pos="4320"/>
                <w:tab w:val="clear" w:pos="8640"/>
                <w:tab w:val="left" w:pos="360"/>
              </w:tabs>
              <w:jc w:val="center"/>
              <w:rPr>
                <w:b/>
              </w:rPr>
            </w:pPr>
            <w:r w:rsidRPr="00C60AD1">
              <w:rPr>
                <w:rFonts w:cs="Arial"/>
                <w:b/>
              </w:rPr>
              <w:t>Fixed</w:t>
            </w:r>
            <w:r w:rsidRPr="00C60AD1">
              <w:rPr>
                <w:rFonts w:cs="Arial"/>
                <w:b/>
                <w:szCs w:val="22"/>
              </w:rPr>
              <w:t xml:space="preserve"> Charge</w:t>
            </w:r>
          </w:p>
        </w:tc>
      </w:tr>
      <w:tr w:rsidR="00D555F2" w:rsidRPr="00C60AD1" w:rsidTr="00BB5A5A">
        <w:trPr>
          <w:jc w:val="right"/>
        </w:trPr>
        <w:tc>
          <w:tcPr>
            <w:tcW w:w="2977" w:type="dxa"/>
            <w:vMerge w:val="restart"/>
            <w:vAlign w:val="center"/>
          </w:tcPr>
          <w:p w:rsidR="00D555F2" w:rsidRPr="00C60AD1" w:rsidRDefault="00D555F2" w:rsidP="00BB5A5A">
            <w:pPr>
              <w:pStyle w:val="Header"/>
              <w:tabs>
                <w:tab w:val="clear" w:pos="4320"/>
                <w:tab w:val="clear" w:pos="8640"/>
                <w:tab w:val="left" w:pos="360"/>
              </w:tabs>
              <w:jc w:val="left"/>
              <w:rPr>
                <w:rFonts w:cs="Arial"/>
                <w:bCs/>
              </w:rPr>
            </w:pPr>
            <w:r w:rsidRPr="00C60AD1">
              <w:rPr>
                <w:rFonts w:cs="Arial"/>
                <w:b/>
                <w:bCs/>
                <w:szCs w:val="22"/>
              </w:rPr>
              <w:t>(A) For Public Institutions</w:t>
            </w:r>
          </w:p>
          <w:p w:rsidR="00D555F2" w:rsidRPr="00C60AD1" w:rsidRDefault="00D555F2" w:rsidP="00BB5A5A">
            <w:pPr>
              <w:pStyle w:val="Header"/>
              <w:tabs>
                <w:tab w:val="left" w:pos="360"/>
              </w:tabs>
              <w:jc w:val="left"/>
              <w:rPr>
                <w:rFonts w:cs="Arial"/>
                <w:bCs/>
              </w:rPr>
            </w:pPr>
          </w:p>
        </w:tc>
        <w:tc>
          <w:tcPr>
            <w:tcW w:w="2835" w:type="dxa"/>
          </w:tcPr>
          <w:p w:rsidR="00D555F2" w:rsidRDefault="00D555F2" w:rsidP="00BB5A5A">
            <w:pPr>
              <w:tabs>
                <w:tab w:val="left" w:pos="360"/>
              </w:tabs>
              <w:rPr>
                <w:rFonts w:cs="Arial"/>
                <w:bCs/>
              </w:rPr>
            </w:pPr>
            <w:r>
              <w:rPr>
                <w:rFonts w:cs="Arial"/>
                <w:bCs/>
              </w:rPr>
              <w:t>Up to 2 kW</w:t>
            </w:r>
          </w:p>
        </w:tc>
        <w:tc>
          <w:tcPr>
            <w:tcW w:w="2471" w:type="dxa"/>
          </w:tcPr>
          <w:p w:rsidR="00D555F2" w:rsidRDefault="00D555F2" w:rsidP="00BB5A5A">
            <w:pPr>
              <w:tabs>
                <w:tab w:val="left" w:pos="360"/>
              </w:tabs>
              <w:jc w:val="center"/>
              <w:rPr>
                <w:rFonts w:cs="Arial"/>
                <w:bCs/>
              </w:rPr>
            </w:pPr>
            <w:r w:rsidRPr="00C60AD1">
              <w:rPr>
                <w:rFonts w:cs="Arial"/>
                <w:bCs/>
                <w:szCs w:val="22"/>
              </w:rPr>
              <w:t>Rs. 2</w:t>
            </w:r>
            <w:r>
              <w:rPr>
                <w:rFonts w:cs="Arial"/>
                <w:bCs/>
                <w:szCs w:val="22"/>
              </w:rPr>
              <w:t>2</w:t>
            </w:r>
            <w:r w:rsidRPr="00C60AD1">
              <w:rPr>
                <w:rFonts w:cs="Arial"/>
                <w:bCs/>
                <w:szCs w:val="22"/>
              </w:rPr>
              <w:t>0 / kW</w:t>
            </w:r>
            <w:r w:rsidRPr="00C60AD1">
              <w:rPr>
                <w:rFonts w:cs="Arial"/>
                <w:bCs/>
              </w:rPr>
              <w:t xml:space="preserve"> / month</w:t>
            </w:r>
          </w:p>
        </w:tc>
      </w:tr>
      <w:tr w:rsidR="00D555F2" w:rsidRPr="00C60AD1" w:rsidTr="00BB5A5A">
        <w:trPr>
          <w:jc w:val="right"/>
        </w:trPr>
        <w:tc>
          <w:tcPr>
            <w:tcW w:w="2977" w:type="dxa"/>
            <w:vMerge/>
            <w:vAlign w:val="center"/>
          </w:tcPr>
          <w:p w:rsidR="00D555F2" w:rsidRPr="00C60AD1" w:rsidRDefault="00D555F2" w:rsidP="00BB5A5A">
            <w:pPr>
              <w:pStyle w:val="Header"/>
              <w:tabs>
                <w:tab w:val="left" w:pos="360"/>
              </w:tabs>
              <w:jc w:val="left"/>
              <w:rPr>
                <w:b/>
              </w:rPr>
            </w:pPr>
          </w:p>
        </w:tc>
        <w:tc>
          <w:tcPr>
            <w:tcW w:w="2835" w:type="dxa"/>
          </w:tcPr>
          <w:p w:rsidR="00D555F2" w:rsidRDefault="00D555F2" w:rsidP="00BB5A5A">
            <w:pPr>
              <w:tabs>
                <w:tab w:val="left" w:pos="360"/>
              </w:tabs>
              <w:rPr>
                <w:rFonts w:cs="Arial"/>
                <w:bCs/>
              </w:rPr>
            </w:pPr>
            <w:r>
              <w:rPr>
                <w:rFonts w:cs="Arial"/>
                <w:bCs/>
              </w:rPr>
              <w:t>Above 2 kW to 4 kW</w:t>
            </w:r>
          </w:p>
        </w:tc>
        <w:tc>
          <w:tcPr>
            <w:tcW w:w="2471" w:type="dxa"/>
          </w:tcPr>
          <w:p w:rsidR="00D555F2" w:rsidRDefault="00D555F2" w:rsidP="00BB5A5A">
            <w:pPr>
              <w:tabs>
                <w:tab w:val="left" w:pos="360"/>
              </w:tabs>
              <w:jc w:val="center"/>
              <w:rPr>
                <w:rFonts w:cs="Arial"/>
                <w:bCs/>
              </w:rPr>
            </w:pPr>
            <w:r>
              <w:rPr>
                <w:rFonts w:cs="Arial"/>
                <w:bCs/>
                <w:szCs w:val="22"/>
              </w:rPr>
              <w:t>Rs. 23</w:t>
            </w:r>
            <w:r w:rsidRPr="00C60AD1">
              <w:rPr>
                <w:rFonts w:cs="Arial"/>
                <w:bCs/>
                <w:szCs w:val="22"/>
              </w:rPr>
              <w:t>0 / kW</w:t>
            </w:r>
            <w:r w:rsidRPr="00C60AD1">
              <w:rPr>
                <w:rFonts w:cs="Arial"/>
                <w:bCs/>
              </w:rPr>
              <w:t xml:space="preserve"> / month</w:t>
            </w:r>
          </w:p>
        </w:tc>
      </w:tr>
      <w:tr w:rsidR="00D555F2" w:rsidRPr="00C60AD1" w:rsidTr="00BB5A5A">
        <w:trPr>
          <w:jc w:val="right"/>
        </w:trPr>
        <w:tc>
          <w:tcPr>
            <w:tcW w:w="2977" w:type="dxa"/>
            <w:vMerge/>
            <w:vAlign w:val="center"/>
          </w:tcPr>
          <w:p w:rsidR="00D555F2" w:rsidRPr="000873E5" w:rsidRDefault="00D555F2" w:rsidP="00BB5A5A">
            <w:pPr>
              <w:pStyle w:val="Header"/>
              <w:tabs>
                <w:tab w:val="clear" w:pos="4320"/>
                <w:tab w:val="clear" w:pos="8640"/>
                <w:tab w:val="left" w:pos="360"/>
              </w:tabs>
              <w:jc w:val="left"/>
              <w:rPr>
                <w:b/>
              </w:rPr>
            </w:pPr>
          </w:p>
        </w:tc>
        <w:tc>
          <w:tcPr>
            <w:tcW w:w="2835" w:type="dxa"/>
          </w:tcPr>
          <w:p w:rsidR="00D555F2" w:rsidRDefault="00D555F2" w:rsidP="00BB5A5A">
            <w:pPr>
              <w:tabs>
                <w:tab w:val="left" w:pos="360"/>
              </w:tabs>
              <w:rPr>
                <w:rFonts w:cs="Arial"/>
                <w:bCs/>
              </w:rPr>
            </w:pPr>
            <w:r>
              <w:rPr>
                <w:rFonts w:cs="Arial"/>
                <w:bCs/>
              </w:rPr>
              <w:t>Above 4 kW</w:t>
            </w:r>
          </w:p>
        </w:tc>
        <w:tc>
          <w:tcPr>
            <w:tcW w:w="2471" w:type="dxa"/>
          </w:tcPr>
          <w:p w:rsidR="00D555F2" w:rsidRDefault="00D555F2" w:rsidP="00BB5A5A">
            <w:pPr>
              <w:tabs>
                <w:tab w:val="left" w:pos="360"/>
              </w:tabs>
              <w:jc w:val="center"/>
              <w:rPr>
                <w:rFonts w:cs="Arial"/>
                <w:bCs/>
              </w:rPr>
            </w:pPr>
            <w:r>
              <w:rPr>
                <w:rFonts w:cs="Arial"/>
                <w:bCs/>
                <w:szCs w:val="22"/>
              </w:rPr>
              <w:t>Rs. 24</w:t>
            </w:r>
            <w:r w:rsidRPr="00C60AD1">
              <w:rPr>
                <w:rFonts w:cs="Arial"/>
                <w:bCs/>
                <w:szCs w:val="22"/>
              </w:rPr>
              <w:t>0 / kW</w:t>
            </w:r>
            <w:r w:rsidRPr="00C60AD1">
              <w:rPr>
                <w:rFonts w:cs="Arial"/>
                <w:bCs/>
              </w:rPr>
              <w:t xml:space="preserve"> / month</w:t>
            </w:r>
          </w:p>
        </w:tc>
      </w:tr>
      <w:tr w:rsidR="00D555F2" w:rsidRPr="00C60AD1" w:rsidTr="00BB5A5A">
        <w:trPr>
          <w:jc w:val="right"/>
        </w:trPr>
        <w:tc>
          <w:tcPr>
            <w:tcW w:w="2977" w:type="dxa"/>
            <w:vAlign w:val="center"/>
          </w:tcPr>
          <w:p w:rsidR="00D555F2" w:rsidRPr="00C60AD1" w:rsidRDefault="00D555F2" w:rsidP="00BB5A5A">
            <w:pPr>
              <w:tabs>
                <w:tab w:val="left" w:pos="360"/>
              </w:tabs>
              <w:ind w:right="6"/>
              <w:jc w:val="left"/>
              <w:rPr>
                <w:strike/>
              </w:rPr>
            </w:pPr>
            <w:r w:rsidRPr="00C60AD1">
              <w:rPr>
                <w:rFonts w:cs="Arial"/>
                <w:b/>
                <w:bCs/>
                <w:szCs w:val="22"/>
              </w:rPr>
              <w:t>(B) For Private Institutions</w:t>
            </w:r>
          </w:p>
        </w:tc>
        <w:tc>
          <w:tcPr>
            <w:tcW w:w="2835" w:type="dxa"/>
          </w:tcPr>
          <w:p w:rsidR="00D555F2" w:rsidRDefault="00D555F2" w:rsidP="00BB5A5A">
            <w:pPr>
              <w:pStyle w:val="Header"/>
              <w:tabs>
                <w:tab w:val="clear" w:pos="4320"/>
                <w:tab w:val="clear" w:pos="8640"/>
                <w:tab w:val="left" w:pos="360"/>
              </w:tabs>
              <w:rPr>
                <w:rFonts w:cs="Arial"/>
                <w:bCs/>
              </w:rPr>
            </w:pPr>
            <w:r>
              <w:rPr>
                <w:rFonts w:cs="Arial"/>
                <w:bCs/>
              </w:rPr>
              <w:t>Up to 3 kW</w:t>
            </w:r>
          </w:p>
        </w:tc>
        <w:tc>
          <w:tcPr>
            <w:tcW w:w="2471" w:type="dxa"/>
          </w:tcPr>
          <w:p w:rsidR="00D555F2" w:rsidRDefault="00D555F2" w:rsidP="00BB5A5A">
            <w:pPr>
              <w:tabs>
                <w:tab w:val="left" w:pos="360"/>
              </w:tabs>
              <w:jc w:val="center"/>
              <w:rPr>
                <w:rFonts w:cs="Arial"/>
                <w:bCs/>
              </w:rPr>
            </w:pPr>
            <w:r>
              <w:rPr>
                <w:rFonts w:cs="Arial"/>
                <w:bCs/>
                <w:szCs w:val="22"/>
              </w:rPr>
              <w:t>Rs. 25</w:t>
            </w:r>
            <w:r w:rsidRPr="00C60AD1">
              <w:rPr>
                <w:rFonts w:cs="Arial"/>
                <w:bCs/>
                <w:szCs w:val="22"/>
              </w:rPr>
              <w:t>0 / kW</w:t>
            </w:r>
            <w:r w:rsidRPr="00C60AD1">
              <w:rPr>
                <w:rFonts w:cs="Arial"/>
                <w:bCs/>
              </w:rPr>
              <w:t xml:space="preserve"> / month</w:t>
            </w:r>
          </w:p>
        </w:tc>
      </w:tr>
      <w:tr w:rsidR="00D555F2" w:rsidRPr="00C60AD1" w:rsidTr="00BB5A5A">
        <w:trPr>
          <w:jc w:val="right"/>
        </w:trPr>
        <w:tc>
          <w:tcPr>
            <w:tcW w:w="2977" w:type="dxa"/>
          </w:tcPr>
          <w:p w:rsidR="00D555F2" w:rsidRPr="00C60AD1" w:rsidRDefault="00D555F2" w:rsidP="00BB5A5A">
            <w:pPr>
              <w:tabs>
                <w:tab w:val="left" w:pos="360"/>
              </w:tabs>
              <w:ind w:right="6"/>
              <w:rPr>
                <w:rFonts w:cs="Arial"/>
                <w:b/>
                <w:bCs/>
              </w:rPr>
            </w:pPr>
          </w:p>
        </w:tc>
        <w:tc>
          <w:tcPr>
            <w:tcW w:w="2835" w:type="dxa"/>
          </w:tcPr>
          <w:p w:rsidR="00D555F2" w:rsidRDefault="00D555F2" w:rsidP="00BB5A5A">
            <w:pPr>
              <w:pStyle w:val="Header"/>
              <w:tabs>
                <w:tab w:val="clear" w:pos="4320"/>
                <w:tab w:val="clear" w:pos="8640"/>
                <w:tab w:val="left" w:pos="360"/>
              </w:tabs>
              <w:rPr>
                <w:rFonts w:cs="Arial"/>
                <w:bCs/>
              </w:rPr>
            </w:pPr>
            <w:r>
              <w:rPr>
                <w:rFonts w:cs="Arial"/>
                <w:bCs/>
              </w:rPr>
              <w:t>Above 3 kW</w:t>
            </w:r>
          </w:p>
        </w:tc>
        <w:tc>
          <w:tcPr>
            <w:tcW w:w="2471" w:type="dxa"/>
          </w:tcPr>
          <w:p w:rsidR="00D555F2" w:rsidRDefault="00D555F2" w:rsidP="00BB5A5A">
            <w:pPr>
              <w:pStyle w:val="Header"/>
              <w:tabs>
                <w:tab w:val="clear" w:pos="4320"/>
                <w:tab w:val="clear" w:pos="8640"/>
                <w:tab w:val="left" w:pos="360"/>
              </w:tabs>
              <w:jc w:val="center"/>
              <w:rPr>
                <w:rFonts w:cs="Arial"/>
                <w:bCs/>
              </w:rPr>
            </w:pPr>
            <w:r>
              <w:rPr>
                <w:rFonts w:cs="Arial"/>
                <w:bCs/>
                <w:szCs w:val="22"/>
              </w:rPr>
              <w:t>Rs. 33</w:t>
            </w:r>
            <w:r w:rsidRPr="00C60AD1">
              <w:rPr>
                <w:rFonts w:cs="Arial"/>
                <w:bCs/>
                <w:szCs w:val="22"/>
              </w:rPr>
              <w:t>0 / kW / month</w:t>
            </w:r>
          </w:p>
        </w:tc>
      </w:tr>
    </w:tbl>
    <w:p w:rsidR="00D555F2" w:rsidRDefault="00D555F2" w:rsidP="00D555F2">
      <w:pPr>
        <w:spacing w:before="60" w:after="120"/>
        <w:ind w:right="-61"/>
        <w:rPr>
          <w:b/>
          <w:bCs/>
          <w:u w:val="single"/>
        </w:rPr>
      </w:pPr>
    </w:p>
    <w:tbl>
      <w:tblPr>
        <w:tblW w:w="8283" w:type="dxa"/>
        <w:jc w:val="right"/>
        <w:tblInd w:w="-3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835"/>
        <w:gridCol w:w="2471"/>
      </w:tblGrid>
      <w:tr w:rsidR="00D555F2" w:rsidRPr="00C60AD1" w:rsidTr="00BB5A5A">
        <w:trPr>
          <w:jc w:val="right"/>
        </w:trPr>
        <w:tc>
          <w:tcPr>
            <w:tcW w:w="2977" w:type="dxa"/>
            <w:shd w:val="clear" w:color="auto" w:fill="DBE5F1" w:themeFill="accent1" w:themeFillTint="33"/>
          </w:tcPr>
          <w:p w:rsidR="00D555F2" w:rsidRPr="00C60AD1" w:rsidRDefault="00D555F2" w:rsidP="00BB5A5A">
            <w:pPr>
              <w:tabs>
                <w:tab w:val="left" w:pos="360"/>
              </w:tabs>
              <w:ind w:right="612"/>
              <w:jc w:val="center"/>
              <w:rPr>
                <w:rFonts w:cs="Arial"/>
                <w:b/>
              </w:rPr>
            </w:pPr>
            <w:r w:rsidRPr="00C60AD1">
              <w:rPr>
                <w:rFonts w:cs="Arial"/>
                <w:b/>
              </w:rPr>
              <w:t>Description</w:t>
            </w:r>
          </w:p>
        </w:tc>
        <w:tc>
          <w:tcPr>
            <w:tcW w:w="2835" w:type="dxa"/>
            <w:shd w:val="clear" w:color="auto" w:fill="DBE5F1" w:themeFill="accent1" w:themeFillTint="33"/>
          </w:tcPr>
          <w:p w:rsidR="00D555F2" w:rsidRDefault="00D555F2" w:rsidP="00BB5A5A">
            <w:pPr>
              <w:pStyle w:val="Header"/>
              <w:tabs>
                <w:tab w:val="clear" w:pos="4320"/>
                <w:tab w:val="clear" w:pos="8640"/>
                <w:tab w:val="left" w:pos="360"/>
              </w:tabs>
              <w:jc w:val="center"/>
              <w:rPr>
                <w:rFonts w:cs="Arial"/>
                <w:b/>
              </w:rPr>
            </w:pPr>
            <w:r>
              <w:rPr>
                <w:rFonts w:cs="Arial"/>
                <w:b/>
              </w:rPr>
              <w:t>Consumption Range</w:t>
            </w:r>
          </w:p>
        </w:tc>
        <w:tc>
          <w:tcPr>
            <w:tcW w:w="2471" w:type="dxa"/>
            <w:shd w:val="clear" w:color="auto" w:fill="DBE5F1" w:themeFill="accent1" w:themeFillTint="33"/>
          </w:tcPr>
          <w:p w:rsidR="00D555F2" w:rsidRPr="00C60AD1" w:rsidRDefault="00D555F2" w:rsidP="00BB5A5A">
            <w:pPr>
              <w:pStyle w:val="Header"/>
              <w:tabs>
                <w:tab w:val="clear" w:pos="4320"/>
                <w:tab w:val="clear" w:pos="8640"/>
                <w:tab w:val="left" w:pos="360"/>
              </w:tabs>
              <w:jc w:val="center"/>
              <w:rPr>
                <w:rFonts w:cs="Arial"/>
                <w:b/>
              </w:rPr>
            </w:pPr>
            <w:r w:rsidRPr="00C60AD1">
              <w:rPr>
                <w:rFonts w:cs="Arial"/>
                <w:b/>
                <w:szCs w:val="22"/>
              </w:rPr>
              <w:t>Energy Charge</w:t>
            </w:r>
          </w:p>
        </w:tc>
      </w:tr>
      <w:tr w:rsidR="00D555F2" w:rsidRPr="00C60AD1" w:rsidTr="00BB5A5A">
        <w:trPr>
          <w:jc w:val="right"/>
        </w:trPr>
        <w:tc>
          <w:tcPr>
            <w:tcW w:w="2977" w:type="dxa"/>
            <w:vMerge w:val="restart"/>
            <w:vAlign w:val="center"/>
          </w:tcPr>
          <w:p w:rsidR="00D555F2" w:rsidRPr="00C60AD1" w:rsidRDefault="00D555F2" w:rsidP="00BB5A5A">
            <w:pPr>
              <w:pStyle w:val="Header"/>
              <w:tabs>
                <w:tab w:val="clear" w:pos="4320"/>
                <w:tab w:val="clear" w:pos="8640"/>
                <w:tab w:val="left" w:pos="360"/>
              </w:tabs>
              <w:jc w:val="left"/>
              <w:rPr>
                <w:rFonts w:cs="Arial"/>
                <w:bCs/>
              </w:rPr>
            </w:pPr>
            <w:r w:rsidRPr="00C60AD1">
              <w:rPr>
                <w:rFonts w:cs="Arial"/>
                <w:b/>
                <w:bCs/>
                <w:szCs w:val="22"/>
              </w:rPr>
              <w:t>(A) For Public Institutions</w:t>
            </w:r>
          </w:p>
          <w:p w:rsidR="00D555F2" w:rsidRPr="00C60AD1" w:rsidRDefault="00D555F2" w:rsidP="00BB5A5A">
            <w:pPr>
              <w:pStyle w:val="Header"/>
              <w:tabs>
                <w:tab w:val="left" w:pos="360"/>
              </w:tabs>
              <w:jc w:val="left"/>
              <w:rPr>
                <w:rFonts w:cs="Arial"/>
                <w:bCs/>
              </w:rPr>
            </w:pPr>
          </w:p>
        </w:tc>
        <w:tc>
          <w:tcPr>
            <w:tcW w:w="2835" w:type="dxa"/>
          </w:tcPr>
          <w:p w:rsidR="00D555F2" w:rsidRPr="00136ADD" w:rsidRDefault="00D555F2" w:rsidP="00BB5A5A">
            <w:pPr>
              <w:tabs>
                <w:tab w:val="left" w:pos="360"/>
              </w:tabs>
              <w:jc w:val="left"/>
              <w:rPr>
                <w:rFonts w:cs="Arial"/>
                <w:bCs/>
              </w:rPr>
            </w:pPr>
            <w:r>
              <w:rPr>
                <w:rFonts w:cs="Arial"/>
                <w:bCs/>
              </w:rPr>
              <w:t>For first 1000 kWh</w:t>
            </w:r>
            <w:r>
              <w:rPr>
                <w:rFonts w:cs="Arial"/>
                <w:bCs/>
                <w:szCs w:val="22"/>
              </w:rPr>
              <w:t xml:space="preserve"> / month</w:t>
            </w:r>
          </w:p>
        </w:tc>
        <w:tc>
          <w:tcPr>
            <w:tcW w:w="2471" w:type="dxa"/>
            <w:vAlign w:val="center"/>
          </w:tcPr>
          <w:p w:rsidR="00D555F2" w:rsidRPr="00C60AD1" w:rsidRDefault="00D555F2" w:rsidP="00BB5A5A">
            <w:pPr>
              <w:tabs>
                <w:tab w:val="left" w:pos="360"/>
              </w:tabs>
              <w:jc w:val="center"/>
              <w:rPr>
                <w:rFonts w:cs="Arial"/>
                <w:bCs/>
              </w:rPr>
            </w:pPr>
            <w:r w:rsidRPr="00C60AD1">
              <w:rPr>
                <w:rFonts w:cs="Arial"/>
                <w:bCs/>
                <w:szCs w:val="22"/>
              </w:rPr>
              <w:t xml:space="preserve">Rs. </w:t>
            </w:r>
            <w:r>
              <w:rPr>
                <w:rFonts w:cs="Arial"/>
                <w:bCs/>
                <w:szCs w:val="22"/>
              </w:rPr>
              <w:t>7</w:t>
            </w:r>
            <w:r w:rsidRPr="00C60AD1">
              <w:rPr>
                <w:rFonts w:cs="Arial"/>
                <w:bCs/>
                <w:szCs w:val="22"/>
              </w:rPr>
              <w:t>.</w:t>
            </w:r>
            <w:r>
              <w:t>00</w:t>
            </w:r>
            <w:r w:rsidRPr="00C60AD1">
              <w:rPr>
                <w:rFonts w:cs="Arial"/>
                <w:bCs/>
                <w:szCs w:val="22"/>
              </w:rPr>
              <w:t>/ kWh</w:t>
            </w:r>
          </w:p>
        </w:tc>
      </w:tr>
      <w:tr w:rsidR="00D555F2" w:rsidRPr="00C60AD1" w:rsidTr="00BB5A5A">
        <w:trPr>
          <w:jc w:val="right"/>
        </w:trPr>
        <w:tc>
          <w:tcPr>
            <w:tcW w:w="2977" w:type="dxa"/>
            <w:vMerge/>
            <w:vAlign w:val="center"/>
          </w:tcPr>
          <w:p w:rsidR="00D555F2" w:rsidRPr="00C60AD1" w:rsidRDefault="00D555F2" w:rsidP="00BB5A5A">
            <w:pPr>
              <w:pStyle w:val="Header"/>
              <w:tabs>
                <w:tab w:val="left" w:pos="360"/>
              </w:tabs>
              <w:jc w:val="left"/>
              <w:rPr>
                <w:b/>
              </w:rPr>
            </w:pPr>
          </w:p>
        </w:tc>
        <w:tc>
          <w:tcPr>
            <w:tcW w:w="2835" w:type="dxa"/>
          </w:tcPr>
          <w:p w:rsidR="00D555F2" w:rsidRPr="00136ADD" w:rsidRDefault="00D555F2" w:rsidP="00BB5A5A">
            <w:pPr>
              <w:tabs>
                <w:tab w:val="left" w:pos="360"/>
              </w:tabs>
              <w:rPr>
                <w:rFonts w:cs="Arial"/>
                <w:bCs/>
              </w:rPr>
            </w:pPr>
            <w:r>
              <w:rPr>
                <w:rFonts w:cs="Arial"/>
                <w:bCs/>
              </w:rPr>
              <w:t>For next 1001 – 2000 kWh / month</w:t>
            </w:r>
          </w:p>
        </w:tc>
        <w:tc>
          <w:tcPr>
            <w:tcW w:w="2471" w:type="dxa"/>
            <w:vAlign w:val="center"/>
          </w:tcPr>
          <w:p w:rsidR="00D555F2" w:rsidRDefault="00D555F2" w:rsidP="00BB5A5A">
            <w:pPr>
              <w:pStyle w:val="Header"/>
              <w:tabs>
                <w:tab w:val="clear" w:pos="4320"/>
                <w:tab w:val="clear" w:pos="8640"/>
                <w:tab w:val="left" w:pos="360"/>
              </w:tabs>
              <w:jc w:val="center"/>
              <w:rPr>
                <w:rFonts w:cs="Arial"/>
                <w:bCs/>
              </w:rPr>
            </w:pPr>
            <w:r>
              <w:rPr>
                <w:rFonts w:cs="Arial"/>
                <w:bCs/>
                <w:szCs w:val="22"/>
              </w:rPr>
              <w:t>Rs. 7</w:t>
            </w:r>
            <w:r w:rsidRPr="00C60AD1">
              <w:rPr>
                <w:rFonts w:cs="Arial"/>
                <w:bCs/>
                <w:szCs w:val="22"/>
              </w:rPr>
              <w:t>.</w:t>
            </w:r>
            <w:r>
              <w:t>20</w:t>
            </w:r>
            <w:r w:rsidRPr="00C60AD1">
              <w:rPr>
                <w:rFonts w:cs="Arial"/>
                <w:bCs/>
                <w:szCs w:val="22"/>
              </w:rPr>
              <w:t>/ kWh</w:t>
            </w:r>
          </w:p>
        </w:tc>
      </w:tr>
      <w:tr w:rsidR="00D555F2" w:rsidRPr="00C60AD1" w:rsidTr="00BB5A5A">
        <w:trPr>
          <w:jc w:val="right"/>
        </w:trPr>
        <w:tc>
          <w:tcPr>
            <w:tcW w:w="2977" w:type="dxa"/>
            <w:vMerge/>
            <w:vAlign w:val="center"/>
          </w:tcPr>
          <w:p w:rsidR="00D555F2" w:rsidRDefault="00D555F2" w:rsidP="00BB5A5A">
            <w:pPr>
              <w:pStyle w:val="Header"/>
              <w:tabs>
                <w:tab w:val="clear" w:pos="4320"/>
                <w:tab w:val="clear" w:pos="8640"/>
                <w:tab w:val="left" w:pos="360"/>
              </w:tabs>
              <w:jc w:val="left"/>
              <w:rPr>
                <w:b/>
              </w:rPr>
            </w:pPr>
          </w:p>
        </w:tc>
        <w:tc>
          <w:tcPr>
            <w:tcW w:w="2835" w:type="dxa"/>
          </w:tcPr>
          <w:p w:rsidR="00D555F2" w:rsidRPr="00136ADD" w:rsidRDefault="00D555F2" w:rsidP="00BB5A5A">
            <w:pPr>
              <w:tabs>
                <w:tab w:val="left" w:pos="360"/>
              </w:tabs>
              <w:rPr>
                <w:rFonts w:cs="Arial"/>
                <w:bCs/>
              </w:rPr>
            </w:pPr>
            <w:r>
              <w:rPr>
                <w:rFonts w:cs="Arial"/>
                <w:bCs/>
              </w:rPr>
              <w:t xml:space="preserve">For </w:t>
            </w:r>
            <w:r w:rsidRPr="00D9618C">
              <w:rPr>
                <w:rFonts w:cs="Arial"/>
                <w:bCs/>
              </w:rPr>
              <w:t>a</w:t>
            </w:r>
            <w:r>
              <w:rPr>
                <w:rFonts w:cs="Arial"/>
                <w:bCs/>
              </w:rPr>
              <w:t>bove 2000 kWh</w:t>
            </w:r>
            <w:r>
              <w:rPr>
                <w:rFonts w:cs="Arial"/>
                <w:bCs/>
                <w:szCs w:val="22"/>
              </w:rPr>
              <w:t xml:space="preserve"> / month </w:t>
            </w:r>
            <w:r>
              <w:rPr>
                <w:rFonts w:asciiTheme="minorHAnsi" w:hAnsiTheme="minorHAnsi"/>
              </w:rPr>
              <w:t>(Starting from 2001</w:t>
            </w:r>
            <w:r>
              <w:rPr>
                <w:rFonts w:asciiTheme="minorHAnsi" w:hAnsiTheme="minorHAnsi"/>
                <w:vertAlign w:val="superscript"/>
              </w:rPr>
              <w:t>st</w:t>
            </w:r>
            <w:r>
              <w:rPr>
                <w:rFonts w:asciiTheme="minorHAnsi" w:hAnsiTheme="minorHAnsi"/>
              </w:rPr>
              <w:t xml:space="preserve"> unit)</w:t>
            </w:r>
          </w:p>
        </w:tc>
        <w:tc>
          <w:tcPr>
            <w:tcW w:w="2471" w:type="dxa"/>
            <w:vAlign w:val="center"/>
          </w:tcPr>
          <w:p w:rsidR="00D555F2" w:rsidRDefault="00D555F2" w:rsidP="00BB5A5A">
            <w:pPr>
              <w:tabs>
                <w:tab w:val="left" w:pos="360"/>
              </w:tabs>
              <w:jc w:val="center"/>
              <w:rPr>
                <w:rFonts w:cs="Arial"/>
                <w:bCs/>
              </w:rPr>
            </w:pPr>
            <w:r>
              <w:rPr>
                <w:rFonts w:cs="Arial"/>
                <w:bCs/>
                <w:szCs w:val="22"/>
              </w:rPr>
              <w:t>Rs. 7</w:t>
            </w:r>
            <w:r w:rsidRPr="00C60AD1">
              <w:rPr>
                <w:rFonts w:cs="Arial"/>
                <w:bCs/>
                <w:szCs w:val="22"/>
              </w:rPr>
              <w:t>.</w:t>
            </w:r>
            <w:r>
              <w:rPr>
                <w:rFonts w:cs="Arial"/>
                <w:bCs/>
                <w:szCs w:val="22"/>
              </w:rPr>
              <w:t>40</w:t>
            </w:r>
            <w:r w:rsidRPr="00C60AD1">
              <w:rPr>
                <w:rFonts w:cs="Arial"/>
                <w:bCs/>
                <w:szCs w:val="22"/>
              </w:rPr>
              <w:t>/ kWh</w:t>
            </w:r>
          </w:p>
        </w:tc>
      </w:tr>
      <w:tr w:rsidR="00D555F2" w:rsidRPr="00C60AD1" w:rsidTr="00BB5A5A">
        <w:trPr>
          <w:jc w:val="right"/>
        </w:trPr>
        <w:tc>
          <w:tcPr>
            <w:tcW w:w="2977" w:type="dxa"/>
            <w:vMerge w:val="restart"/>
            <w:vAlign w:val="center"/>
          </w:tcPr>
          <w:p w:rsidR="00D555F2" w:rsidRPr="00C60AD1" w:rsidRDefault="00D555F2" w:rsidP="00BB5A5A">
            <w:pPr>
              <w:tabs>
                <w:tab w:val="left" w:pos="360"/>
              </w:tabs>
              <w:ind w:right="6"/>
              <w:jc w:val="left"/>
              <w:rPr>
                <w:strike/>
              </w:rPr>
            </w:pPr>
            <w:r w:rsidRPr="00C60AD1">
              <w:rPr>
                <w:rFonts w:cs="Arial"/>
                <w:b/>
                <w:bCs/>
                <w:szCs w:val="22"/>
              </w:rPr>
              <w:t>(B) For Private Institutions</w:t>
            </w:r>
          </w:p>
        </w:tc>
        <w:tc>
          <w:tcPr>
            <w:tcW w:w="2835" w:type="dxa"/>
          </w:tcPr>
          <w:p w:rsidR="00D555F2" w:rsidRPr="00136ADD" w:rsidRDefault="00D555F2" w:rsidP="00BB5A5A">
            <w:pPr>
              <w:pStyle w:val="Header"/>
              <w:tabs>
                <w:tab w:val="clear" w:pos="4320"/>
                <w:tab w:val="clear" w:pos="8640"/>
                <w:tab w:val="left" w:pos="360"/>
              </w:tabs>
              <w:rPr>
                <w:rFonts w:cs="Arial"/>
                <w:bCs/>
              </w:rPr>
            </w:pPr>
            <w:r>
              <w:rPr>
                <w:rFonts w:cs="Arial"/>
                <w:bCs/>
              </w:rPr>
              <w:t>For first 1000 kWh / month</w:t>
            </w:r>
          </w:p>
        </w:tc>
        <w:tc>
          <w:tcPr>
            <w:tcW w:w="2471" w:type="dxa"/>
            <w:vAlign w:val="center"/>
          </w:tcPr>
          <w:p w:rsidR="00D555F2" w:rsidRPr="00C60AD1" w:rsidRDefault="00D555F2" w:rsidP="00BB5A5A">
            <w:pPr>
              <w:pStyle w:val="Header"/>
              <w:tabs>
                <w:tab w:val="clear" w:pos="4320"/>
                <w:tab w:val="clear" w:pos="8640"/>
                <w:tab w:val="left" w:pos="360"/>
              </w:tabs>
              <w:jc w:val="center"/>
              <w:rPr>
                <w:rFonts w:cs="Arial"/>
                <w:bCs/>
              </w:rPr>
            </w:pPr>
            <w:r w:rsidRPr="00C60AD1">
              <w:rPr>
                <w:rFonts w:cs="Arial"/>
                <w:bCs/>
              </w:rPr>
              <w:t>Rs. 7.</w:t>
            </w:r>
            <w:r>
              <w:rPr>
                <w:rFonts w:cs="Arial"/>
                <w:bCs/>
              </w:rPr>
              <w:t>75</w:t>
            </w:r>
            <w:r w:rsidRPr="00C60AD1">
              <w:rPr>
                <w:rFonts w:cs="Arial"/>
                <w:bCs/>
              </w:rPr>
              <w:t xml:space="preserve"> / kWh</w:t>
            </w:r>
          </w:p>
        </w:tc>
      </w:tr>
      <w:tr w:rsidR="00D555F2" w:rsidRPr="00C60AD1" w:rsidTr="00BB5A5A">
        <w:trPr>
          <w:jc w:val="right"/>
        </w:trPr>
        <w:tc>
          <w:tcPr>
            <w:tcW w:w="2977" w:type="dxa"/>
            <w:vMerge/>
          </w:tcPr>
          <w:p w:rsidR="00D555F2" w:rsidRPr="00C60AD1" w:rsidRDefault="00D555F2" w:rsidP="00BB5A5A">
            <w:pPr>
              <w:tabs>
                <w:tab w:val="left" w:pos="360"/>
              </w:tabs>
              <w:ind w:right="6"/>
              <w:rPr>
                <w:rFonts w:cs="Arial"/>
                <w:b/>
                <w:bCs/>
              </w:rPr>
            </w:pPr>
          </w:p>
        </w:tc>
        <w:tc>
          <w:tcPr>
            <w:tcW w:w="2835" w:type="dxa"/>
          </w:tcPr>
          <w:p w:rsidR="00D555F2" w:rsidRPr="00136ADD" w:rsidRDefault="00D555F2" w:rsidP="00BB5A5A">
            <w:pPr>
              <w:pStyle w:val="Header"/>
              <w:tabs>
                <w:tab w:val="clear" w:pos="4320"/>
                <w:tab w:val="clear" w:pos="8640"/>
                <w:tab w:val="left" w:pos="360"/>
              </w:tabs>
              <w:rPr>
                <w:rFonts w:cs="Arial"/>
                <w:bCs/>
              </w:rPr>
            </w:pPr>
            <w:r>
              <w:rPr>
                <w:rFonts w:cs="Arial"/>
                <w:bCs/>
              </w:rPr>
              <w:t xml:space="preserve">For above 1000 kWh / month </w:t>
            </w:r>
            <w:r>
              <w:rPr>
                <w:rFonts w:asciiTheme="minorHAnsi" w:hAnsiTheme="minorHAnsi"/>
              </w:rPr>
              <w:t>(Starting from 1001</w:t>
            </w:r>
            <w:r>
              <w:rPr>
                <w:rFonts w:asciiTheme="minorHAnsi" w:hAnsiTheme="minorHAnsi"/>
                <w:vertAlign w:val="superscript"/>
              </w:rPr>
              <w:t>st</w:t>
            </w:r>
            <w:r>
              <w:rPr>
                <w:rFonts w:asciiTheme="minorHAnsi" w:hAnsiTheme="minorHAnsi"/>
              </w:rPr>
              <w:t xml:space="preserve"> unit)</w:t>
            </w:r>
          </w:p>
        </w:tc>
        <w:tc>
          <w:tcPr>
            <w:tcW w:w="2471" w:type="dxa"/>
            <w:vAlign w:val="center"/>
          </w:tcPr>
          <w:p w:rsidR="00D555F2" w:rsidRDefault="00D555F2" w:rsidP="00BB5A5A">
            <w:pPr>
              <w:pStyle w:val="Header"/>
              <w:tabs>
                <w:tab w:val="clear" w:pos="4320"/>
                <w:tab w:val="clear" w:pos="8640"/>
                <w:tab w:val="left" w:pos="360"/>
              </w:tabs>
              <w:jc w:val="center"/>
              <w:rPr>
                <w:rFonts w:cs="Arial"/>
                <w:bCs/>
              </w:rPr>
            </w:pPr>
            <w:r w:rsidRPr="00C60AD1">
              <w:rPr>
                <w:rFonts w:cs="Arial"/>
                <w:bCs/>
              </w:rPr>
              <w:t>Rs. 7.</w:t>
            </w:r>
            <w:r>
              <w:rPr>
                <w:rFonts w:cs="Arial"/>
                <w:bCs/>
              </w:rPr>
              <w:t>95</w:t>
            </w:r>
            <w:r w:rsidRPr="00C60AD1">
              <w:rPr>
                <w:rFonts w:cs="Arial"/>
                <w:bCs/>
              </w:rPr>
              <w:t xml:space="preserve"> / kWh</w:t>
            </w:r>
          </w:p>
        </w:tc>
      </w:tr>
    </w:tbl>
    <w:p w:rsidR="00D555F2" w:rsidRPr="00C60AD1" w:rsidRDefault="00D555F2" w:rsidP="00D555F2">
      <w:pPr>
        <w:spacing w:before="60" w:after="120"/>
        <w:ind w:right="-61"/>
        <w:jc w:val="center"/>
        <w:rPr>
          <w:b/>
          <w:u w:val="single"/>
        </w:rPr>
      </w:pPr>
      <w:r w:rsidRPr="00C60AD1">
        <w:rPr>
          <w:b/>
          <w:bCs/>
          <w:u w:val="single"/>
        </w:rPr>
        <w:br w:type="page"/>
      </w:r>
      <w:r w:rsidRPr="00C60AD1">
        <w:rPr>
          <w:b/>
          <w:u w:val="single"/>
        </w:rPr>
        <w:lastRenderedPageBreak/>
        <w:t>RATE SCHEDULE LMV– 5:</w:t>
      </w:r>
    </w:p>
    <w:p w:rsidR="00D555F2" w:rsidRPr="00C60AD1" w:rsidRDefault="00D555F2" w:rsidP="00D555F2">
      <w:pPr>
        <w:jc w:val="center"/>
        <w:rPr>
          <w:b/>
        </w:rPr>
      </w:pPr>
    </w:p>
    <w:p w:rsidR="00D555F2" w:rsidRPr="00C60AD1" w:rsidRDefault="00D555F2" w:rsidP="00D555F2">
      <w:pPr>
        <w:jc w:val="center"/>
        <w:rPr>
          <w:b/>
        </w:rPr>
      </w:pPr>
      <w:r w:rsidRPr="00C60AD1">
        <w:rPr>
          <w:b/>
        </w:rPr>
        <w:t>SMALL POWER FOR PRIVATE TUBE WELLS / PUMPING SETS FOR IRRIGATION PURPOSES:</w:t>
      </w:r>
    </w:p>
    <w:p w:rsidR="00D555F2" w:rsidRPr="00C60AD1" w:rsidRDefault="00D555F2" w:rsidP="00D555F2">
      <w:pPr>
        <w:jc w:val="center"/>
        <w:rPr>
          <w:b/>
        </w:rPr>
      </w:pPr>
    </w:p>
    <w:p w:rsidR="00D555F2" w:rsidRPr="00C60AD1" w:rsidRDefault="00D555F2" w:rsidP="00D555F2">
      <w:pPr>
        <w:rPr>
          <w:b/>
        </w:rPr>
      </w:pPr>
      <w:r w:rsidRPr="00C60AD1">
        <w:rPr>
          <w:b/>
        </w:rPr>
        <w:t>1.</w:t>
      </w:r>
      <w:r w:rsidRPr="00C60AD1">
        <w:rPr>
          <w:b/>
        </w:rPr>
        <w:tab/>
        <w:t xml:space="preserve"> APPLICABILITY:</w:t>
      </w:r>
      <w:r>
        <w:rPr>
          <w:b/>
        </w:rPr>
        <w:tab/>
      </w:r>
    </w:p>
    <w:p w:rsidR="00D555F2" w:rsidRDefault="00D555F2" w:rsidP="00D555F2">
      <w:pPr>
        <w:ind w:left="720"/>
        <w:rPr>
          <w:rFonts w:cstheme="minorHAnsi"/>
        </w:rPr>
      </w:pPr>
      <w:r w:rsidRPr="00B62091">
        <w:rPr>
          <w:rFonts w:cstheme="minorHAnsi"/>
        </w:rPr>
        <w:t xml:space="preserve">This schedule shall apply to all power consumers getting supply as per Rural / Urban Schedule for Private Tube-wells / Pumping Sets for irrigation purposes having a contracted load up to 25 BHP and for additional agricultural processes confined to Chaff-Cutter, Thresher, Cane Crusher and Rice Huller. All new connections under this category shall necessarily have the ISI marked energy efficient mono-bloc pump sets with power factor compensation capacitors of adequate rating to qualify for the supply. All existing pump sets shall be required to install power factor compensation capacitors. </w:t>
      </w:r>
    </w:p>
    <w:p w:rsidR="00D555F2" w:rsidRPr="00F3337B" w:rsidRDefault="00D555F2" w:rsidP="00D555F2">
      <w:pPr>
        <w:ind w:left="720"/>
        <w:rPr>
          <w:rFonts w:cstheme="minorHAnsi"/>
        </w:rPr>
      </w:pPr>
    </w:p>
    <w:p w:rsidR="00D555F2" w:rsidRPr="00F3337B" w:rsidRDefault="00D555F2" w:rsidP="00D555F2">
      <w:pPr>
        <w:rPr>
          <w:rFonts w:cstheme="minorHAnsi"/>
          <w:b/>
        </w:rPr>
      </w:pPr>
      <w:r w:rsidRPr="00B62091">
        <w:rPr>
          <w:rFonts w:cstheme="minorHAnsi"/>
          <w:b/>
        </w:rPr>
        <w:t xml:space="preserve">2. </w:t>
      </w:r>
      <w:r w:rsidRPr="00B62091">
        <w:rPr>
          <w:rFonts w:cstheme="minorHAnsi"/>
          <w:b/>
        </w:rPr>
        <w:tab/>
        <w:t xml:space="preserve">CHARACTER AND POINT OF SUPPLY: </w:t>
      </w:r>
    </w:p>
    <w:p w:rsidR="00D555F2" w:rsidRPr="00F3337B" w:rsidRDefault="00D555F2" w:rsidP="00D555F2">
      <w:pPr>
        <w:spacing w:line="240" w:lineRule="auto"/>
        <w:ind w:left="-360" w:right="-58" w:firstLine="1080"/>
        <w:rPr>
          <w:rFonts w:cstheme="minorHAnsi"/>
        </w:rPr>
      </w:pPr>
      <w:r w:rsidRPr="00B62091">
        <w:rPr>
          <w:rFonts w:cstheme="minorHAnsi"/>
        </w:rPr>
        <w:t>As per the applicable provisions of Electricity Supply Code.</w:t>
      </w:r>
    </w:p>
    <w:p w:rsidR="00D555F2" w:rsidRPr="00F3337B" w:rsidRDefault="00D555F2" w:rsidP="00D555F2">
      <w:pPr>
        <w:rPr>
          <w:rFonts w:cstheme="minorHAnsi"/>
          <w:b/>
          <w:color w:val="000000"/>
        </w:rPr>
      </w:pPr>
    </w:p>
    <w:p w:rsidR="00D555F2" w:rsidRPr="00F3337B" w:rsidRDefault="00D555F2" w:rsidP="00D555F2">
      <w:pPr>
        <w:rPr>
          <w:rFonts w:cstheme="minorHAnsi"/>
          <w:b/>
        </w:rPr>
      </w:pPr>
      <w:r w:rsidRPr="00B62091">
        <w:rPr>
          <w:rFonts w:cstheme="minorHAnsi"/>
          <w:b/>
          <w:color w:val="000000"/>
        </w:rPr>
        <w:t>3.</w:t>
      </w:r>
      <w:r w:rsidRPr="00B62091">
        <w:rPr>
          <w:rFonts w:cstheme="minorHAnsi"/>
          <w:b/>
        </w:rPr>
        <w:t xml:space="preserve"> </w:t>
      </w:r>
      <w:r w:rsidRPr="00B62091">
        <w:rPr>
          <w:rFonts w:cstheme="minorHAnsi"/>
          <w:b/>
        </w:rPr>
        <w:tab/>
        <w:t>RATE:</w:t>
      </w:r>
    </w:p>
    <w:p w:rsidR="00D555F2" w:rsidRPr="00F3337B" w:rsidRDefault="00D555F2" w:rsidP="00D555F2">
      <w:pPr>
        <w:spacing w:after="240"/>
        <w:ind w:left="720"/>
        <w:rPr>
          <w:rFonts w:cstheme="minorHAnsi"/>
        </w:rPr>
      </w:pPr>
      <w:r w:rsidRPr="00B62091">
        <w:rPr>
          <w:rFonts w:cstheme="minorHAnsi"/>
        </w:rPr>
        <w:t>Rate gives the fixed and energy charges at which the consumer shall be billed for his consumption during the billing period applicable to the category:</w:t>
      </w:r>
    </w:p>
    <w:p w:rsidR="00D555F2" w:rsidRDefault="00D555F2" w:rsidP="00D555F2">
      <w:pPr>
        <w:numPr>
          <w:ilvl w:val="1"/>
          <w:numId w:val="81"/>
        </w:numPr>
        <w:spacing w:before="0" w:after="240" w:line="288" w:lineRule="auto"/>
        <w:jc w:val="left"/>
        <w:rPr>
          <w:rFonts w:cstheme="minorHAnsi"/>
        </w:rPr>
      </w:pPr>
      <w:r w:rsidRPr="00B62091">
        <w:rPr>
          <w:rFonts w:cstheme="minorHAnsi"/>
        </w:rPr>
        <w:t>For consumers getting supply as per</w:t>
      </w:r>
      <w:r w:rsidRPr="00B62091">
        <w:rPr>
          <w:rFonts w:cstheme="minorHAnsi"/>
          <w:b/>
        </w:rPr>
        <w:t xml:space="preserve"> Rural Schedule</w:t>
      </w:r>
      <w:r w:rsidRPr="00B62091">
        <w:rPr>
          <w:rFonts w:cstheme="minorHAnsi"/>
        </w:rPr>
        <w:t xml:space="preserve">: </w:t>
      </w:r>
    </w:p>
    <w:p w:rsidR="00D555F2" w:rsidRPr="00F3337B" w:rsidRDefault="00D555F2" w:rsidP="00D555F2">
      <w:pPr>
        <w:spacing w:before="100" w:beforeAutospacing="1" w:after="240"/>
        <w:ind w:left="360"/>
        <w:rPr>
          <w:rFonts w:cstheme="minorHAnsi"/>
        </w:rPr>
      </w:pPr>
      <w:r w:rsidRPr="00B62091">
        <w:rPr>
          <w:rFonts w:cstheme="minorHAnsi"/>
          <w:b/>
          <w:bCs/>
        </w:rPr>
        <w:t>(i)</w:t>
      </w:r>
      <w:r w:rsidRPr="00B62091">
        <w:rPr>
          <w:rFonts w:cstheme="minorHAnsi"/>
        </w:rPr>
        <w:tab/>
      </w:r>
      <w:r w:rsidRPr="00B62091">
        <w:rPr>
          <w:rFonts w:cstheme="minorHAnsi"/>
          <w:b/>
          <w:bCs/>
        </w:rPr>
        <w:t>Un-metered Supply</w:t>
      </w:r>
    </w:p>
    <w:tbl>
      <w:tblPr>
        <w:tblW w:w="5423" w:type="dxa"/>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0"/>
        <w:gridCol w:w="2363"/>
      </w:tblGrid>
      <w:tr w:rsidR="00D555F2" w:rsidRPr="00F3337B" w:rsidTr="00BB5A5A">
        <w:trPr>
          <w:cantSplit/>
          <w:jc w:val="center"/>
        </w:trPr>
        <w:tc>
          <w:tcPr>
            <w:tcW w:w="3060" w:type="dxa"/>
            <w:shd w:val="clear" w:color="auto" w:fill="DBE5F1" w:themeFill="accent1" w:themeFillTint="33"/>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b/>
                <w:bCs w:val="0"/>
              </w:rPr>
            </w:pPr>
            <w:r w:rsidRPr="00B62091">
              <w:rPr>
                <w:rFonts w:asciiTheme="minorHAnsi" w:hAnsiTheme="minorHAnsi" w:cstheme="minorHAnsi"/>
                <w:b/>
                <w:bCs w:val="0"/>
              </w:rPr>
              <w:t>Fixed Charge</w:t>
            </w:r>
          </w:p>
        </w:tc>
        <w:tc>
          <w:tcPr>
            <w:tcW w:w="2363" w:type="dxa"/>
            <w:shd w:val="clear" w:color="auto" w:fill="DBE5F1" w:themeFill="accent1" w:themeFillTint="33"/>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b/>
                <w:bCs w:val="0"/>
              </w:rPr>
            </w:pPr>
            <w:r w:rsidRPr="00B62091">
              <w:rPr>
                <w:rFonts w:asciiTheme="minorHAnsi" w:hAnsiTheme="minorHAnsi" w:cstheme="minorHAnsi"/>
                <w:b/>
                <w:bCs w:val="0"/>
              </w:rPr>
              <w:t>Energy Charge</w:t>
            </w:r>
          </w:p>
        </w:tc>
      </w:tr>
      <w:tr w:rsidR="00D555F2" w:rsidRPr="00F3337B" w:rsidTr="00BB5A5A">
        <w:trPr>
          <w:jc w:val="center"/>
        </w:trPr>
        <w:tc>
          <w:tcPr>
            <w:tcW w:w="3060" w:type="dxa"/>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rPr>
            </w:pPr>
            <w:r w:rsidRPr="00B62091">
              <w:rPr>
                <w:rFonts w:asciiTheme="minorHAnsi" w:hAnsiTheme="minorHAnsi" w:cstheme="minorHAnsi"/>
              </w:rPr>
              <w:t>Rs. 100 / BHP / month</w:t>
            </w:r>
          </w:p>
        </w:tc>
        <w:tc>
          <w:tcPr>
            <w:tcW w:w="2363" w:type="dxa"/>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rPr>
            </w:pPr>
            <w:r w:rsidRPr="00B62091">
              <w:rPr>
                <w:rFonts w:asciiTheme="minorHAnsi" w:hAnsiTheme="minorHAnsi" w:cstheme="minorHAnsi"/>
              </w:rPr>
              <w:t>Nil</w:t>
            </w:r>
          </w:p>
        </w:tc>
      </w:tr>
      <w:tr w:rsidR="00D555F2" w:rsidRPr="00F3337B" w:rsidTr="00BB5A5A">
        <w:trPr>
          <w:cantSplit/>
          <w:jc w:val="center"/>
        </w:trPr>
        <w:tc>
          <w:tcPr>
            <w:tcW w:w="5423" w:type="dxa"/>
            <w:gridSpan w:val="2"/>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bCs w:val="0"/>
              </w:rPr>
            </w:pPr>
            <w:r w:rsidRPr="00B62091">
              <w:rPr>
                <w:rFonts w:asciiTheme="minorHAnsi" w:hAnsiTheme="minorHAnsi" w:cstheme="minorHAnsi"/>
                <w:bCs w:val="0"/>
              </w:rPr>
              <w:t>Consumer under this category will be allowed a maximum lighting load of 120 Watts.</w:t>
            </w:r>
          </w:p>
        </w:tc>
      </w:tr>
    </w:tbl>
    <w:p w:rsidR="00D555F2" w:rsidRPr="00F3337B" w:rsidRDefault="00D555F2" w:rsidP="00D555F2">
      <w:pPr>
        <w:spacing w:line="240" w:lineRule="auto"/>
        <w:rPr>
          <w:rFonts w:cstheme="minorHAnsi"/>
        </w:rPr>
      </w:pPr>
    </w:p>
    <w:p w:rsidR="00D555F2" w:rsidRDefault="00D555F2" w:rsidP="00D555F2">
      <w:pPr>
        <w:ind w:firstLine="360"/>
        <w:rPr>
          <w:rFonts w:cstheme="minorHAnsi"/>
          <w:b/>
          <w:bCs/>
        </w:rPr>
      </w:pPr>
      <w:r w:rsidRPr="00B62091">
        <w:rPr>
          <w:rFonts w:cstheme="minorHAnsi"/>
          <w:b/>
          <w:bCs/>
        </w:rPr>
        <w:t>(ii)</w:t>
      </w:r>
      <w:r w:rsidRPr="00B62091">
        <w:rPr>
          <w:rFonts w:cstheme="minorHAnsi"/>
        </w:rPr>
        <w:tab/>
      </w:r>
      <w:r w:rsidRPr="00B62091">
        <w:rPr>
          <w:rFonts w:cstheme="minorHAnsi"/>
          <w:b/>
          <w:bCs/>
        </w:rPr>
        <w:t>Metered Supply</w:t>
      </w:r>
    </w:p>
    <w:p w:rsidR="00D555F2" w:rsidRPr="00F3337B" w:rsidRDefault="00D555F2" w:rsidP="00D555F2">
      <w:pPr>
        <w:ind w:firstLine="360"/>
        <w:rPr>
          <w:rFonts w:cstheme="minorHAnsi"/>
          <w:b/>
          <w:bCs/>
        </w:rPr>
      </w:pPr>
    </w:p>
    <w:tbl>
      <w:tblPr>
        <w:tblW w:w="7787" w:type="dxa"/>
        <w:jc w:val="center"/>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5"/>
        <w:gridCol w:w="2596"/>
        <w:gridCol w:w="2596"/>
      </w:tblGrid>
      <w:tr w:rsidR="00D555F2" w:rsidRPr="00F3337B" w:rsidTr="00BB5A5A">
        <w:trPr>
          <w:trHeight w:val="197"/>
          <w:jc w:val="center"/>
        </w:trPr>
        <w:tc>
          <w:tcPr>
            <w:tcW w:w="2595" w:type="dxa"/>
            <w:shd w:val="clear" w:color="auto" w:fill="DBE5F1" w:themeFill="accent1" w:themeFillTint="33"/>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b/>
                <w:bCs w:val="0"/>
              </w:rPr>
            </w:pPr>
            <w:r w:rsidRPr="00B62091">
              <w:rPr>
                <w:rFonts w:asciiTheme="minorHAnsi" w:hAnsiTheme="minorHAnsi" w:cstheme="minorHAnsi"/>
                <w:b/>
                <w:bCs w:val="0"/>
              </w:rPr>
              <w:t>Fixed Charge</w:t>
            </w:r>
          </w:p>
        </w:tc>
        <w:tc>
          <w:tcPr>
            <w:tcW w:w="2596" w:type="dxa"/>
            <w:shd w:val="clear" w:color="auto" w:fill="DBE5F1" w:themeFill="accent1" w:themeFillTint="33"/>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b/>
                <w:bCs w:val="0"/>
              </w:rPr>
            </w:pPr>
            <w:r w:rsidRPr="00B62091">
              <w:rPr>
                <w:rFonts w:asciiTheme="minorHAnsi" w:hAnsiTheme="minorHAnsi" w:cstheme="minorHAnsi"/>
                <w:b/>
                <w:bCs w:val="0"/>
              </w:rPr>
              <w:t>Minimum Charges</w:t>
            </w:r>
          </w:p>
        </w:tc>
        <w:tc>
          <w:tcPr>
            <w:tcW w:w="2596" w:type="dxa"/>
            <w:shd w:val="clear" w:color="auto" w:fill="DBE5F1" w:themeFill="accent1" w:themeFillTint="33"/>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b/>
                <w:bCs w:val="0"/>
              </w:rPr>
            </w:pPr>
            <w:r w:rsidRPr="00B62091">
              <w:rPr>
                <w:rFonts w:asciiTheme="minorHAnsi" w:hAnsiTheme="minorHAnsi" w:cstheme="minorHAnsi"/>
                <w:b/>
                <w:bCs w:val="0"/>
              </w:rPr>
              <w:t>Energy Charge</w:t>
            </w:r>
          </w:p>
        </w:tc>
      </w:tr>
      <w:tr w:rsidR="00D555F2" w:rsidRPr="00F3337B" w:rsidTr="00BB5A5A">
        <w:trPr>
          <w:trHeight w:val="260"/>
          <w:jc w:val="center"/>
        </w:trPr>
        <w:tc>
          <w:tcPr>
            <w:tcW w:w="2595" w:type="dxa"/>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rPr>
            </w:pPr>
            <w:r w:rsidRPr="00B62091">
              <w:rPr>
                <w:rFonts w:asciiTheme="minorHAnsi" w:hAnsiTheme="minorHAnsi" w:cstheme="minorHAnsi"/>
              </w:rPr>
              <w:t>Rs. 30.00 / BHP / month</w:t>
            </w:r>
          </w:p>
        </w:tc>
        <w:tc>
          <w:tcPr>
            <w:tcW w:w="2596" w:type="dxa"/>
          </w:tcPr>
          <w:p w:rsidR="00D555F2" w:rsidRPr="00F3337B" w:rsidRDefault="00D555F2" w:rsidP="00BB5A5A">
            <w:pPr>
              <w:pStyle w:val="BodyTextIndent"/>
              <w:spacing w:line="288" w:lineRule="auto"/>
              <w:ind w:left="0" w:right="-61"/>
              <w:jc w:val="center"/>
              <w:rPr>
                <w:rFonts w:asciiTheme="minorHAnsi" w:hAnsiTheme="minorHAnsi" w:cstheme="minorHAnsi"/>
              </w:rPr>
            </w:pPr>
            <w:r w:rsidRPr="00B62091">
              <w:rPr>
                <w:rFonts w:asciiTheme="minorHAnsi" w:hAnsiTheme="minorHAnsi" w:cstheme="minorHAnsi"/>
              </w:rPr>
              <w:t>Rs. 75 / BHP / month</w:t>
            </w:r>
          </w:p>
        </w:tc>
        <w:tc>
          <w:tcPr>
            <w:tcW w:w="2596" w:type="dxa"/>
          </w:tcPr>
          <w:p w:rsidR="00D555F2" w:rsidRPr="00F3337B" w:rsidRDefault="00D555F2" w:rsidP="00BB5A5A">
            <w:pPr>
              <w:pStyle w:val="BodyTextIndent"/>
              <w:spacing w:line="288" w:lineRule="auto"/>
              <w:ind w:left="0" w:right="-61"/>
              <w:jc w:val="center"/>
              <w:rPr>
                <w:rFonts w:asciiTheme="minorHAnsi" w:hAnsiTheme="minorHAnsi" w:cstheme="minorHAnsi"/>
              </w:rPr>
            </w:pPr>
            <w:r w:rsidRPr="00B62091">
              <w:rPr>
                <w:rFonts w:asciiTheme="minorHAnsi" w:hAnsiTheme="minorHAnsi" w:cstheme="minorHAnsi"/>
              </w:rPr>
              <w:t>Rs. 1.00 / kWh</w:t>
            </w:r>
          </w:p>
        </w:tc>
      </w:tr>
    </w:tbl>
    <w:p w:rsidR="00D555F2" w:rsidRDefault="00D555F2" w:rsidP="00D555F2">
      <w:pPr>
        <w:ind w:left="720"/>
        <w:rPr>
          <w:rFonts w:cstheme="minorHAnsi"/>
          <w:i/>
        </w:rPr>
      </w:pPr>
      <w:r w:rsidRPr="00B62091">
        <w:rPr>
          <w:rFonts w:cstheme="minorHAnsi"/>
          <w:b/>
          <w:i/>
        </w:rPr>
        <w:t>Note:</w:t>
      </w:r>
      <w:r w:rsidRPr="00B62091">
        <w:rPr>
          <w:rFonts w:cstheme="minorHAnsi"/>
          <w:i/>
        </w:rPr>
        <w:t xml:space="preserve"> Minimum bill payable by a consumer under the category “</w:t>
      </w:r>
      <w:r w:rsidRPr="00B62091">
        <w:rPr>
          <w:rFonts w:cstheme="minorHAnsi"/>
          <w:bCs/>
          <w:i/>
        </w:rPr>
        <w:t>Rural Schedule</w:t>
      </w:r>
      <w:r w:rsidRPr="00B62091">
        <w:rPr>
          <w:rFonts w:cstheme="minorHAnsi"/>
          <w:i/>
        </w:rPr>
        <w:t xml:space="preserve"> (Metered Supply) shall be Rs. 75 per BHP per month, till the installation of the meter.</w:t>
      </w:r>
      <w:r w:rsidRPr="00544443">
        <w:t xml:space="preserve"> </w:t>
      </w:r>
    </w:p>
    <w:p w:rsidR="00D555F2" w:rsidRPr="00F3337B" w:rsidRDefault="00D555F2" w:rsidP="00D555F2">
      <w:pPr>
        <w:rPr>
          <w:rFonts w:cstheme="minorHAnsi"/>
        </w:rPr>
      </w:pPr>
    </w:p>
    <w:p w:rsidR="00D555F2" w:rsidRDefault="00D555F2" w:rsidP="00D555F2">
      <w:pPr>
        <w:ind w:left="720" w:hanging="360"/>
        <w:rPr>
          <w:rFonts w:cstheme="minorHAnsi"/>
        </w:rPr>
      </w:pPr>
      <w:r w:rsidRPr="00B62091">
        <w:rPr>
          <w:rFonts w:cstheme="minorHAnsi"/>
          <w:b/>
        </w:rPr>
        <w:t>(B)</w:t>
      </w:r>
      <w:r w:rsidRPr="00B62091">
        <w:rPr>
          <w:rFonts w:cstheme="minorHAnsi"/>
          <w:b/>
        </w:rPr>
        <w:tab/>
      </w:r>
      <w:r w:rsidRPr="00B62091">
        <w:rPr>
          <w:rFonts w:cstheme="minorHAnsi"/>
        </w:rPr>
        <w:t xml:space="preserve">For consumers getting supply as per </w:t>
      </w:r>
      <w:r w:rsidRPr="00B62091">
        <w:rPr>
          <w:rFonts w:cstheme="minorHAnsi"/>
          <w:b/>
          <w:bCs/>
        </w:rPr>
        <w:t>Urban Schedule</w:t>
      </w:r>
      <w:r w:rsidRPr="00B62091">
        <w:rPr>
          <w:rFonts w:cstheme="minorHAnsi"/>
        </w:rPr>
        <w:t xml:space="preserve"> (Metered Supply) including consumers getting supply through rural feeders exempted from scheduled rostering or through co-generating radial feeders in villages and towns.</w:t>
      </w:r>
    </w:p>
    <w:p w:rsidR="00D555F2" w:rsidRDefault="00D555F2" w:rsidP="00D555F2">
      <w:pPr>
        <w:rPr>
          <w:rFonts w:cstheme="minorHAnsi"/>
        </w:rPr>
      </w:pPr>
    </w:p>
    <w:tbl>
      <w:tblPr>
        <w:tblW w:w="7787" w:type="dxa"/>
        <w:jc w:val="righ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5"/>
        <w:gridCol w:w="2596"/>
        <w:gridCol w:w="2596"/>
      </w:tblGrid>
      <w:tr w:rsidR="00D555F2" w:rsidRPr="00F3337B" w:rsidTr="00BB5A5A">
        <w:trPr>
          <w:cantSplit/>
          <w:trHeight w:val="375"/>
          <w:jc w:val="right"/>
        </w:trPr>
        <w:tc>
          <w:tcPr>
            <w:tcW w:w="2595" w:type="dxa"/>
            <w:shd w:val="clear" w:color="auto" w:fill="DBE5F1" w:themeFill="accent1" w:themeFillTint="33"/>
            <w:vAlign w:val="center"/>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b/>
                <w:bCs w:val="0"/>
              </w:rPr>
            </w:pPr>
            <w:r w:rsidRPr="00B62091">
              <w:rPr>
                <w:rFonts w:asciiTheme="minorHAnsi" w:hAnsiTheme="minorHAnsi" w:cstheme="minorHAnsi"/>
                <w:b/>
                <w:bCs w:val="0"/>
              </w:rPr>
              <w:t>Fixed Charge</w:t>
            </w:r>
          </w:p>
        </w:tc>
        <w:tc>
          <w:tcPr>
            <w:tcW w:w="2596" w:type="dxa"/>
            <w:shd w:val="clear" w:color="auto" w:fill="DBE5F1" w:themeFill="accent1" w:themeFillTint="33"/>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b/>
                <w:bCs w:val="0"/>
              </w:rPr>
            </w:pPr>
            <w:r w:rsidRPr="00B62091">
              <w:rPr>
                <w:rFonts w:asciiTheme="minorHAnsi" w:hAnsiTheme="minorHAnsi" w:cstheme="minorHAnsi"/>
                <w:b/>
                <w:bCs w:val="0"/>
              </w:rPr>
              <w:t>Minimum Charges</w:t>
            </w:r>
          </w:p>
        </w:tc>
        <w:tc>
          <w:tcPr>
            <w:tcW w:w="2596" w:type="dxa"/>
            <w:shd w:val="clear" w:color="auto" w:fill="DBE5F1" w:themeFill="accent1" w:themeFillTint="33"/>
            <w:vAlign w:val="center"/>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b/>
                <w:bCs w:val="0"/>
              </w:rPr>
            </w:pPr>
            <w:r w:rsidRPr="00B62091">
              <w:rPr>
                <w:rFonts w:asciiTheme="minorHAnsi" w:hAnsiTheme="minorHAnsi" w:cstheme="minorHAnsi"/>
                <w:b/>
                <w:bCs w:val="0"/>
              </w:rPr>
              <w:t>Energy Charge</w:t>
            </w:r>
          </w:p>
        </w:tc>
      </w:tr>
      <w:tr w:rsidR="00D555F2" w:rsidRPr="00F3337B" w:rsidTr="00BB5A5A">
        <w:trPr>
          <w:cantSplit/>
          <w:trHeight w:val="420"/>
          <w:jc w:val="right"/>
        </w:trPr>
        <w:tc>
          <w:tcPr>
            <w:tcW w:w="2595" w:type="dxa"/>
            <w:vAlign w:val="center"/>
          </w:tcPr>
          <w:p w:rsidR="00D555F2" w:rsidRPr="00F3337B" w:rsidRDefault="00D555F2" w:rsidP="00BB5A5A">
            <w:pPr>
              <w:pStyle w:val="BodyTextIndent"/>
              <w:tabs>
                <w:tab w:val="left" w:pos="360"/>
              </w:tabs>
              <w:spacing w:line="288" w:lineRule="auto"/>
              <w:ind w:left="0" w:right="29"/>
              <w:jc w:val="center"/>
              <w:rPr>
                <w:rFonts w:asciiTheme="minorHAnsi" w:hAnsiTheme="minorHAnsi" w:cstheme="minorHAnsi"/>
              </w:rPr>
            </w:pPr>
            <w:r w:rsidRPr="00B62091">
              <w:rPr>
                <w:rFonts w:asciiTheme="minorHAnsi" w:hAnsiTheme="minorHAnsi" w:cstheme="minorHAnsi"/>
              </w:rPr>
              <w:t>Rs. 75.00 / BHP / month</w:t>
            </w:r>
          </w:p>
        </w:tc>
        <w:tc>
          <w:tcPr>
            <w:tcW w:w="2596" w:type="dxa"/>
          </w:tcPr>
          <w:p w:rsidR="00D555F2" w:rsidRPr="00F3337B" w:rsidRDefault="00D555F2" w:rsidP="00BB5A5A">
            <w:pPr>
              <w:pStyle w:val="BodyTextIndent"/>
              <w:spacing w:line="288" w:lineRule="auto"/>
              <w:ind w:left="0" w:right="-61"/>
              <w:jc w:val="center"/>
              <w:rPr>
                <w:rFonts w:asciiTheme="minorHAnsi" w:hAnsiTheme="minorHAnsi" w:cstheme="minorHAnsi"/>
              </w:rPr>
            </w:pPr>
            <w:r w:rsidRPr="00B62091">
              <w:rPr>
                <w:rFonts w:asciiTheme="minorHAnsi" w:hAnsiTheme="minorHAnsi" w:cstheme="minorHAnsi"/>
              </w:rPr>
              <w:t>Rs. 160 / BHP / month</w:t>
            </w:r>
          </w:p>
        </w:tc>
        <w:tc>
          <w:tcPr>
            <w:tcW w:w="2596" w:type="dxa"/>
            <w:vAlign w:val="center"/>
          </w:tcPr>
          <w:p w:rsidR="00D555F2" w:rsidRPr="00F3337B" w:rsidRDefault="00D555F2" w:rsidP="00BB5A5A">
            <w:pPr>
              <w:pStyle w:val="BodyTextIndent"/>
              <w:spacing w:line="288" w:lineRule="auto"/>
              <w:ind w:left="0" w:right="-61"/>
              <w:jc w:val="center"/>
              <w:rPr>
                <w:rFonts w:asciiTheme="minorHAnsi" w:hAnsiTheme="minorHAnsi" w:cstheme="minorHAnsi"/>
              </w:rPr>
            </w:pPr>
            <w:r w:rsidRPr="00B62091">
              <w:rPr>
                <w:rFonts w:asciiTheme="minorHAnsi" w:hAnsiTheme="minorHAnsi" w:cstheme="minorHAnsi"/>
              </w:rPr>
              <w:t>Rs. 5.20 / kWh</w:t>
            </w:r>
          </w:p>
        </w:tc>
      </w:tr>
    </w:tbl>
    <w:p w:rsidR="00D555F2" w:rsidRPr="00544443" w:rsidRDefault="00D555F2" w:rsidP="00D555F2">
      <w:pPr>
        <w:ind w:left="720"/>
      </w:pPr>
      <w:r w:rsidRPr="00B62091">
        <w:rPr>
          <w:rFonts w:cstheme="minorHAnsi"/>
          <w:b/>
          <w:i/>
        </w:rPr>
        <w:t>Note:</w:t>
      </w:r>
      <w:r w:rsidRPr="00B62091">
        <w:rPr>
          <w:rFonts w:cstheme="minorHAnsi"/>
          <w:i/>
        </w:rPr>
        <w:t xml:space="preserve"> Minimum bill payable by a consumer under the category “</w:t>
      </w:r>
      <w:r w:rsidRPr="00B62091">
        <w:rPr>
          <w:rFonts w:cstheme="minorHAnsi"/>
          <w:bCs/>
          <w:i/>
        </w:rPr>
        <w:t>Urban Schedule</w:t>
      </w:r>
      <w:r w:rsidRPr="00B62091">
        <w:rPr>
          <w:rFonts w:cstheme="minorHAnsi"/>
          <w:i/>
        </w:rPr>
        <w:t xml:space="preserve"> (Metered Supply) shall be Rs. 160.00 per BHP per month, till the installation of the meter.</w:t>
      </w:r>
      <w:r w:rsidRPr="00544443">
        <w:t xml:space="preserve"> </w:t>
      </w:r>
    </w:p>
    <w:p w:rsidR="00D555F2" w:rsidRPr="00F3337B" w:rsidRDefault="00D555F2" w:rsidP="00D555F2">
      <w:pPr>
        <w:ind w:left="720"/>
        <w:rPr>
          <w:rFonts w:cstheme="minorHAnsi"/>
          <w:i/>
        </w:rPr>
      </w:pPr>
    </w:p>
    <w:p w:rsidR="00D555F2" w:rsidRDefault="00D555F2" w:rsidP="00D555F2">
      <w:pPr>
        <w:ind w:left="720"/>
        <w:rPr>
          <w:rFonts w:cstheme="minorHAnsi"/>
          <w:b/>
        </w:rPr>
      </w:pPr>
      <w:r w:rsidRPr="00B62091">
        <w:rPr>
          <w:rFonts w:cstheme="minorHAnsi"/>
          <w:b/>
        </w:rPr>
        <w:t>For PTW consumers of Bundelkhand Area located in Gram Sabha, the minimum bill payable by a consumer shall be Rs. 100.00 per BHP per month, till the installation of the meter</w:t>
      </w:r>
      <w:r>
        <w:rPr>
          <w:rFonts w:cstheme="minorHAnsi"/>
          <w:b/>
        </w:rPr>
        <w:t>.</w:t>
      </w:r>
    </w:p>
    <w:p w:rsidR="00D555F2" w:rsidRPr="008212C4" w:rsidRDefault="00D555F2" w:rsidP="00D555F2">
      <w:pPr>
        <w:ind w:left="720" w:hanging="360"/>
        <w:rPr>
          <w:b/>
          <w:i/>
        </w:rPr>
      </w:pPr>
    </w:p>
    <w:p w:rsidR="00D555F2" w:rsidRDefault="00D555F2" w:rsidP="00D555F2">
      <w:pPr>
        <w:spacing w:before="60" w:after="120"/>
        <w:ind w:right="29"/>
        <w:jc w:val="center"/>
        <w:rPr>
          <w:b/>
          <w:bCs/>
          <w:u w:val="single"/>
        </w:rPr>
      </w:pPr>
      <w:r w:rsidRPr="00C60AD1">
        <w:br w:type="page"/>
      </w:r>
      <w:r w:rsidRPr="00C60AD1">
        <w:rPr>
          <w:b/>
          <w:bCs/>
          <w:u w:val="single"/>
        </w:rPr>
        <w:lastRenderedPageBreak/>
        <w:t>RATE SCHEDULE LMV– 6:</w:t>
      </w:r>
    </w:p>
    <w:p w:rsidR="00D555F2" w:rsidRPr="00C60AD1" w:rsidRDefault="00D555F2" w:rsidP="00D555F2">
      <w:pPr>
        <w:spacing w:before="60" w:after="120"/>
        <w:ind w:right="29"/>
        <w:jc w:val="center"/>
        <w:rPr>
          <w:b/>
          <w:bCs/>
          <w:u w:val="single"/>
        </w:rPr>
      </w:pPr>
    </w:p>
    <w:p w:rsidR="00D555F2" w:rsidRPr="00C60AD1" w:rsidRDefault="00D555F2" w:rsidP="00D555F2">
      <w:pPr>
        <w:spacing w:before="60" w:after="120"/>
        <w:ind w:right="-61"/>
        <w:jc w:val="center"/>
        <w:rPr>
          <w:rFonts w:cs="Arial"/>
          <w:b/>
        </w:rPr>
      </w:pPr>
      <w:r w:rsidRPr="00C60AD1">
        <w:rPr>
          <w:rFonts w:cs="Arial"/>
          <w:b/>
        </w:rPr>
        <w:t>SMALL AND MEDIUM POWER:</w:t>
      </w:r>
    </w:p>
    <w:p w:rsidR="00D555F2" w:rsidRPr="00C60AD1" w:rsidRDefault="00D555F2" w:rsidP="00D555F2">
      <w:pPr>
        <w:tabs>
          <w:tab w:val="left" w:pos="360"/>
        </w:tabs>
        <w:spacing w:before="100" w:after="120"/>
        <w:ind w:right="29"/>
        <w:rPr>
          <w:b/>
        </w:rPr>
      </w:pPr>
      <w:r w:rsidRPr="00C60AD1">
        <w:rPr>
          <w:rFonts w:cs="Arial"/>
          <w:b/>
        </w:rPr>
        <w:t>1.</w:t>
      </w:r>
      <w:r w:rsidRPr="00C60AD1">
        <w:rPr>
          <w:rFonts w:cs="Arial"/>
          <w:b/>
        </w:rPr>
        <w:tab/>
      </w:r>
      <w:r w:rsidRPr="00C60AD1">
        <w:rPr>
          <w:b/>
        </w:rPr>
        <w:t>APPLICABILITY:</w:t>
      </w:r>
    </w:p>
    <w:p w:rsidR="00D555F2" w:rsidRDefault="00D555F2" w:rsidP="00D555F2">
      <w:pPr>
        <w:tabs>
          <w:tab w:val="left" w:pos="360"/>
        </w:tabs>
        <w:spacing w:before="100" w:after="120"/>
        <w:ind w:left="360"/>
      </w:pPr>
      <w:r w:rsidRPr="00C60AD1">
        <w:t>This schedule shall apply to all consumers of electrical energy having a contracted load up to 100 HP (75 kW) for industrial / processing or agro-industrial purposes, power loom (load of 5 kW and above) and to other power consumers, not covered under any other rate schedule.  Floriculture / Mushroom farming units having loads up-to 100 BHP (75kW) shall also be covered under this rate schedule.  This schedule shall also apply to pumping sets above 25 BHP.</w:t>
      </w:r>
    </w:p>
    <w:p w:rsidR="00D555F2" w:rsidRPr="00C60AD1" w:rsidRDefault="00D555F2" w:rsidP="00D555F2">
      <w:pPr>
        <w:tabs>
          <w:tab w:val="left" w:pos="360"/>
        </w:tabs>
        <w:spacing w:before="100" w:after="120"/>
        <w:ind w:left="360"/>
      </w:pPr>
    </w:p>
    <w:p w:rsidR="00D555F2" w:rsidRPr="00C60AD1" w:rsidRDefault="00D555F2" w:rsidP="00D555F2">
      <w:pPr>
        <w:rPr>
          <w:b/>
        </w:rPr>
      </w:pPr>
      <w:r w:rsidRPr="00C60AD1">
        <w:rPr>
          <w:b/>
        </w:rPr>
        <w:t>2.   CHARACTER AND POINT OF SUPPLY:</w:t>
      </w:r>
    </w:p>
    <w:p w:rsidR="00D555F2" w:rsidRPr="00C60AD1" w:rsidRDefault="00D555F2" w:rsidP="00D555F2">
      <w:pPr>
        <w:spacing w:line="240" w:lineRule="auto"/>
        <w:ind w:left="360" w:right="-58"/>
        <w:rPr>
          <w:rFonts w:cs="Arial"/>
        </w:rPr>
      </w:pPr>
      <w:r w:rsidRPr="00C60AD1">
        <w:t>As per the applicable provisions of Electricity Supply Code.</w:t>
      </w:r>
    </w:p>
    <w:p w:rsidR="00D555F2" w:rsidRDefault="00D555F2" w:rsidP="00D555F2">
      <w:pPr>
        <w:tabs>
          <w:tab w:val="left" w:pos="360"/>
        </w:tabs>
        <w:spacing w:before="240" w:after="120"/>
        <w:ind w:right="1440"/>
        <w:rPr>
          <w:rFonts w:cs="Arial"/>
          <w:b/>
        </w:rPr>
      </w:pPr>
    </w:p>
    <w:p w:rsidR="00D555F2" w:rsidRPr="00C60AD1" w:rsidRDefault="00D555F2" w:rsidP="00D555F2">
      <w:pPr>
        <w:tabs>
          <w:tab w:val="left" w:pos="360"/>
        </w:tabs>
        <w:spacing w:before="240" w:after="120"/>
        <w:ind w:right="1440"/>
        <w:rPr>
          <w:rFonts w:cs="Arial"/>
          <w:b/>
        </w:rPr>
      </w:pPr>
      <w:r w:rsidRPr="00C60AD1">
        <w:rPr>
          <w:rFonts w:cs="Arial"/>
          <w:b/>
        </w:rPr>
        <w:t>3.</w:t>
      </w:r>
      <w:r w:rsidRPr="00C60AD1">
        <w:rPr>
          <w:rFonts w:cs="Arial"/>
          <w:b/>
        </w:rPr>
        <w:tab/>
        <w:t>RATE:</w:t>
      </w:r>
    </w:p>
    <w:p w:rsidR="00D555F2" w:rsidRPr="00C60AD1" w:rsidRDefault="00D555F2" w:rsidP="00D555F2">
      <w:pPr>
        <w:ind w:left="360"/>
      </w:pPr>
      <w:r w:rsidRPr="00C60AD1">
        <w:t>Rate, gives the fixed and energy charges (including the TOD rates as applicable to the hour of operation) at which the consumer shall be billed for his consumption during the billing period applicable to the category:</w:t>
      </w:r>
    </w:p>
    <w:p w:rsidR="00D555F2" w:rsidRPr="00C60AD1" w:rsidRDefault="00D555F2" w:rsidP="00D555F2">
      <w:pPr>
        <w:ind w:left="360"/>
      </w:pPr>
    </w:p>
    <w:p w:rsidR="00D555F2" w:rsidRDefault="00D555F2" w:rsidP="00D555F2">
      <w:pPr>
        <w:numPr>
          <w:ilvl w:val="0"/>
          <w:numId w:val="96"/>
        </w:numPr>
        <w:spacing w:before="0"/>
        <w:rPr>
          <w:rFonts w:cs="Arial"/>
        </w:rPr>
      </w:pPr>
      <w:r w:rsidRPr="00C60AD1">
        <w:rPr>
          <w:rFonts w:cs="Arial"/>
          <w:b/>
        </w:rPr>
        <w:t>Consumers getting supply</w:t>
      </w:r>
      <w:r w:rsidRPr="00C60AD1">
        <w:rPr>
          <w:rFonts w:cs="Arial"/>
        </w:rPr>
        <w:t xml:space="preserve"> </w:t>
      </w:r>
      <w:r w:rsidRPr="00C60AD1">
        <w:rPr>
          <w:rFonts w:cs="Arial"/>
          <w:b/>
        </w:rPr>
        <w:t>other than Rural Schedule</w:t>
      </w:r>
      <w:r w:rsidRPr="00C60AD1">
        <w:rPr>
          <w:rFonts w:cs="Arial"/>
        </w:rPr>
        <w:t>:</w:t>
      </w:r>
    </w:p>
    <w:p w:rsidR="00D555F2" w:rsidRPr="00C60AD1" w:rsidRDefault="00D555F2" w:rsidP="00D555F2">
      <w:pPr>
        <w:rPr>
          <w:rFonts w:cs="Arial"/>
        </w:rPr>
      </w:pPr>
    </w:p>
    <w:tbl>
      <w:tblPr>
        <w:tblW w:w="6633"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2"/>
        <w:gridCol w:w="3381"/>
      </w:tblGrid>
      <w:tr w:rsidR="00D555F2" w:rsidRPr="00C60AD1" w:rsidTr="00BB5A5A">
        <w:trPr>
          <w:jc w:val="center"/>
        </w:trPr>
        <w:tc>
          <w:tcPr>
            <w:tcW w:w="3252" w:type="dxa"/>
            <w:shd w:val="clear" w:color="auto" w:fill="DBE5F1" w:themeFill="accent1" w:themeFillTint="33"/>
          </w:tcPr>
          <w:p w:rsidR="00D555F2" w:rsidRPr="00C60AD1" w:rsidRDefault="00D555F2" w:rsidP="00BB5A5A">
            <w:pPr>
              <w:keepNext/>
              <w:spacing w:before="0" w:after="120" w:line="240" w:lineRule="auto"/>
              <w:jc w:val="center"/>
              <w:rPr>
                <w:rFonts w:cs="Arial"/>
                <w:b/>
                <w:bCs/>
              </w:rPr>
            </w:pPr>
            <w:r>
              <w:rPr>
                <w:rFonts w:cs="Arial"/>
                <w:b/>
                <w:bCs/>
              </w:rPr>
              <w:t>Contracted Load</w:t>
            </w:r>
            <w:r w:rsidRPr="00C60AD1">
              <w:rPr>
                <w:rFonts w:cs="Arial"/>
                <w:b/>
                <w:bCs/>
              </w:rPr>
              <w:t xml:space="preserve"> </w:t>
            </w:r>
          </w:p>
        </w:tc>
        <w:tc>
          <w:tcPr>
            <w:tcW w:w="3381" w:type="dxa"/>
            <w:shd w:val="clear" w:color="auto" w:fill="DBE5F1" w:themeFill="accent1" w:themeFillTint="33"/>
          </w:tcPr>
          <w:p w:rsidR="00D555F2" w:rsidRPr="00C60AD1" w:rsidRDefault="00D555F2" w:rsidP="00BB5A5A">
            <w:pPr>
              <w:keepNext/>
              <w:spacing w:before="0" w:after="120" w:line="240" w:lineRule="auto"/>
              <w:jc w:val="center"/>
              <w:rPr>
                <w:rFonts w:cs="Arial"/>
                <w:b/>
                <w:bCs/>
              </w:rPr>
            </w:pPr>
            <w:r w:rsidRPr="00C60AD1">
              <w:rPr>
                <w:rFonts w:cs="Arial"/>
                <w:b/>
                <w:bCs/>
              </w:rPr>
              <w:t>Fixed Charge</w:t>
            </w:r>
          </w:p>
        </w:tc>
      </w:tr>
      <w:tr w:rsidR="00D555F2" w:rsidRPr="00C60AD1" w:rsidTr="00BB5A5A">
        <w:trPr>
          <w:jc w:val="center"/>
        </w:trPr>
        <w:tc>
          <w:tcPr>
            <w:tcW w:w="3252" w:type="dxa"/>
            <w:vAlign w:val="center"/>
          </w:tcPr>
          <w:p w:rsidR="00D555F2" w:rsidRPr="00C60AD1" w:rsidRDefault="00D555F2" w:rsidP="00BB5A5A">
            <w:pPr>
              <w:keepNext/>
              <w:spacing w:before="0" w:after="120" w:line="240" w:lineRule="auto"/>
              <w:jc w:val="left"/>
              <w:rPr>
                <w:rFonts w:cs="Arial"/>
                <w:bCs/>
              </w:rPr>
            </w:pPr>
            <w:r>
              <w:rPr>
                <w:rFonts w:cs="Arial"/>
                <w:bCs/>
              </w:rPr>
              <w:t>Up to 4 kW</w:t>
            </w:r>
          </w:p>
        </w:tc>
        <w:tc>
          <w:tcPr>
            <w:tcW w:w="3381" w:type="dxa"/>
            <w:vAlign w:val="center"/>
          </w:tcPr>
          <w:p w:rsidR="00D555F2" w:rsidRPr="00C60AD1" w:rsidRDefault="00D555F2" w:rsidP="00BB5A5A">
            <w:pPr>
              <w:keepNext/>
              <w:spacing w:before="0" w:after="120" w:line="240" w:lineRule="auto"/>
              <w:jc w:val="center"/>
              <w:rPr>
                <w:rFonts w:cs="Arial"/>
                <w:bCs/>
              </w:rPr>
            </w:pPr>
            <w:r w:rsidRPr="00C60AD1">
              <w:rPr>
                <w:bCs/>
              </w:rPr>
              <w:t>Rs. 2</w:t>
            </w:r>
            <w:r>
              <w:rPr>
                <w:bCs/>
              </w:rPr>
              <w:t>4</w:t>
            </w:r>
            <w:r w:rsidRPr="00C60AD1">
              <w:t>5</w:t>
            </w:r>
            <w:r w:rsidRPr="00C60AD1">
              <w:rPr>
                <w:bCs/>
              </w:rPr>
              <w:t xml:space="preserve"> / kW / month</w:t>
            </w:r>
          </w:p>
        </w:tc>
      </w:tr>
      <w:tr w:rsidR="00D555F2" w:rsidRPr="00C60AD1" w:rsidTr="00BB5A5A">
        <w:trPr>
          <w:jc w:val="center"/>
        </w:trPr>
        <w:tc>
          <w:tcPr>
            <w:tcW w:w="3252" w:type="dxa"/>
            <w:vAlign w:val="center"/>
          </w:tcPr>
          <w:p w:rsidR="00D555F2" w:rsidRPr="00C60AD1" w:rsidRDefault="00D555F2" w:rsidP="00BB5A5A">
            <w:pPr>
              <w:keepNext/>
              <w:spacing w:before="0" w:after="120" w:line="240" w:lineRule="auto"/>
              <w:jc w:val="left"/>
              <w:rPr>
                <w:rFonts w:cs="Arial"/>
                <w:bCs/>
              </w:rPr>
            </w:pPr>
            <w:r>
              <w:rPr>
                <w:rFonts w:cs="Arial"/>
                <w:bCs/>
              </w:rPr>
              <w:t>Above 4 kW to 9 kW</w:t>
            </w:r>
          </w:p>
        </w:tc>
        <w:tc>
          <w:tcPr>
            <w:tcW w:w="3381" w:type="dxa"/>
            <w:vAlign w:val="center"/>
          </w:tcPr>
          <w:p w:rsidR="00D555F2" w:rsidRPr="00C60AD1" w:rsidRDefault="00D555F2" w:rsidP="00BB5A5A">
            <w:pPr>
              <w:keepNext/>
              <w:spacing w:before="0" w:after="120" w:line="240" w:lineRule="auto"/>
              <w:jc w:val="center"/>
              <w:rPr>
                <w:bCs/>
              </w:rPr>
            </w:pPr>
            <w:r w:rsidRPr="00C60AD1">
              <w:rPr>
                <w:bCs/>
              </w:rPr>
              <w:t>Rs. 2</w:t>
            </w:r>
            <w:r>
              <w:rPr>
                <w:bCs/>
              </w:rPr>
              <w:t>5</w:t>
            </w:r>
            <w:r w:rsidRPr="00C60AD1">
              <w:t>5</w:t>
            </w:r>
            <w:r w:rsidRPr="00C60AD1">
              <w:rPr>
                <w:bCs/>
              </w:rPr>
              <w:t xml:space="preserve"> / kW / month</w:t>
            </w:r>
          </w:p>
        </w:tc>
      </w:tr>
      <w:tr w:rsidR="00D555F2" w:rsidRPr="00C60AD1" w:rsidTr="00BB5A5A">
        <w:trPr>
          <w:jc w:val="center"/>
        </w:trPr>
        <w:tc>
          <w:tcPr>
            <w:tcW w:w="3252" w:type="dxa"/>
            <w:vAlign w:val="center"/>
          </w:tcPr>
          <w:p w:rsidR="00D555F2" w:rsidRPr="00C60AD1" w:rsidRDefault="00D555F2" w:rsidP="00BB5A5A">
            <w:pPr>
              <w:keepNext/>
              <w:spacing w:before="0" w:after="120" w:line="240" w:lineRule="auto"/>
              <w:jc w:val="left"/>
              <w:rPr>
                <w:rFonts w:cs="Arial"/>
                <w:bCs/>
              </w:rPr>
            </w:pPr>
            <w:r>
              <w:rPr>
                <w:rFonts w:cs="Arial"/>
                <w:bCs/>
              </w:rPr>
              <w:t>Above 9 kW</w:t>
            </w:r>
          </w:p>
        </w:tc>
        <w:tc>
          <w:tcPr>
            <w:tcW w:w="3381" w:type="dxa"/>
            <w:vAlign w:val="center"/>
          </w:tcPr>
          <w:p w:rsidR="00D555F2" w:rsidRPr="00C60AD1" w:rsidRDefault="00D555F2" w:rsidP="00BB5A5A">
            <w:pPr>
              <w:keepNext/>
              <w:spacing w:before="0" w:after="120" w:line="240" w:lineRule="auto"/>
              <w:jc w:val="center"/>
              <w:rPr>
                <w:bCs/>
              </w:rPr>
            </w:pPr>
            <w:r>
              <w:rPr>
                <w:bCs/>
              </w:rPr>
              <w:t>Rs. 27</w:t>
            </w:r>
            <w:r w:rsidRPr="00C60AD1">
              <w:t>5</w:t>
            </w:r>
            <w:r w:rsidRPr="00C60AD1">
              <w:rPr>
                <w:bCs/>
              </w:rPr>
              <w:t xml:space="preserve"> / kW / month</w:t>
            </w:r>
          </w:p>
        </w:tc>
      </w:tr>
    </w:tbl>
    <w:p w:rsidR="00D555F2" w:rsidRDefault="00D555F2" w:rsidP="00D555F2">
      <w:pPr>
        <w:spacing w:before="0"/>
        <w:ind w:left="1440"/>
        <w:jc w:val="center"/>
        <w:rPr>
          <w:rFonts w:cs="Calibri"/>
          <w:b/>
        </w:rPr>
      </w:pPr>
    </w:p>
    <w:tbl>
      <w:tblPr>
        <w:tblW w:w="6778"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4"/>
        <w:gridCol w:w="3354"/>
      </w:tblGrid>
      <w:tr w:rsidR="00D555F2" w:rsidRPr="00C60AD1" w:rsidTr="00BB5A5A">
        <w:trPr>
          <w:jc w:val="center"/>
        </w:trPr>
        <w:tc>
          <w:tcPr>
            <w:tcW w:w="3424" w:type="dxa"/>
            <w:shd w:val="clear" w:color="auto" w:fill="DBE5F1" w:themeFill="accent1" w:themeFillTint="33"/>
          </w:tcPr>
          <w:p w:rsidR="00D555F2" w:rsidRPr="00C60AD1" w:rsidRDefault="00D555F2" w:rsidP="00BB5A5A">
            <w:pPr>
              <w:keepNext/>
              <w:spacing w:before="0" w:after="120" w:line="240" w:lineRule="auto"/>
              <w:jc w:val="center"/>
              <w:rPr>
                <w:rFonts w:cs="Arial"/>
                <w:b/>
                <w:bCs/>
              </w:rPr>
            </w:pPr>
            <w:r w:rsidRPr="00C60AD1">
              <w:rPr>
                <w:rFonts w:cs="Arial"/>
                <w:b/>
                <w:bCs/>
              </w:rPr>
              <w:lastRenderedPageBreak/>
              <w:t xml:space="preserve">Consumption Range </w:t>
            </w:r>
          </w:p>
        </w:tc>
        <w:tc>
          <w:tcPr>
            <w:tcW w:w="3354" w:type="dxa"/>
            <w:shd w:val="clear" w:color="auto" w:fill="DBE5F1" w:themeFill="accent1" w:themeFillTint="33"/>
          </w:tcPr>
          <w:p w:rsidR="00D555F2" w:rsidRPr="00C60AD1" w:rsidRDefault="00D555F2" w:rsidP="00BB5A5A">
            <w:pPr>
              <w:keepNext/>
              <w:spacing w:before="0" w:after="120" w:line="240" w:lineRule="auto"/>
              <w:jc w:val="center"/>
              <w:rPr>
                <w:rFonts w:cs="Arial"/>
                <w:b/>
                <w:bCs/>
              </w:rPr>
            </w:pPr>
            <w:r w:rsidRPr="00C60AD1">
              <w:rPr>
                <w:rFonts w:cs="Arial"/>
                <w:b/>
                <w:bCs/>
              </w:rPr>
              <w:t>Energy Charge</w:t>
            </w:r>
          </w:p>
        </w:tc>
      </w:tr>
      <w:tr w:rsidR="00D555F2" w:rsidRPr="00C60AD1" w:rsidTr="00BB5A5A">
        <w:trPr>
          <w:jc w:val="center"/>
        </w:trPr>
        <w:tc>
          <w:tcPr>
            <w:tcW w:w="3424" w:type="dxa"/>
            <w:vAlign w:val="center"/>
          </w:tcPr>
          <w:p w:rsidR="00D555F2" w:rsidRDefault="00D555F2" w:rsidP="00BB5A5A">
            <w:pPr>
              <w:keepNext/>
              <w:spacing w:before="0" w:after="120" w:line="240" w:lineRule="auto"/>
              <w:jc w:val="left"/>
              <w:rPr>
                <w:rFonts w:cs="Arial"/>
                <w:bCs/>
              </w:rPr>
            </w:pPr>
            <w:r w:rsidRPr="00201853">
              <w:rPr>
                <w:rFonts w:cs="Arial"/>
                <w:bCs/>
              </w:rPr>
              <w:t>Up to</w:t>
            </w:r>
            <w:r>
              <w:rPr>
                <w:rFonts w:cs="Arial"/>
                <w:bCs/>
              </w:rPr>
              <w:t xml:space="preserve"> </w:t>
            </w:r>
            <w:r w:rsidRPr="00C60AD1">
              <w:rPr>
                <w:rFonts w:cs="Arial"/>
                <w:bCs/>
              </w:rPr>
              <w:t>1000 kWh / month</w:t>
            </w:r>
          </w:p>
        </w:tc>
        <w:tc>
          <w:tcPr>
            <w:tcW w:w="3354" w:type="dxa"/>
            <w:vAlign w:val="center"/>
          </w:tcPr>
          <w:p w:rsidR="00D555F2" w:rsidRPr="00C60AD1" w:rsidRDefault="00D555F2" w:rsidP="00BB5A5A">
            <w:pPr>
              <w:keepNext/>
              <w:spacing w:before="0" w:after="120" w:line="240" w:lineRule="auto"/>
              <w:jc w:val="center"/>
              <w:rPr>
                <w:rFonts w:cs="Arial"/>
                <w:bCs/>
              </w:rPr>
            </w:pPr>
            <w:r w:rsidRPr="00C60AD1">
              <w:rPr>
                <w:rFonts w:cs="Arial"/>
                <w:bCs/>
              </w:rPr>
              <w:t xml:space="preserve">Rs. </w:t>
            </w:r>
            <w:r>
              <w:rPr>
                <w:rFonts w:cs="Arial"/>
                <w:bCs/>
              </w:rPr>
              <w:t>7</w:t>
            </w:r>
            <w:r w:rsidRPr="00C60AD1">
              <w:rPr>
                <w:rFonts w:cs="Arial"/>
                <w:bCs/>
              </w:rPr>
              <w:t>.</w:t>
            </w:r>
            <w:r>
              <w:rPr>
                <w:rFonts w:cs="Arial"/>
                <w:bCs/>
              </w:rPr>
              <w:t>0</w:t>
            </w:r>
            <w:r w:rsidRPr="00C60AD1">
              <w:rPr>
                <w:rFonts w:cs="Arial"/>
                <w:bCs/>
              </w:rPr>
              <w:t>0 / kWh</w:t>
            </w:r>
            <w:r>
              <w:rPr>
                <w:rFonts w:cs="Arial"/>
                <w:bCs/>
              </w:rPr>
              <w:t xml:space="preserve"> </w:t>
            </w:r>
            <w:r w:rsidRPr="00201853">
              <w:rPr>
                <w:rFonts w:cs="Arial"/>
                <w:bCs/>
              </w:rPr>
              <w:t>on entire consumption</w:t>
            </w:r>
          </w:p>
        </w:tc>
      </w:tr>
      <w:tr w:rsidR="00D555F2" w:rsidRPr="00C60AD1" w:rsidTr="00BB5A5A">
        <w:trPr>
          <w:jc w:val="center"/>
        </w:trPr>
        <w:tc>
          <w:tcPr>
            <w:tcW w:w="3424" w:type="dxa"/>
            <w:vAlign w:val="center"/>
          </w:tcPr>
          <w:p w:rsidR="00D555F2" w:rsidRPr="00136ADD" w:rsidRDefault="00D555F2" w:rsidP="00BB5A5A">
            <w:pPr>
              <w:keepNext/>
              <w:spacing w:before="0" w:after="120" w:line="240" w:lineRule="auto"/>
              <w:jc w:val="left"/>
              <w:rPr>
                <w:rFonts w:cs="Arial"/>
                <w:bCs/>
              </w:rPr>
            </w:pPr>
            <w:r>
              <w:rPr>
                <w:rFonts w:cs="Arial"/>
                <w:bCs/>
              </w:rPr>
              <w:t>Up to 2000 kWh / month</w:t>
            </w:r>
          </w:p>
        </w:tc>
        <w:tc>
          <w:tcPr>
            <w:tcW w:w="3354" w:type="dxa"/>
            <w:vAlign w:val="center"/>
          </w:tcPr>
          <w:p w:rsidR="00D555F2" w:rsidRPr="00C60AD1" w:rsidRDefault="00D555F2" w:rsidP="00BB5A5A">
            <w:pPr>
              <w:keepNext/>
              <w:spacing w:before="0" w:after="120" w:line="240" w:lineRule="auto"/>
              <w:jc w:val="center"/>
              <w:rPr>
                <w:rFonts w:cs="Arial"/>
                <w:bCs/>
              </w:rPr>
            </w:pPr>
            <w:r w:rsidRPr="00C60AD1">
              <w:rPr>
                <w:rFonts w:cs="Arial"/>
                <w:bCs/>
              </w:rPr>
              <w:t>Rs. 7.</w:t>
            </w:r>
            <w:r>
              <w:rPr>
                <w:rFonts w:cs="Arial"/>
                <w:bCs/>
              </w:rPr>
              <w:t>35</w:t>
            </w:r>
            <w:r w:rsidRPr="00C60AD1">
              <w:rPr>
                <w:rFonts w:cs="Arial"/>
                <w:bCs/>
              </w:rPr>
              <w:t xml:space="preserve"> / kWh</w:t>
            </w:r>
            <w:r>
              <w:rPr>
                <w:rFonts w:cs="Arial"/>
                <w:bCs/>
              </w:rPr>
              <w:t xml:space="preserve"> </w:t>
            </w:r>
            <w:r w:rsidRPr="00201853">
              <w:rPr>
                <w:rFonts w:cs="Arial"/>
                <w:bCs/>
              </w:rPr>
              <w:t>on entire consumption</w:t>
            </w:r>
          </w:p>
        </w:tc>
      </w:tr>
      <w:tr w:rsidR="00D555F2" w:rsidRPr="00C60AD1" w:rsidTr="00BB5A5A">
        <w:trPr>
          <w:jc w:val="center"/>
        </w:trPr>
        <w:tc>
          <w:tcPr>
            <w:tcW w:w="3424" w:type="dxa"/>
            <w:vAlign w:val="center"/>
          </w:tcPr>
          <w:p w:rsidR="00D555F2" w:rsidRPr="00136ADD" w:rsidRDefault="00D555F2" w:rsidP="00BB5A5A">
            <w:pPr>
              <w:keepNext/>
              <w:spacing w:before="0" w:after="120" w:line="240" w:lineRule="auto"/>
              <w:jc w:val="left"/>
              <w:rPr>
                <w:rFonts w:cs="Arial"/>
                <w:bCs/>
              </w:rPr>
            </w:pPr>
            <w:r>
              <w:rPr>
                <w:rFonts w:cs="Arial"/>
                <w:bCs/>
              </w:rPr>
              <w:t xml:space="preserve">For above 2000 kWh / month </w:t>
            </w:r>
          </w:p>
        </w:tc>
        <w:tc>
          <w:tcPr>
            <w:tcW w:w="3354" w:type="dxa"/>
            <w:vAlign w:val="center"/>
          </w:tcPr>
          <w:p w:rsidR="00D555F2" w:rsidRPr="00C60AD1" w:rsidRDefault="00D555F2" w:rsidP="00BB5A5A">
            <w:pPr>
              <w:keepNext/>
              <w:spacing w:before="0" w:after="120" w:line="240" w:lineRule="auto"/>
              <w:jc w:val="center"/>
              <w:rPr>
                <w:rFonts w:cs="Arial"/>
                <w:bCs/>
              </w:rPr>
            </w:pPr>
            <w:r>
              <w:rPr>
                <w:rFonts w:cs="Arial"/>
                <w:bCs/>
              </w:rPr>
              <w:t>Rs. 7</w:t>
            </w:r>
            <w:r w:rsidRPr="00C60AD1">
              <w:rPr>
                <w:rFonts w:cs="Arial"/>
                <w:bCs/>
              </w:rPr>
              <w:t>.60 / kWh</w:t>
            </w:r>
            <w:r>
              <w:rPr>
                <w:rFonts w:cs="Arial"/>
                <w:bCs/>
              </w:rPr>
              <w:t xml:space="preserve"> </w:t>
            </w:r>
            <w:r w:rsidRPr="00201853">
              <w:rPr>
                <w:rFonts w:cs="Arial"/>
                <w:bCs/>
              </w:rPr>
              <w:t>on entire consumption</w:t>
            </w:r>
          </w:p>
        </w:tc>
      </w:tr>
    </w:tbl>
    <w:p w:rsidR="00D555F2" w:rsidRPr="00C60AD1" w:rsidRDefault="00D555F2" w:rsidP="00D555F2">
      <w:pPr>
        <w:spacing w:before="0"/>
        <w:ind w:left="1440"/>
        <w:jc w:val="center"/>
        <w:rPr>
          <w:rFonts w:cs="Calibri"/>
          <w:b/>
        </w:rPr>
      </w:pPr>
    </w:p>
    <w:p w:rsidR="00D555F2" w:rsidRPr="00C60AD1" w:rsidRDefault="00D555F2" w:rsidP="00D555F2">
      <w:pPr>
        <w:tabs>
          <w:tab w:val="left" w:pos="360"/>
        </w:tabs>
        <w:spacing w:before="60" w:after="120"/>
        <w:ind w:right="29"/>
        <w:jc w:val="center"/>
        <w:rPr>
          <w:b/>
        </w:rPr>
      </w:pPr>
      <w:r w:rsidRPr="00C60AD1">
        <w:rPr>
          <w:b/>
        </w:rPr>
        <w:t>TOD Rates (% of Energy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2976"/>
      </w:tblGrid>
      <w:tr w:rsidR="00D555F2" w:rsidRPr="00C60AD1" w:rsidTr="00BB5A5A">
        <w:trPr>
          <w:tblHeader/>
          <w:jc w:val="center"/>
        </w:trPr>
        <w:tc>
          <w:tcPr>
            <w:tcW w:w="2947" w:type="dxa"/>
            <w:shd w:val="clear" w:color="auto" w:fill="D9D9D9"/>
            <w:vAlign w:val="center"/>
          </w:tcPr>
          <w:p w:rsidR="00D555F2" w:rsidRDefault="00D555F2" w:rsidP="00BB5A5A">
            <w:pPr>
              <w:tabs>
                <w:tab w:val="left" w:pos="360"/>
              </w:tabs>
              <w:spacing w:before="60" w:after="120"/>
              <w:ind w:right="29"/>
              <w:jc w:val="center"/>
            </w:pPr>
            <w:r w:rsidRPr="00C60AD1">
              <w:t>22:00 hrs – 06:00 hrs</w:t>
            </w:r>
          </w:p>
        </w:tc>
        <w:tc>
          <w:tcPr>
            <w:tcW w:w="2976" w:type="dxa"/>
            <w:shd w:val="clear" w:color="auto" w:fill="D9D9D9"/>
            <w:vAlign w:val="center"/>
          </w:tcPr>
          <w:p w:rsidR="00D555F2" w:rsidRDefault="00D555F2" w:rsidP="00BB5A5A">
            <w:pPr>
              <w:tabs>
                <w:tab w:val="left" w:pos="360"/>
              </w:tabs>
              <w:spacing w:before="60" w:after="120"/>
              <w:ind w:right="29"/>
              <w:jc w:val="center"/>
            </w:pPr>
            <w:r w:rsidRPr="00C60AD1">
              <w:t>(-) 7.5%</w:t>
            </w:r>
          </w:p>
        </w:tc>
      </w:tr>
      <w:tr w:rsidR="00D555F2" w:rsidRPr="00C60AD1" w:rsidTr="00BB5A5A">
        <w:trPr>
          <w:jc w:val="center"/>
        </w:trPr>
        <w:tc>
          <w:tcPr>
            <w:tcW w:w="2947" w:type="dxa"/>
            <w:shd w:val="clear" w:color="auto" w:fill="auto"/>
            <w:vAlign w:val="center"/>
          </w:tcPr>
          <w:p w:rsidR="00D555F2" w:rsidRDefault="00D555F2" w:rsidP="00BB5A5A">
            <w:pPr>
              <w:tabs>
                <w:tab w:val="left" w:pos="360"/>
              </w:tabs>
              <w:spacing w:before="60" w:after="120"/>
              <w:ind w:right="29"/>
              <w:jc w:val="center"/>
              <w:rPr>
                <w:sz w:val="18"/>
                <w:szCs w:val="18"/>
              </w:rPr>
            </w:pPr>
            <w:r w:rsidRPr="00C60AD1">
              <w:t>06:00 hrs – 17:00 hrs</w:t>
            </w:r>
          </w:p>
        </w:tc>
        <w:tc>
          <w:tcPr>
            <w:tcW w:w="2976" w:type="dxa"/>
            <w:shd w:val="clear" w:color="auto" w:fill="auto"/>
            <w:vAlign w:val="center"/>
          </w:tcPr>
          <w:p w:rsidR="00D555F2" w:rsidRDefault="00D555F2" w:rsidP="00BB5A5A">
            <w:pPr>
              <w:tabs>
                <w:tab w:val="left" w:pos="360"/>
              </w:tabs>
              <w:spacing w:before="60" w:after="120"/>
              <w:ind w:right="29"/>
              <w:jc w:val="center"/>
              <w:rPr>
                <w:sz w:val="18"/>
                <w:szCs w:val="18"/>
              </w:rPr>
            </w:pPr>
            <w:r w:rsidRPr="00C60AD1">
              <w:t>0%</w:t>
            </w:r>
          </w:p>
        </w:tc>
      </w:tr>
      <w:tr w:rsidR="00D555F2" w:rsidRPr="00C60AD1" w:rsidTr="00BB5A5A">
        <w:trPr>
          <w:jc w:val="center"/>
        </w:trPr>
        <w:tc>
          <w:tcPr>
            <w:tcW w:w="2947" w:type="dxa"/>
            <w:shd w:val="clear" w:color="auto" w:fill="D9D9D9"/>
            <w:vAlign w:val="center"/>
          </w:tcPr>
          <w:p w:rsidR="00D555F2" w:rsidRDefault="00D555F2" w:rsidP="00BB5A5A">
            <w:pPr>
              <w:tabs>
                <w:tab w:val="left" w:pos="360"/>
              </w:tabs>
              <w:spacing w:before="60" w:after="120"/>
              <w:ind w:right="29"/>
              <w:jc w:val="center"/>
              <w:rPr>
                <w:sz w:val="18"/>
                <w:szCs w:val="18"/>
              </w:rPr>
            </w:pPr>
            <w:r w:rsidRPr="00C60AD1">
              <w:t>17:00 hrs – 22:00 hrs</w:t>
            </w:r>
          </w:p>
        </w:tc>
        <w:tc>
          <w:tcPr>
            <w:tcW w:w="2976" w:type="dxa"/>
            <w:shd w:val="clear" w:color="auto" w:fill="D9D9D9"/>
            <w:vAlign w:val="center"/>
          </w:tcPr>
          <w:p w:rsidR="00D555F2" w:rsidRDefault="00D555F2" w:rsidP="00BB5A5A">
            <w:pPr>
              <w:tabs>
                <w:tab w:val="left" w:pos="360"/>
              </w:tabs>
              <w:spacing w:before="60" w:after="120"/>
              <w:ind w:right="29"/>
              <w:jc w:val="center"/>
              <w:rPr>
                <w:sz w:val="18"/>
                <w:szCs w:val="18"/>
              </w:rPr>
            </w:pPr>
            <w:r w:rsidRPr="00C60AD1">
              <w:t>(+) 15%</w:t>
            </w:r>
          </w:p>
        </w:tc>
      </w:tr>
    </w:tbl>
    <w:p w:rsidR="00D555F2" w:rsidRDefault="00D555F2" w:rsidP="00D555F2">
      <w:pPr>
        <w:rPr>
          <w:rFonts w:cs="Calibri"/>
          <w:u w:val="single"/>
        </w:rPr>
      </w:pPr>
    </w:p>
    <w:p w:rsidR="00D555F2" w:rsidRPr="00C60AD1" w:rsidRDefault="00D555F2" w:rsidP="00D555F2">
      <w:pPr>
        <w:rPr>
          <w:rFonts w:cs="Calibri"/>
          <w:u w:val="single"/>
        </w:rPr>
      </w:pPr>
      <w:r w:rsidRPr="00C60AD1">
        <w:rPr>
          <w:rFonts w:cs="Calibri"/>
          <w:u w:val="single"/>
        </w:rPr>
        <w:t>Optional TOD Structure</w:t>
      </w:r>
    </w:p>
    <w:p w:rsidR="00D555F2" w:rsidRPr="00C60AD1" w:rsidRDefault="00D555F2" w:rsidP="00D555F2">
      <w:pPr>
        <w:ind w:left="720"/>
        <w:rPr>
          <w:rFonts w:cs="Calibri"/>
        </w:rPr>
      </w:pPr>
      <w:r w:rsidRPr="00C60AD1">
        <w:rPr>
          <w:rFonts w:cs="Calibri"/>
        </w:rPr>
        <w:t>For all such consumers who want to operate at full potential only during the specified night hours with restricted consumption in remaining hours may opt for the TOD structure as follows:</w:t>
      </w:r>
    </w:p>
    <w:p w:rsidR="00D555F2" w:rsidRPr="00C60AD1" w:rsidRDefault="00D555F2" w:rsidP="00D555F2">
      <w:pPr>
        <w:ind w:left="720"/>
        <w:rPr>
          <w:rFonts w:cs="Calibri"/>
        </w:rPr>
      </w:pPr>
      <w:r w:rsidRPr="00C60AD1">
        <w:rPr>
          <w:rFonts w:cs="Calibri"/>
        </w:rPr>
        <w:t>For all such consumers who opt for this structure, the rebate can be availed between 22.00 hrs to 06.00 hrs specifically by such consumers operating at its full potential during this period and for such consumers the load during other hours i.e. 06:00 to 22:00 hours, shall be restricted to 15% of its contracted load. The TOD structure for such consumers is as given below:</w:t>
      </w:r>
    </w:p>
    <w:p w:rsidR="00D555F2" w:rsidRPr="00C60AD1" w:rsidRDefault="00D555F2" w:rsidP="00D555F2">
      <w:pPr>
        <w:ind w:left="720"/>
        <w:jc w:val="center"/>
        <w:rPr>
          <w:rFonts w:cs="Calibri"/>
        </w:rPr>
      </w:pPr>
      <w:r w:rsidRPr="00C60AD1">
        <w:rPr>
          <w:rFonts w:cs="Calibri"/>
          <w:b/>
        </w:rPr>
        <w:t>Optional TOD Structure for Specific Consumers</w:t>
      </w:r>
    </w:p>
    <w:tbl>
      <w:tblPr>
        <w:tblW w:w="4840" w:type="pct"/>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14"/>
        <w:gridCol w:w="4387"/>
      </w:tblGrid>
      <w:tr w:rsidR="00D555F2" w:rsidRPr="00C60AD1" w:rsidTr="00BB5A5A">
        <w:trPr>
          <w:trHeight w:val="189"/>
          <w:jc w:val="center"/>
        </w:trPr>
        <w:tc>
          <w:tcPr>
            <w:tcW w:w="2450" w:type="pct"/>
            <w:shd w:val="clear" w:color="auto" w:fill="DBE5F1" w:themeFill="accent1" w:themeFillTint="33"/>
            <w:tcMar>
              <w:top w:w="17" w:type="dxa"/>
              <w:left w:w="108" w:type="dxa"/>
              <w:bottom w:w="0" w:type="dxa"/>
              <w:right w:w="108" w:type="dxa"/>
            </w:tcMar>
            <w:vAlign w:val="center"/>
            <w:hideMark/>
          </w:tcPr>
          <w:p w:rsidR="00D555F2" w:rsidRPr="00C60AD1" w:rsidRDefault="00D555F2" w:rsidP="00BB5A5A">
            <w:pPr>
              <w:jc w:val="center"/>
              <w:rPr>
                <w:rFonts w:cs="Calibri"/>
              </w:rPr>
            </w:pPr>
            <w:r w:rsidRPr="00C60AD1">
              <w:rPr>
                <w:rFonts w:cs="Calibri"/>
                <w:b/>
                <w:bCs/>
              </w:rPr>
              <w:t>Hours</w:t>
            </w:r>
          </w:p>
        </w:tc>
        <w:tc>
          <w:tcPr>
            <w:tcW w:w="2550" w:type="pct"/>
            <w:shd w:val="clear" w:color="auto" w:fill="DBE5F1" w:themeFill="accent1" w:themeFillTint="33"/>
            <w:tcMar>
              <w:top w:w="17" w:type="dxa"/>
              <w:left w:w="108" w:type="dxa"/>
              <w:bottom w:w="0" w:type="dxa"/>
              <w:right w:w="108" w:type="dxa"/>
            </w:tcMar>
            <w:vAlign w:val="center"/>
            <w:hideMark/>
          </w:tcPr>
          <w:p w:rsidR="00D555F2" w:rsidRPr="00C60AD1" w:rsidRDefault="00D555F2" w:rsidP="00BB5A5A">
            <w:pPr>
              <w:jc w:val="center"/>
              <w:rPr>
                <w:rFonts w:cs="Calibri"/>
              </w:rPr>
            </w:pPr>
            <w:r w:rsidRPr="00C60AD1">
              <w:rPr>
                <w:rFonts w:cs="Calibri"/>
                <w:b/>
                <w:bCs/>
              </w:rPr>
              <w:t>TOD Rates</w:t>
            </w:r>
          </w:p>
        </w:tc>
      </w:tr>
      <w:tr w:rsidR="00D555F2" w:rsidRPr="00C60AD1" w:rsidTr="00BB5A5A">
        <w:trPr>
          <w:trHeight w:val="480"/>
          <w:jc w:val="center"/>
        </w:trPr>
        <w:tc>
          <w:tcPr>
            <w:tcW w:w="2450" w:type="pct"/>
            <w:shd w:val="clear" w:color="auto" w:fill="auto"/>
            <w:tcMar>
              <w:top w:w="17" w:type="dxa"/>
              <w:left w:w="108" w:type="dxa"/>
              <w:bottom w:w="0" w:type="dxa"/>
              <w:right w:w="108" w:type="dxa"/>
            </w:tcMar>
            <w:vAlign w:val="center"/>
            <w:hideMark/>
          </w:tcPr>
          <w:p w:rsidR="00D555F2" w:rsidRPr="00C60AD1" w:rsidRDefault="00D555F2" w:rsidP="00BB5A5A">
            <w:pPr>
              <w:rPr>
                <w:rFonts w:cs="Calibri"/>
              </w:rPr>
            </w:pPr>
            <w:r w:rsidRPr="00C60AD1">
              <w:rPr>
                <w:rFonts w:cs="Calibri"/>
              </w:rPr>
              <w:t>06:00  hrs – 22:00 hrs</w:t>
            </w:r>
          </w:p>
        </w:tc>
        <w:tc>
          <w:tcPr>
            <w:tcW w:w="2550" w:type="pct"/>
            <w:shd w:val="clear" w:color="auto" w:fill="auto"/>
            <w:tcMar>
              <w:top w:w="17" w:type="dxa"/>
              <w:left w:w="108" w:type="dxa"/>
              <w:bottom w:w="0" w:type="dxa"/>
              <w:right w:w="108" w:type="dxa"/>
            </w:tcMar>
            <w:vAlign w:val="center"/>
            <w:hideMark/>
          </w:tcPr>
          <w:p w:rsidR="00D555F2" w:rsidRPr="00C60AD1" w:rsidRDefault="00D555F2" w:rsidP="00BB5A5A">
            <w:pPr>
              <w:jc w:val="center"/>
              <w:rPr>
                <w:rFonts w:cs="Calibri"/>
              </w:rPr>
            </w:pPr>
            <w:r w:rsidRPr="00C60AD1">
              <w:rPr>
                <w:rFonts w:cs="Calibri"/>
              </w:rPr>
              <w:t>Restricted Load as specified</w:t>
            </w:r>
          </w:p>
        </w:tc>
      </w:tr>
      <w:tr w:rsidR="00D555F2" w:rsidRPr="00C60AD1" w:rsidTr="00BB5A5A">
        <w:trPr>
          <w:trHeight w:val="480"/>
          <w:jc w:val="center"/>
        </w:trPr>
        <w:tc>
          <w:tcPr>
            <w:tcW w:w="2450" w:type="pct"/>
            <w:shd w:val="clear" w:color="auto" w:fill="auto"/>
            <w:tcMar>
              <w:top w:w="17" w:type="dxa"/>
              <w:left w:w="108" w:type="dxa"/>
              <w:bottom w:w="0" w:type="dxa"/>
              <w:right w:w="108" w:type="dxa"/>
            </w:tcMar>
            <w:vAlign w:val="center"/>
            <w:hideMark/>
          </w:tcPr>
          <w:p w:rsidR="00D555F2" w:rsidRPr="00C60AD1" w:rsidRDefault="00D555F2" w:rsidP="00BB5A5A">
            <w:pPr>
              <w:rPr>
                <w:rFonts w:cs="Calibri"/>
              </w:rPr>
            </w:pPr>
            <w:r w:rsidRPr="00C60AD1">
              <w:rPr>
                <w:rFonts w:cs="Calibri"/>
              </w:rPr>
              <w:t>22:00 hrs – 06:00 hrs</w:t>
            </w:r>
          </w:p>
        </w:tc>
        <w:tc>
          <w:tcPr>
            <w:tcW w:w="2550" w:type="pct"/>
            <w:shd w:val="clear" w:color="auto" w:fill="auto"/>
            <w:tcMar>
              <w:top w:w="17" w:type="dxa"/>
              <w:left w:w="108" w:type="dxa"/>
              <w:bottom w:w="0" w:type="dxa"/>
              <w:right w:w="108" w:type="dxa"/>
            </w:tcMar>
            <w:vAlign w:val="center"/>
            <w:hideMark/>
          </w:tcPr>
          <w:p w:rsidR="00D555F2" w:rsidRPr="00C60AD1" w:rsidRDefault="00D555F2" w:rsidP="00BB5A5A">
            <w:pPr>
              <w:jc w:val="center"/>
              <w:rPr>
                <w:rFonts w:cs="Calibri"/>
              </w:rPr>
            </w:pPr>
            <w:r w:rsidRPr="00C60AD1">
              <w:rPr>
                <w:rFonts w:cs="Calibri"/>
              </w:rPr>
              <w:t>-15%</w:t>
            </w:r>
          </w:p>
        </w:tc>
      </w:tr>
    </w:tbl>
    <w:p w:rsidR="00D555F2" w:rsidRPr="00C60AD1" w:rsidRDefault="00D555F2" w:rsidP="00D555F2">
      <w:pPr>
        <w:ind w:left="720"/>
        <w:rPr>
          <w:rFonts w:cs="Calibri"/>
        </w:rPr>
      </w:pPr>
      <w:r w:rsidRPr="00C60AD1">
        <w:rPr>
          <w:rFonts w:cs="Calibri"/>
        </w:rPr>
        <w:t>Such consumers would be required to ask for such ToD structure in advance. However, if the consumer who has opted for optional TOD structure, exceeds the restricted load as specified during the time slot of 06.00</w:t>
      </w:r>
      <w:r>
        <w:t xml:space="preserve"> - </w:t>
      </w:r>
      <w:r>
        <w:rPr>
          <w:rFonts w:cs="Calibri"/>
        </w:rPr>
        <w:t>22.00</w:t>
      </w:r>
      <w:r w:rsidRPr="00C60AD1">
        <w:rPr>
          <w:rFonts w:cs="Calibri"/>
        </w:rPr>
        <w:t xml:space="preserve"> hours in any month, the TOD structure as applicable for LMV-6 category (i.e. as per T</w:t>
      </w:r>
      <w:r>
        <w:rPr>
          <w:rFonts w:cs="Calibri"/>
        </w:rPr>
        <w:t>O</w:t>
      </w:r>
      <w:r w:rsidRPr="00C60AD1">
        <w:rPr>
          <w:rFonts w:cs="Calibri"/>
        </w:rPr>
        <w:t xml:space="preserve">D Rates </w:t>
      </w:r>
      <w:r w:rsidRPr="00C60AD1">
        <w:rPr>
          <w:rFonts w:cs="Calibri"/>
        </w:rPr>
        <w:lastRenderedPageBreak/>
        <w:t>specified for all Consumers) will be applicable for such consumer for that particular month.</w:t>
      </w:r>
    </w:p>
    <w:p w:rsidR="00D555F2" w:rsidRPr="00C60AD1" w:rsidRDefault="00D555F2" w:rsidP="00D555F2">
      <w:pPr>
        <w:tabs>
          <w:tab w:val="left" w:pos="360"/>
        </w:tabs>
        <w:rPr>
          <w:rFonts w:cs="Arial"/>
          <w:b/>
        </w:rPr>
      </w:pPr>
      <w:r w:rsidRPr="00C60AD1">
        <w:rPr>
          <w:rFonts w:cs="Arial"/>
          <w:b/>
          <w:bCs/>
        </w:rPr>
        <w:t xml:space="preserve">(B) </w:t>
      </w:r>
      <w:r w:rsidRPr="00C60AD1">
        <w:rPr>
          <w:rFonts w:cs="Arial"/>
          <w:b/>
          <w:bCs/>
        </w:rPr>
        <w:tab/>
      </w:r>
      <w:r w:rsidRPr="00C60AD1">
        <w:rPr>
          <w:rFonts w:cs="Arial"/>
          <w:b/>
        </w:rPr>
        <w:t>Consumers getting supply</w:t>
      </w:r>
      <w:r w:rsidRPr="00C60AD1">
        <w:rPr>
          <w:rFonts w:cs="Arial"/>
        </w:rPr>
        <w:t xml:space="preserve"> </w:t>
      </w:r>
      <w:r w:rsidRPr="00C60AD1">
        <w:rPr>
          <w:rFonts w:cs="Arial"/>
          <w:b/>
        </w:rPr>
        <w:t>as per Rural Schedule:</w:t>
      </w:r>
    </w:p>
    <w:p w:rsidR="00D555F2" w:rsidRDefault="00D555F2" w:rsidP="00D555F2">
      <w:pPr>
        <w:tabs>
          <w:tab w:val="left" w:pos="360"/>
        </w:tabs>
        <w:ind w:left="720"/>
        <w:rPr>
          <w:bCs/>
        </w:rPr>
      </w:pPr>
      <w:r w:rsidRPr="00C60AD1">
        <w:rPr>
          <w:bCs/>
        </w:rPr>
        <w:t>The consumer under this category shall be entitled to a rebate of 7.5% on demand &amp; energy charges as given for under urban schedule without TOD rates.</w:t>
      </w:r>
    </w:p>
    <w:p w:rsidR="00D555F2" w:rsidRPr="00C60AD1" w:rsidRDefault="00D555F2" w:rsidP="00D555F2">
      <w:pPr>
        <w:tabs>
          <w:tab w:val="left" w:pos="360"/>
        </w:tabs>
        <w:ind w:left="720"/>
        <w:rPr>
          <w:bCs/>
        </w:rPr>
      </w:pPr>
    </w:p>
    <w:p w:rsidR="00D555F2" w:rsidRPr="006C7BB1" w:rsidRDefault="00D555F2" w:rsidP="00D555F2">
      <w:pPr>
        <w:tabs>
          <w:tab w:val="left" w:pos="720"/>
        </w:tabs>
        <w:spacing w:before="240" w:after="120"/>
        <w:ind w:right="29"/>
        <w:rPr>
          <w:rFonts w:cs="Arial"/>
          <w:b/>
        </w:rPr>
      </w:pPr>
      <w:r>
        <w:rPr>
          <w:b/>
        </w:rPr>
        <w:t>4.</w:t>
      </w:r>
      <w:r>
        <w:rPr>
          <w:b/>
        </w:rPr>
        <w:tab/>
      </w:r>
      <w:r w:rsidRPr="006C63AF">
        <w:rPr>
          <w:rFonts w:cs="Arial"/>
          <w:b/>
        </w:rPr>
        <w:t xml:space="preserve">PROVISIONS RELATED TO SEASONAL INDUSTRIES: </w:t>
      </w:r>
    </w:p>
    <w:p w:rsidR="00D555F2" w:rsidRDefault="00D555F2" w:rsidP="00D555F2">
      <w:pPr>
        <w:spacing w:before="60" w:after="240"/>
        <w:ind w:left="720" w:right="29"/>
      </w:pPr>
      <w:r w:rsidRPr="00C60AD1">
        <w:t>Seasonal industries will be determined in accordance with the criteria laid down below. No exhaustive list can be provided but some examples of industries exhibiting such characteristics are sugar, ice, rice mill and cold storage. The industries which operate during certain period of the year, i.e. have seasonality of operation, can avail the benefits of seasonal industries provided:</w:t>
      </w:r>
    </w:p>
    <w:p w:rsidR="00D555F2" w:rsidRDefault="00D555F2" w:rsidP="00D555F2">
      <w:pPr>
        <w:numPr>
          <w:ilvl w:val="0"/>
          <w:numId w:val="85"/>
        </w:numPr>
        <w:tabs>
          <w:tab w:val="clear" w:pos="1080"/>
        </w:tabs>
        <w:spacing w:before="60" w:line="288" w:lineRule="auto"/>
        <w:ind w:left="1440" w:right="29"/>
      </w:pPr>
      <w:r w:rsidRPr="00C60AD1">
        <w:t>The load of such industry is above 13.4 BHP (for motive power loads) &amp; 10 kW (other loads) and have Tri-vector Meters / TOD meters installed at their premises.</w:t>
      </w:r>
    </w:p>
    <w:p w:rsidR="00D555F2" w:rsidRDefault="00D555F2" w:rsidP="00D555F2">
      <w:pPr>
        <w:numPr>
          <w:ilvl w:val="0"/>
          <w:numId w:val="85"/>
        </w:numPr>
        <w:tabs>
          <w:tab w:val="clear" w:pos="1080"/>
        </w:tabs>
        <w:spacing w:before="60" w:line="288" w:lineRule="auto"/>
        <w:ind w:left="1440" w:right="29"/>
      </w:pPr>
      <w:r w:rsidRPr="00C60AD1">
        <w:t xml:space="preserve">The continuous period of operation of such industries shall be at least 4 (four) months but not more than 9 (nine) months in a financial year. </w:t>
      </w:r>
    </w:p>
    <w:p w:rsidR="00D555F2" w:rsidRDefault="00D555F2" w:rsidP="00D555F2">
      <w:pPr>
        <w:numPr>
          <w:ilvl w:val="0"/>
          <w:numId w:val="85"/>
        </w:numPr>
        <w:tabs>
          <w:tab w:val="clear" w:pos="1080"/>
        </w:tabs>
        <w:spacing w:before="60" w:line="288" w:lineRule="auto"/>
        <w:ind w:left="1440" w:right="29"/>
      </w:pPr>
      <w:r w:rsidRPr="00C60AD1">
        <w:t xml:space="preserve">Any prospective consumer, desirous of availing the seasonal benefit, shall specifically declare his season at the time of submission of declaration / execution of agreement mentioning the period of operation unambiguously. </w:t>
      </w:r>
    </w:p>
    <w:p w:rsidR="00D555F2" w:rsidRDefault="00D555F2" w:rsidP="00D555F2">
      <w:pPr>
        <w:numPr>
          <w:ilvl w:val="0"/>
          <w:numId w:val="85"/>
        </w:numPr>
        <w:tabs>
          <w:tab w:val="clear" w:pos="1080"/>
        </w:tabs>
        <w:spacing w:before="60" w:line="288" w:lineRule="auto"/>
        <w:ind w:left="1440" w:right="29"/>
      </w:pPr>
      <w:r w:rsidRPr="00C60AD1">
        <w:t>The seasonal period once notified cannot be reduced during the next consecutive 12 months. The off-season tariff is not applicable to composite units having seasonal and other category loads.</w:t>
      </w:r>
    </w:p>
    <w:p w:rsidR="00D555F2" w:rsidRDefault="00D555F2" w:rsidP="00D555F2">
      <w:pPr>
        <w:numPr>
          <w:ilvl w:val="0"/>
          <w:numId w:val="85"/>
        </w:numPr>
        <w:tabs>
          <w:tab w:val="clear" w:pos="1080"/>
        </w:tabs>
        <w:spacing w:before="60" w:line="288" w:lineRule="auto"/>
        <w:ind w:left="1440" w:right="29"/>
      </w:pPr>
      <w:r w:rsidRPr="00C60AD1">
        <w:t xml:space="preserve">The off-season tariff is also not available to those units who have captive generation exclusively for process during season and who avail Licensees supply for miscellaneous loads and other non-process loads.  </w:t>
      </w:r>
    </w:p>
    <w:p w:rsidR="00D555F2" w:rsidRPr="00C60AD1" w:rsidRDefault="00D555F2" w:rsidP="00D555F2">
      <w:pPr>
        <w:spacing w:before="60"/>
        <w:ind w:left="1440" w:right="29" w:hanging="720"/>
        <w:rPr>
          <w:b/>
        </w:rPr>
      </w:pPr>
      <w:r w:rsidRPr="00C60AD1">
        <w:t xml:space="preserve">vi)  </w:t>
      </w:r>
      <w:r w:rsidRPr="00C60AD1">
        <w:tab/>
        <w:t xml:space="preserve">The consumer opting for seasonal benefit has a flexibility to declare his off seasonal maximum demand subject to a maximum of 25% of the contracted demand.  The tariff rates (demand charge per kW / kVA and energy charge per kWh / kVAh) for such industries during off-season period will be the same as for normal period.  Further, during the off season fixed charges shall be levied on the basis of maximum demand </w:t>
      </w:r>
      <w:r w:rsidRPr="00C60AD1">
        <w:lastRenderedPageBreak/>
        <w:t xml:space="preserve">recorded by the meter (not on normal billable demand or on percentage contracted demand).  Rates for the energy charges shall however be the same as during the operational season.  Further, first violation in the season would attract full billable demand charges and energy charges calculated at the unit rate 50% higher than the applicable tariff during normal period but only for the month in which the consumer has defaulted. However, on second default the consumer will forfeit the benefit of seasonal rates for the entire season. </w:t>
      </w:r>
    </w:p>
    <w:p w:rsidR="00D555F2" w:rsidRPr="00C60AD1" w:rsidRDefault="00D555F2" w:rsidP="00D555F2">
      <w:pPr>
        <w:tabs>
          <w:tab w:val="left" w:pos="360"/>
          <w:tab w:val="left" w:pos="720"/>
        </w:tabs>
        <w:spacing w:before="100"/>
        <w:ind w:right="29"/>
        <w:rPr>
          <w:b/>
        </w:rPr>
      </w:pPr>
    </w:p>
    <w:p w:rsidR="00D555F2" w:rsidRPr="00C60AD1" w:rsidRDefault="00D555F2" w:rsidP="00D555F2">
      <w:pPr>
        <w:tabs>
          <w:tab w:val="left" w:pos="360"/>
          <w:tab w:val="left" w:pos="720"/>
        </w:tabs>
        <w:spacing w:before="100"/>
        <w:ind w:right="29"/>
        <w:rPr>
          <w:b/>
        </w:rPr>
      </w:pPr>
      <w:r w:rsidRPr="00C60AD1">
        <w:rPr>
          <w:b/>
        </w:rPr>
        <w:t>5.</w:t>
      </w:r>
      <w:r w:rsidRPr="00C60AD1">
        <w:rPr>
          <w:b/>
        </w:rPr>
        <w:tab/>
      </w:r>
      <w:r w:rsidRPr="00C60AD1">
        <w:rPr>
          <w:b/>
        </w:rPr>
        <w:tab/>
        <w:t>REBATE TO POWER LOOMS:</w:t>
      </w:r>
    </w:p>
    <w:p w:rsidR="00D555F2" w:rsidRPr="00C60AD1" w:rsidRDefault="00D555F2" w:rsidP="00D555F2">
      <w:pPr>
        <w:tabs>
          <w:tab w:val="left" w:pos="360"/>
          <w:tab w:val="left" w:pos="720"/>
        </w:tabs>
        <w:spacing w:before="100"/>
        <w:ind w:left="720" w:right="29"/>
      </w:pPr>
      <w:r w:rsidRPr="00C60AD1">
        <w:t xml:space="preserve">Rebate to Power Loom consumers shall be applicable in accordance with the Government order dated June 14, 2006 and the Commission’s order dated  July 11, 2006 subject to adherence of provision of advance subsidy.  </w:t>
      </w:r>
    </w:p>
    <w:p w:rsidR="00D555F2" w:rsidRPr="00C60AD1" w:rsidRDefault="00D555F2" w:rsidP="00D555F2">
      <w:pPr>
        <w:tabs>
          <w:tab w:val="left" w:pos="360"/>
          <w:tab w:val="left" w:pos="720"/>
        </w:tabs>
        <w:spacing w:before="100"/>
        <w:ind w:left="720" w:right="29"/>
      </w:pPr>
    </w:p>
    <w:p w:rsidR="00D555F2" w:rsidRPr="00C60AD1" w:rsidRDefault="00D555F2" w:rsidP="00D555F2">
      <w:pPr>
        <w:tabs>
          <w:tab w:val="left" w:pos="360"/>
        </w:tabs>
        <w:spacing w:before="100" w:after="100"/>
        <w:ind w:right="29"/>
        <w:rPr>
          <w:b/>
        </w:rPr>
      </w:pPr>
      <w:r w:rsidRPr="00C60AD1">
        <w:rPr>
          <w:b/>
        </w:rPr>
        <w:t>6.</w:t>
      </w:r>
      <w:r w:rsidRPr="00C60AD1">
        <w:rPr>
          <w:b/>
        </w:rPr>
        <w:tab/>
      </w:r>
      <w:r w:rsidRPr="00C60AD1">
        <w:rPr>
          <w:b/>
        </w:rPr>
        <w:tab/>
        <w:t>FACTORY LIGHTING:</w:t>
      </w:r>
    </w:p>
    <w:p w:rsidR="00D555F2" w:rsidRPr="00C60AD1" w:rsidRDefault="00D555F2" w:rsidP="00D555F2">
      <w:pPr>
        <w:spacing w:before="60" w:after="120"/>
        <w:ind w:left="720" w:right="29"/>
      </w:pPr>
      <w:r w:rsidRPr="00C60AD1">
        <w:t>The electrical energy supplied shall also be utilized in the factory premises for lights, fans, coolers, etc. which shall mean and include all energy consumed for factory lighting in the offices, the main factory building, stores, time keeper’s office, canteen, staff club, library, crèche, dispensary, staff welfare centres, compound lighting, etc. No separate connection for the same shall be provided.</w:t>
      </w:r>
    </w:p>
    <w:p w:rsidR="00D555F2" w:rsidRPr="00C60AD1" w:rsidRDefault="00D555F2" w:rsidP="00D555F2">
      <w:pPr>
        <w:spacing w:before="60" w:after="120"/>
        <w:ind w:left="720" w:right="29"/>
      </w:pPr>
    </w:p>
    <w:p w:rsidR="00D555F2" w:rsidRDefault="00D555F2" w:rsidP="00D555F2">
      <w:pPr>
        <w:spacing w:before="60" w:after="120"/>
        <w:ind w:right="29"/>
        <w:jc w:val="center"/>
        <w:rPr>
          <w:rFonts w:cs="Arial"/>
          <w:b/>
          <w:bCs/>
          <w:caps/>
          <w:u w:val="single"/>
        </w:rPr>
      </w:pPr>
      <w:r w:rsidRPr="00C60AD1">
        <w:rPr>
          <w:rFonts w:cs="Arial"/>
        </w:rPr>
        <w:br w:type="page"/>
      </w:r>
      <w:r w:rsidRPr="00C60AD1">
        <w:rPr>
          <w:rFonts w:cs="Arial"/>
          <w:b/>
          <w:bCs/>
          <w:caps/>
          <w:u w:val="single"/>
        </w:rPr>
        <w:lastRenderedPageBreak/>
        <w:t>Rate Schedule LMV– 7:</w:t>
      </w:r>
    </w:p>
    <w:p w:rsidR="00D555F2" w:rsidRPr="00C60AD1" w:rsidRDefault="00D555F2" w:rsidP="00D555F2">
      <w:pPr>
        <w:spacing w:before="60" w:after="120"/>
        <w:ind w:right="29"/>
        <w:jc w:val="center"/>
        <w:rPr>
          <w:rFonts w:cs="Arial"/>
          <w:caps/>
          <w:u w:val="single"/>
        </w:rPr>
      </w:pPr>
    </w:p>
    <w:p w:rsidR="00D555F2" w:rsidRPr="00C60AD1" w:rsidRDefault="00D555F2" w:rsidP="00D555F2">
      <w:pPr>
        <w:spacing w:before="0" w:after="120"/>
        <w:ind w:right="29"/>
        <w:jc w:val="center"/>
        <w:rPr>
          <w:rFonts w:cs="Arial"/>
          <w:b/>
        </w:rPr>
      </w:pPr>
      <w:r w:rsidRPr="00C60AD1">
        <w:rPr>
          <w:rFonts w:cs="Arial"/>
          <w:b/>
        </w:rPr>
        <w:t>PUBLIC WATER WORKS:</w:t>
      </w:r>
    </w:p>
    <w:p w:rsidR="00D555F2" w:rsidRPr="00C60AD1" w:rsidRDefault="00D555F2" w:rsidP="00D555F2">
      <w:pPr>
        <w:tabs>
          <w:tab w:val="left" w:pos="360"/>
        </w:tabs>
        <w:spacing w:before="100" w:beforeAutospacing="1" w:after="120"/>
        <w:ind w:right="29"/>
        <w:rPr>
          <w:rFonts w:cs="Arial"/>
          <w:b/>
        </w:rPr>
      </w:pPr>
      <w:r w:rsidRPr="00C60AD1">
        <w:rPr>
          <w:rFonts w:cs="Arial"/>
          <w:b/>
        </w:rPr>
        <w:t>1.</w:t>
      </w:r>
      <w:r w:rsidRPr="00C60AD1">
        <w:rPr>
          <w:rFonts w:cs="Arial"/>
          <w:b/>
        </w:rPr>
        <w:tab/>
        <w:t>APPLICABILITY:</w:t>
      </w:r>
    </w:p>
    <w:p w:rsidR="00D555F2" w:rsidRPr="00C60AD1" w:rsidRDefault="00D555F2" w:rsidP="00D555F2">
      <w:pPr>
        <w:spacing w:before="100" w:beforeAutospacing="1" w:after="120"/>
        <w:ind w:left="360" w:right="29"/>
        <w:rPr>
          <w:rFonts w:cs="Arial"/>
        </w:rPr>
      </w:pPr>
      <w:r w:rsidRPr="00C60AD1">
        <w:rPr>
          <w:rFonts w:cs="Arial"/>
        </w:rPr>
        <w:t xml:space="preserve">This schedule shall apply to Public Water Works, Sewage Treatment Plants and Sewage Pumping Stations functioning under Jal Sansthan, Jal Nigam or other local bodies. </w:t>
      </w:r>
    </w:p>
    <w:p w:rsidR="00D555F2" w:rsidRPr="00C60AD1" w:rsidRDefault="00D555F2" w:rsidP="00D555F2">
      <w:pPr>
        <w:spacing w:before="100" w:beforeAutospacing="1" w:after="120"/>
        <w:ind w:left="360" w:right="29"/>
        <w:rPr>
          <w:rFonts w:cs="Arial"/>
        </w:rPr>
      </w:pPr>
    </w:p>
    <w:p w:rsidR="00D555F2" w:rsidRPr="00C60AD1" w:rsidRDefault="00D555F2" w:rsidP="00D555F2">
      <w:pPr>
        <w:tabs>
          <w:tab w:val="left" w:pos="360"/>
        </w:tabs>
        <w:spacing w:before="100" w:after="120"/>
        <w:ind w:right="29"/>
        <w:rPr>
          <w:b/>
        </w:rPr>
      </w:pPr>
      <w:r w:rsidRPr="00C60AD1">
        <w:rPr>
          <w:b/>
        </w:rPr>
        <w:t>2.</w:t>
      </w:r>
      <w:r w:rsidRPr="00C60AD1">
        <w:rPr>
          <w:b/>
        </w:rPr>
        <w:tab/>
        <w:t>CHARACTER AND POINT OF SUPPLY:</w:t>
      </w:r>
    </w:p>
    <w:p w:rsidR="00D555F2" w:rsidRPr="00C60AD1" w:rsidRDefault="00D555F2" w:rsidP="00D555F2">
      <w:pPr>
        <w:spacing w:line="240" w:lineRule="auto"/>
        <w:ind w:left="360" w:right="-58"/>
        <w:rPr>
          <w:rFonts w:cs="Arial"/>
        </w:rPr>
      </w:pPr>
      <w:r w:rsidRPr="00C60AD1">
        <w:t>As per the applicable provisions of Electricity Supply Code.</w:t>
      </w:r>
    </w:p>
    <w:p w:rsidR="00D555F2" w:rsidRPr="00C60AD1" w:rsidRDefault="00D555F2" w:rsidP="00D555F2">
      <w:pPr>
        <w:tabs>
          <w:tab w:val="left" w:pos="360"/>
        </w:tabs>
        <w:spacing w:before="100" w:after="120"/>
        <w:ind w:right="29"/>
        <w:rPr>
          <w:rFonts w:cs="Arial"/>
          <w:b/>
        </w:rPr>
      </w:pPr>
    </w:p>
    <w:p w:rsidR="00D555F2" w:rsidRPr="00C60AD1" w:rsidRDefault="00D555F2" w:rsidP="00D555F2">
      <w:pPr>
        <w:tabs>
          <w:tab w:val="left" w:pos="360"/>
        </w:tabs>
        <w:spacing w:before="100" w:after="120"/>
        <w:ind w:right="29"/>
        <w:rPr>
          <w:rFonts w:cs="Arial"/>
          <w:b/>
        </w:rPr>
      </w:pPr>
      <w:r w:rsidRPr="00C60AD1">
        <w:rPr>
          <w:rFonts w:cs="Arial"/>
          <w:b/>
        </w:rPr>
        <w:t>3.</w:t>
      </w:r>
      <w:r w:rsidRPr="00C60AD1">
        <w:rPr>
          <w:rFonts w:cs="Arial"/>
          <w:b/>
        </w:rPr>
        <w:tab/>
        <w:t>RATE:</w:t>
      </w:r>
    </w:p>
    <w:p w:rsidR="00D555F2" w:rsidRPr="00C60AD1" w:rsidRDefault="00D555F2" w:rsidP="00D555F2">
      <w:pPr>
        <w:tabs>
          <w:tab w:val="left" w:pos="720"/>
        </w:tabs>
        <w:ind w:left="360"/>
        <w:rPr>
          <w:rFonts w:cs="Arial"/>
          <w:b/>
        </w:rPr>
      </w:pPr>
      <w:r w:rsidRPr="00C60AD1">
        <w:rPr>
          <w:rFonts w:cs="Arial"/>
          <w:b/>
          <w:bCs/>
        </w:rPr>
        <w:t xml:space="preserve">(A) </w:t>
      </w:r>
      <w:r w:rsidRPr="00C60AD1">
        <w:rPr>
          <w:rFonts w:cs="Arial"/>
          <w:b/>
        </w:rPr>
        <w:t>Consumers getting supply</w:t>
      </w:r>
      <w:r w:rsidRPr="00C60AD1">
        <w:rPr>
          <w:rFonts w:cs="Arial"/>
        </w:rPr>
        <w:t xml:space="preserve"> </w:t>
      </w:r>
      <w:r w:rsidRPr="00C60AD1">
        <w:rPr>
          <w:rFonts w:cs="Arial"/>
          <w:b/>
        </w:rPr>
        <w:t>other than “Rural</w:t>
      </w:r>
      <w:r w:rsidRPr="00C60AD1">
        <w:rPr>
          <w:rFonts w:cs="Arial"/>
        </w:rPr>
        <w:t xml:space="preserve"> </w:t>
      </w:r>
      <w:r w:rsidRPr="00C60AD1">
        <w:rPr>
          <w:rFonts w:cs="Arial"/>
          <w:b/>
        </w:rPr>
        <w:t>Schedule”:</w:t>
      </w:r>
    </w:p>
    <w:p w:rsidR="00D555F2" w:rsidRPr="00C60AD1" w:rsidRDefault="00D555F2" w:rsidP="00D555F2">
      <w:pPr>
        <w:spacing w:before="100" w:beforeAutospacing="1" w:after="120"/>
        <w:ind w:left="360"/>
      </w:pPr>
      <w:r w:rsidRPr="00C60AD1">
        <w:t>Rate gives the fixed and energy charges at which the consumer shall be billed for his consumption during the billing period applicable to the category:</w:t>
      </w:r>
    </w:p>
    <w:tbl>
      <w:tblPr>
        <w:tblW w:w="5836" w:type="dxa"/>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6"/>
        <w:gridCol w:w="2970"/>
      </w:tblGrid>
      <w:tr w:rsidR="00D555F2" w:rsidRPr="00C60AD1" w:rsidTr="00BB5A5A">
        <w:trPr>
          <w:jc w:val="center"/>
        </w:trPr>
        <w:tc>
          <w:tcPr>
            <w:tcW w:w="2866" w:type="dxa"/>
            <w:shd w:val="clear" w:color="auto" w:fill="DBE5F1" w:themeFill="accent1" w:themeFillTint="33"/>
          </w:tcPr>
          <w:p w:rsidR="00D555F2" w:rsidRPr="00C60AD1" w:rsidRDefault="00D555F2" w:rsidP="00BB5A5A">
            <w:pPr>
              <w:ind w:right="29"/>
              <w:jc w:val="center"/>
              <w:rPr>
                <w:rFonts w:cs="Arial"/>
                <w:b/>
              </w:rPr>
            </w:pPr>
            <w:r w:rsidRPr="00C60AD1">
              <w:rPr>
                <w:rFonts w:cs="Arial"/>
                <w:b/>
              </w:rPr>
              <w:t>Fixed Charge</w:t>
            </w:r>
          </w:p>
        </w:tc>
        <w:tc>
          <w:tcPr>
            <w:tcW w:w="2970" w:type="dxa"/>
            <w:shd w:val="clear" w:color="auto" w:fill="DBE5F1" w:themeFill="accent1" w:themeFillTint="33"/>
          </w:tcPr>
          <w:p w:rsidR="00D555F2" w:rsidRPr="00C60AD1" w:rsidRDefault="00D555F2" w:rsidP="00BB5A5A">
            <w:pPr>
              <w:ind w:right="29"/>
              <w:jc w:val="center"/>
              <w:rPr>
                <w:rFonts w:cs="Arial"/>
                <w:b/>
              </w:rPr>
            </w:pPr>
            <w:r w:rsidRPr="00C60AD1">
              <w:rPr>
                <w:rFonts w:cs="Arial"/>
                <w:b/>
              </w:rPr>
              <w:t>Energy Charge</w:t>
            </w:r>
          </w:p>
        </w:tc>
      </w:tr>
      <w:tr w:rsidR="00D555F2" w:rsidRPr="00C60AD1" w:rsidTr="00BB5A5A">
        <w:trPr>
          <w:jc w:val="center"/>
        </w:trPr>
        <w:tc>
          <w:tcPr>
            <w:tcW w:w="2866" w:type="dxa"/>
          </w:tcPr>
          <w:p w:rsidR="00D555F2" w:rsidRPr="00C60AD1" w:rsidRDefault="00D555F2" w:rsidP="00BB5A5A">
            <w:pPr>
              <w:ind w:right="29"/>
              <w:rPr>
                <w:rFonts w:cs="Arial"/>
                <w:bCs/>
              </w:rPr>
            </w:pPr>
            <w:r w:rsidRPr="00C60AD1">
              <w:rPr>
                <w:rFonts w:cs="Arial"/>
                <w:bCs/>
              </w:rPr>
              <w:t>Rs. 2</w:t>
            </w:r>
            <w:r>
              <w:rPr>
                <w:rFonts w:cs="Arial"/>
                <w:bCs/>
              </w:rPr>
              <w:t>9</w:t>
            </w:r>
            <w:r w:rsidRPr="00C60AD1">
              <w:rPr>
                <w:rFonts w:cs="Arial"/>
                <w:bCs/>
              </w:rPr>
              <w:t>0.00 / kW / month</w:t>
            </w:r>
          </w:p>
        </w:tc>
        <w:tc>
          <w:tcPr>
            <w:tcW w:w="2970" w:type="dxa"/>
          </w:tcPr>
          <w:p w:rsidR="00D555F2" w:rsidRPr="00C60AD1" w:rsidRDefault="00D555F2" w:rsidP="00BB5A5A">
            <w:pPr>
              <w:ind w:right="29"/>
              <w:rPr>
                <w:rFonts w:cs="Arial"/>
                <w:bCs/>
              </w:rPr>
            </w:pPr>
            <w:r w:rsidRPr="00C60AD1">
              <w:rPr>
                <w:rFonts w:cs="Arial"/>
                <w:bCs/>
              </w:rPr>
              <w:t>Rs. 7.</w:t>
            </w:r>
            <w:r>
              <w:rPr>
                <w:rFonts w:cs="Arial"/>
                <w:bCs/>
              </w:rPr>
              <w:t>95</w:t>
            </w:r>
            <w:r w:rsidRPr="00C60AD1">
              <w:rPr>
                <w:rFonts w:cs="Arial"/>
                <w:bCs/>
              </w:rPr>
              <w:t xml:space="preserve"> / kWh</w:t>
            </w:r>
          </w:p>
        </w:tc>
      </w:tr>
    </w:tbl>
    <w:p w:rsidR="00D555F2" w:rsidRPr="00C60AD1" w:rsidRDefault="00D555F2" w:rsidP="00D555F2">
      <w:pPr>
        <w:ind w:right="29"/>
        <w:rPr>
          <w:rFonts w:cs="Arial"/>
          <w:b/>
        </w:rPr>
      </w:pPr>
    </w:p>
    <w:p w:rsidR="00D555F2" w:rsidRPr="00C60AD1" w:rsidRDefault="00D555F2" w:rsidP="00D555F2">
      <w:pPr>
        <w:tabs>
          <w:tab w:val="left" w:pos="720"/>
        </w:tabs>
        <w:ind w:left="360"/>
        <w:rPr>
          <w:rFonts w:cs="Arial"/>
          <w:b/>
        </w:rPr>
      </w:pPr>
      <w:r w:rsidRPr="00C60AD1">
        <w:rPr>
          <w:rFonts w:cs="Arial"/>
          <w:b/>
          <w:bCs/>
        </w:rPr>
        <w:t xml:space="preserve"> (B) </w:t>
      </w:r>
      <w:r w:rsidRPr="00C60AD1">
        <w:rPr>
          <w:rFonts w:cs="Arial"/>
          <w:b/>
        </w:rPr>
        <w:t>Consumers getting supply</w:t>
      </w:r>
      <w:r w:rsidRPr="00C60AD1">
        <w:rPr>
          <w:rFonts w:cs="Arial"/>
        </w:rPr>
        <w:t xml:space="preserve"> </w:t>
      </w:r>
      <w:r w:rsidRPr="00C60AD1">
        <w:rPr>
          <w:rFonts w:cs="Arial"/>
          <w:b/>
        </w:rPr>
        <w:t>as per “Rural Schedule”:</w:t>
      </w:r>
    </w:p>
    <w:p w:rsidR="00D555F2" w:rsidRPr="00C60AD1" w:rsidRDefault="00D555F2" w:rsidP="00D555F2">
      <w:pPr>
        <w:tabs>
          <w:tab w:val="left" w:pos="360"/>
        </w:tabs>
        <w:ind w:left="720"/>
        <w:rPr>
          <w:bCs/>
        </w:rPr>
      </w:pPr>
      <w:r w:rsidRPr="00C60AD1">
        <w:rPr>
          <w:bCs/>
        </w:rPr>
        <w:t xml:space="preserve">The consumer under this category shall be entitled to a rebate of 7.5% on demand &amp; energy charges as given for under other than rural schedule. </w:t>
      </w:r>
    </w:p>
    <w:p w:rsidR="00D555F2" w:rsidRPr="00C60AD1" w:rsidRDefault="00D555F2" w:rsidP="00D555F2">
      <w:pPr>
        <w:jc w:val="center"/>
      </w:pPr>
    </w:p>
    <w:p w:rsidR="00D555F2" w:rsidRDefault="00D555F2" w:rsidP="00D555F2">
      <w:pPr>
        <w:spacing w:line="240" w:lineRule="auto"/>
        <w:jc w:val="left"/>
        <w:rPr>
          <w:b/>
          <w:u w:val="single"/>
        </w:rPr>
      </w:pPr>
      <w:r w:rsidRPr="00C60AD1">
        <w:rPr>
          <w:b/>
          <w:u w:val="single"/>
        </w:rPr>
        <w:br w:type="page"/>
      </w:r>
    </w:p>
    <w:p w:rsidR="00D555F2" w:rsidRPr="00C60AD1" w:rsidRDefault="00D555F2" w:rsidP="00D555F2">
      <w:pPr>
        <w:jc w:val="center"/>
        <w:rPr>
          <w:b/>
          <w:u w:val="single"/>
        </w:rPr>
      </w:pPr>
      <w:r w:rsidRPr="00C60AD1">
        <w:rPr>
          <w:b/>
          <w:u w:val="single"/>
        </w:rPr>
        <w:lastRenderedPageBreak/>
        <w:t>RATE SCHEDULE LMV – 8:</w:t>
      </w:r>
    </w:p>
    <w:p w:rsidR="00D555F2" w:rsidRPr="00C60AD1" w:rsidRDefault="00D555F2" w:rsidP="00D555F2">
      <w:pPr>
        <w:jc w:val="center"/>
        <w:rPr>
          <w:rFonts w:cs="Arial"/>
          <w:b/>
        </w:rPr>
      </w:pPr>
    </w:p>
    <w:p w:rsidR="00D555F2" w:rsidRPr="00C60AD1" w:rsidRDefault="00D555F2" w:rsidP="00D555F2">
      <w:pPr>
        <w:jc w:val="center"/>
        <w:rPr>
          <w:rFonts w:cs="Arial"/>
          <w:b/>
        </w:rPr>
      </w:pPr>
      <w:r w:rsidRPr="00C60AD1">
        <w:rPr>
          <w:rFonts w:cs="Arial"/>
          <w:b/>
        </w:rPr>
        <w:t>STATE TUBE WELLS / PANCHAYTI RAJ TUBE WELL &amp; PUMPED CANALS:</w:t>
      </w:r>
    </w:p>
    <w:p w:rsidR="00D555F2" w:rsidRPr="00C60AD1" w:rsidRDefault="00D555F2" w:rsidP="00D555F2">
      <w:pPr>
        <w:tabs>
          <w:tab w:val="left" w:pos="360"/>
        </w:tabs>
        <w:spacing w:before="100" w:beforeAutospacing="1"/>
        <w:ind w:right="1440"/>
        <w:rPr>
          <w:rFonts w:cs="Arial"/>
          <w:b/>
        </w:rPr>
      </w:pPr>
      <w:r w:rsidRPr="00C60AD1">
        <w:rPr>
          <w:rFonts w:cs="Arial"/>
          <w:b/>
        </w:rPr>
        <w:t>1.</w:t>
      </w:r>
      <w:r w:rsidRPr="00C60AD1">
        <w:rPr>
          <w:rFonts w:cs="Arial"/>
          <w:b/>
        </w:rPr>
        <w:tab/>
        <w:t>APPLICABILITY:</w:t>
      </w:r>
    </w:p>
    <w:p w:rsidR="00D555F2" w:rsidRDefault="00D555F2" w:rsidP="00D555F2">
      <w:pPr>
        <w:numPr>
          <w:ilvl w:val="0"/>
          <w:numId w:val="82"/>
        </w:numPr>
        <w:tabs>
          <w:tab w:val="clear" w:pos="1080"/>
        </w:tabs>
        <w:spacing w:before="100" w:beforeAutospacing="1" w:line="288" w:lineRule="auto"/>
        <w:ind w:right="29"/>
        <w:rPr>
          <w:rFonts w:cs="Arial"/>
        </w:rPr>
      </w:pPr>
      <w:r w:rsidRPr="00C60AD1">
        <w:rPr>
          <w:rFonts w:cs="Arial"/>
        </w:rPr>
        <w:t>This schedule shall apply to supply of power for all State Tube wells, including Tube wells operated by Panchayti Raj, World Bank Tube wells, Indo Dutch Tube wells, Pumped Canals and Lift Irrigation schemes having a load up to 100 BHP.</w:t>
      </w:r>
    </w:p>
    <w:p w:rsidR="00D555F2" w:rsidRDefault="00D555F2" w:rsidP="00D555F2">
      <w:pPr>
        <w:numPr>
          <w:ilvl w:val="0"/>
          <w:numId w:val="82"/>
        </w:numPr>
        <w:tabs>
          <w:tab w:val="clear" w:pos="1080"/>
        </w:tabs>
        <w:spacing w:before="100" w:beforeAutospacing="1" w:line="288" w:lineRule="auto"/>
        <w:ind w:right="1440"/>
        <w:rPr>
          <w:rFonts w:cs="Arial"/>
        </w:rPr>
      </w:pPr>
      <w:r w:rsidRPr="00C60AD1">
        <w:rPr>
          <w:rFonts w:cs="Arial"/>
        </w:rPr>
        <w:t xml:space="preserve">Laghu Dal Nahar having load above 100 BHP. </w:t>
      </w:r>
    </w:p>
    <w:p w:rsidR="00D555F2" w:rsidRPr="00C60AD1" w:rsidRDefault="00D555F2" w:rsidP="00D555F2"/>
    <w:p w:rsidR="00D555F2" w:rsidRPr="00C60AD1" w:rsidRDefault="00D555F2" w:rsidP="00D555F2">
      <w:pPr>
        <w:tabs>
          <w:tab w:val="left" w:pos="360"/>
        </w:tabs>
        <w:spacing w:line="240" w:lineRule="auto"/>
        <w:ind w:left="360" w:right="-58" w:hanging="360"/>
        <w:rPr>
          <w:b/>
        </w:rPr>
      </w:pPr>
      <w:r w:rsidRPr="00C60AD1">
        <w:rPr>
          <w:b/>
        </w:rPr>
        <w:t>2.</w:t>
      </w:r>
      <w:r w:rsidRPr="00C60AD1">
        <w:rPr>
          <w:b/>
        </w:rPr>
        <w:tab/>
        <w:t>CHARACTER AND POINT OF SUPPLY:</w:t>
      </w:r>
    </w:p>
    <w:p w:rsidR="00D555F2" w:rsidRPr="00C60AD1" w:rsidRDefault="00D555F2" w:rsidP="00D555F2">
      <w:pPr>
        <w:spacing w:line="240" w:lineRule="auto"/>
        <w:ind w:right="-58" w:firstLine="360"/>
      </w:pPr>
      <w:r w:rsidRPr="00C60AD1">
        <w:rPr>
          <w:b/>
        </w:rPr>
        <w:t xml:space="preserve"> </w:t>
      </w:r>
      <w:r w:rsidRPr="00C60AD1">
        <w:t>As per the applicable provisions of Electricity Supply Code.</w:t>
      </w:r>
    </w:p>
    <w:p w:rsidR="00D555F2" w:rsidRPr="00C60AD1" w:rsidRDefault="00D555F2" w:rsidP="00D555F2">
      <w:pPr>
        <w:spacing w:line="240" w:lineRule="auto"/>
        <w:ind w:right="-58" w:firstLine="360"/>
        <w:rPr>
          <w:rFonts w:cs="Arial"/>
        </w:rPr>
      </w:pPr>
    </w:p>
    <w:p w:rsidR="00D555F2" w:rsidRPr="00C60AD1" w:rsidRDefault="00D555F2" w:rsidP="00D555F2">
      <w:pPr>
        <w:tabs>
          <w:tab w:val="left" w:pos="360"/>
        </w:tabs>
        <w:spacing w:before="100"/>
        <w:ind w:right="-61"/>
        <w:rPr>
          <w:rFonts w:cs="Arial"/>
          <w:b/>
        </w:rPr>
      </w:pPr>
      <w:r w:rsidRPr="00C60AD1">
        <w:rPr>
          <w:rFonts w:cs="Arial"/>
          <w:b/>
        </w:rPr>
        <w:t>3.</w:t>
      </w:r>
      <w:r w:rsidRPr="00C60AD1">
        <w:rPr>
          <w:rFonts w:cs="Arial"/>
          <w:b/>
        </w:rPr>
        <w:tab/>
        <w:t>RATE:</w:t>
      </w:r>
    </w:p>
    <w:p w:rsidR="00D555F2" w:rsidRPr="00C60AD1" w:rsidRDefault="00D555F2" w:rsidP="00D555F2">
      <w:pPr>
        <w:spacing w:before="100" w:beforeAutospacing="1" w:after="120"/>
        <w:ind w:left="360"/>
        <w:rPr>
          <w:rFonts w:cs="Arial"/>
        </w:rPr>
      </w:pPr>
      <w:r w:rsidRPr="00C60AD1">
        <w:t xml:space="preserve">Rate gives the fixed and energy charges at which the consumer shall be billed for his consumption during the billing period applicable to the category: </w:t>
      </w:r>
    </w:p>
    <w:tbl>
      <w:tblPr>
        <w:tblpPr w:leftFromText="180" w:rightFromText="180" w:vertAnchor="text" w:horzAnchor="margin" w:tblpXSpec="center" w:tblpY="107"/>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610"/>
        <w:gridCol w:w="2250"/>
      </w:tblGrid>
      <w:tr w:rsidR="00D555F2" w:rsidRPr="00C60AD1" w:rsidTr="00BB5A5A">
        <w:tc>
          <w:tcPr>
            <w:tcW w:w="1980" w:type="dxa"/>
            <w:shd w:val="clear" w:color="auto" w:fill="DBE5F1" w:themeFill="accent1" w:themeFillTint="33"/>
          </w:tcPr>
          <w:p w:rsidR="00D555F2" w:rsidRPr="00C60AD1" w:rsidRDefault="00D555F2" w:rsidP="00BB5A5A">
            <w:pPr>
              <w:ind w:right="29"/>
              <w:jc w:val="center"/>
              <w:rPr>
                <w:rFonts w:cs="Arial"/>
                <w:b/>
              </w:rPr>
            </w:pPr>
            <w:r w:rsidRPr="00C60AD1">
              <w:rPr>
                <w:rFonts w:cs="Arial"/>
                <w:b/>
              </w:rPr>
              <w:t>Description</w:t>
            </w:r>
          </w:p>
        </w:tc>
        <w:tc>
          <w:tcPr>
            <w:tcW w:w="2610" w:type="dxa"/>
            <w:shd w:val="clear" w:color="auto" w:fill="DBE5F1" w:themeFill="accent1" w:themeFillTint="33"/>
          </w:tcPr>
          <w:p w:rsidR="00D555F2" w:rsidRPr="00C60AD1" w:rsidRDefault="00D555F2" w:rsidP="00BB5A5A">
            <w:pPr>
              <w:ind w:right="29"/>
              <w:jc w:val="center"/>
              <w:rPr>
                <w:rFonts w:cs="Arial"/>
                <w:b/>
              </w:rPr>
            </w:pPr>
            <w:r w:rsidRPr="00C60AD1">
              <w:rPr>
                <w:rFonts w:cs="Arial"/>
                <w:b/>
              </w:rPr>
              <w:t>Fixed Charge</w:t>
            </w:r>
          </w:p>
        </w:tc>
        <w:tc>
          <w:tcPr>
            <w:tcW w:w="2250" w:type="dxa"/>
            <w:shd w:val="clear" w:color="auto" w:fill="DBE5F1" w:themeFill="accent1" w:themeFillTint="33"/>
          </w:tcPr>
          <w:p w:rsidR="00D555F2" w:rsidRPr="00C60AD1" w:rsidRDefault="00D555F2" w:rsidP="00BB5A5A">
            <w:pPr>
              <w:ind w:right="29"/>
              <w:jc w:val="center"/>
              <w:rPr>
                <w:rFonts w:cs="Arial"/>
                <w:b/>
              </w:rPr>
            </w:pPr>
            <w:r w:rsidRPr="00C60AD1">
              <w:rPr>
                <w:rFonts w:cs="Arial"/>
                <w:b/>
              </w:rPr>
              <w:t>Energy Charge</w:t>
            </w:r>
          </w:p>
        </w:tc>
      </w:tr>
      <w:tr w:rsidR="00D555F2" w:rsidRPr="00C60AD1" w:rsidTr="00BB5A5A">
        <w:tc>
          <w:tcPr>
            <w:tcW w:w="1980" w:type="dxa"/>
          </w:tcPr>
          <w:p w:rsidR="00D555F2" w:rsidRPr="00C60AD1" w:rsidRDefault="00D555F2" w:rsidP="00BB5A5A">
            <w:pPr>
              <w:ind w:right="29"/>
              <w:jc w:val="center"/>
              <w:rPr>
                <w:rFonts w:cs="Arial"/>
              </w:rPr>
            </w:pPr>
            <w:r w:rsidRPr="00C60AD1">
              <w:rPr>
                <w:rFonts w:cs="Arial"/>
              </w:rPr>
              <w:t>Metered</w:t>
            </w:r>
          </w:p>
        </w:tc>
        <w:tc>
          <w:tcPr>
            <w:tcW w:w="2610" w:type="dxa"/>
          </w:tcPr>
          <w:p w:rsidR="00D555F2" w:rsidRPr="00C60AD1" w:rsidRDefault="00D555F2" w:rsidP="00BB5A5A">
            <w:pPr>
              <w:ind w:right="29"/>
              <w:jc w:val="center"/>
              <w:rPr>
                <w:rFonts w:cs="Arial"/>
              </w:rPr>
            </w:pPr>
            <w:r w:rsidRPr="00C60AD1">
              <w:rPr>
                <w:rFonts w:cs="Arial"/>
              </w:rPr>
              <w:t>Rs. 200.00 / BHP / month</w:t>
            </w:r>
          </w:p>
        </w:tc>
        <w:tc>
          <w:tcPr>
            <w:tcW w:w="2250" w:type="dxa"/>
          </w:tcPr>
          <w:p w:rsidR="00D555F2" w:rsidRPr="00C60AD1" w:rsidRDefault="00D555F2" w:rsidP="00BB5A5A">
            <w:pPr>
              <w:ind w:right="29"/>
              <w:jc w:val="center"/>
              <w:rPr>
                <w:rFonts w:cs="Arial"/>
              </w:rPr>
            </w:pPr>
            <w:r w:rsidRPr="00C60AD1">
              <w:rPr>
                <w:rFonts w:cs="Arial"/>
              </w:rPr>
              <w:t xml:space="preserve">Rs. </w:t>
            </w:r>
            <w:r w:rsidRPr="00C60AD1">
              <w:rPr>
                <w:rFonts w:cs="Arial"/>
                <w:szCs w:val="22"/>
              </w:rPr>
              <w:t>6.</w:t>
            </w:r>
            <w:r w:rsidRPr="00C60AD1">
              <w:t>80</w:t>
            </w:r>
            <w:r w:rsidRPr="00C60AD1">
              <w:rPr>
                <w:rFonts w:cs="Arial"/>
              </w:rPr>
              <w:t xml:space="preserve"> / kWh</w:t>
            </w:r>
          </w:p>
        </w:tc>
      </w:tr>
      <w:tr w:rsidR="00D555F2" w:rsidRPr="00C60AD1" w:rsidTr="00BB5A5A">
        <w:tc>
          <w:tcPr>
            <w:tcW w:w="1980" w:type="dxa"/>
          </w:tcPr>
          <w:p w:rsidR="00D555F2" w:rsidRPr="00C60AD1" w:rsidRDefault="00D555F2" w:rsidP="00BB5A5A">
            <w:pPr>
              <w:ind w:right="29"/>
              <w:jc w:val="center"/>
              <w:rPr>
                <w:rFonts w:cs="Arial"/>
              </w:rPr>
            </w:pPr>
            <w:r w:rsidRPr="00C60AD1">
              <w:rPr>
                <w:rFonts w:cs="Arial"/>
              </w:rPr>
              <w:t>Un-metered</w:t>
            </w:r>
          </w:p>
        </w:tc>
        <w:tc>
          <w:tcPr>
            <w:tcW w:w="2610" w:type="dxa"/>
          </w:tcPr>
          <w:p w:rsidR="00D555F2" w:rsidRPr="00C60AD1" w:rsidRDefault="00D555F2" w:rsidP="00BB5A5A">
            <w:pPr>
              <w:ind w:right="29"/>
              <w:jc w:val="center"/>
              <w:rPr>
                <w:rFonts w:cs="Arial"/>
              </w:rPr>
            </w:pPr>
            <w:r w:rsidRPr="00C60AD1">
              <w:rPr>
                <w:rFonts w:cs="Arial"/>
              </w:rPr>
              <w:t xml:space="preserve">Rs. </w:t>
            </w:r>
            <w:r>
              <w:rPr>
                <w:rFonts w:cs="Arial"/>
                <w:szCs w:val="22"/>
              </w:rPr>
              <w:t>21</w:t>
            </w:r>
            <w:r w:rsidRPr="00C60AD1">
              <w:t>00.00</w:t>
            </w:r>
            <w:r w:rsidRPr="00C60AD1">
              <w:rPr>
                <w:rFonts w:cs="Arial"/>
              </w:rPr>
              <w:t xml:space="preserve"> / BHP / month</w:t>
            </w:r>
          </w:p>
        </w:tc>
        <w:tc>
          <w:tcPr>
            <w:tcW w:w="2250" w:type="dxa"/>
          </w:tcPr>
          <w:p w:rsidR="00D555F2" w:rsidRPr="00C60AD1" w:rsidRDefault="00D555F2" w:rsidP="00BB5A5A">
            <w:pPr>
              <w:ind w:right="29"/>
              <w:jc w:val="center"/>
              <w:rPr>
                <w:rFonts w:cs="Arial"/>
              </w:rPr>
            </w:pPr>
            <w:r w:rsidRPr="00C60AD1">
              <w:rPr>
                <w:rFonts w:cs="Arial"/>
              </w:rPr>
              <w:t>Nil</w:t>
            </w:r>
          </w:p>
        </w:tc>
      </w:tr>
    </w:tbl>
    <w:p w:rsidR="00D555F2" w:rsidRPr="00C60AD1" w:rsidRDefault="00D555F2" w:rsidP="00D555F2">
      <w:pPr>
        <w:ind w:right="29"/>
        <w:rPr>
          <w:rFonts w:cs="Arial"/>
          <w:b/>
        </w:rPr>
      </w:pPr>
    </w:p>
    <w:p w:rsidR="00D555F2" w:rsidRPr="00C60AD1" w:rsidRDefault="00D555F2" w:rsidP="00D555F2">
      <w:pPr>
        <w:ind w:right="29"/>
        <w:rPr>
          <w:rFonts w:cs="Arial"/>
        </w:rPr>
      </w:pPr>
    </w:p>
    <w:p w:rsidR="00D555F2" w:rsidRPr="00C60AD1" w:rsidRDefault="00D555F2" w:rsidP="00D555F2">
      <w:pPr>
        <w:ind w:right="29"/>
        <w:rPr>
          <w:rFonts w:cs="Arial"/>
        </w:rPr>
      </w:pPr>
    </w:p>
    <w:p w:rsidR="00D555F2" w:rsidRPr="00C60AD1" w:rsidRDefault="00D555F2" w:rsidP="00D555F2">
      <w:pPr>
        <w:ind w:right="29"/>
        <w:rPr>
          <w:rFonts w:cs="Arial"/>
        </w:rPr>
      </w:pPr>
    </w:p>
    <w:p w:rsidR="00D555F2" w:rsidRPr="00C60AD1" w:rsidRDefault="00D555F2" w:rsidP="00D555F2">
      <w:pPr>
        <w:ind w:right="29"/>
        <w:rPr>
          <w:rFonts w:cs="Arial"/>
        </w:rPr>
      </w:pPr>
    </w:p>
    <w:p w:rsidR="00D555F2" w:rsidRPr="00C60AD1" w:rsidRDefault="00D555F2" w:rsidP="00D555F2">
      <w:pPr>
        <w:ind w:left="360" w:right="29"/>
        <w:rPr>
          <w:rFonts w:cs="Arial"/>
        </w:rPr>
      </w:pPr>
      <w:r w:rsidRPr="00C60AD1">
        <w:rPr>
          <w:rFonts w:cs="Arial"/>
        </w:rPr>
        <w:tab/>
      </w:r>
      <w:r w:rsidRPr="00C60AD1">
        <w:rPr>
          <w:rFonts w:cs="Arial"/>
        </w:rPr>
        <w:tab/>
      </w:r>
    </w:p>
    <w:p w:rsidR="00D555F2" w:rsidRPr="00C60AD1" w:rsidRDefault="00D555F2" w:rsidP="00D555F2">
      <w:pPr>
        <w:tabs>
          <w:tab w:val="left" w:pos="360"/>
        </w:tabs>
        <w:spacing w:before="60"/>
        <w:ind w:left="360" w:right="-151" w:hanging="360"/>
        <w:rPr>
          <w:rFonts w:cs="Arial"/>
          <w:bCs/>
        </w:rPr>
      </w:pPr>
      <w:r w:rsidRPr="00C60AD1">
        <w:rPr>
          <w:rFonts w:cs="Arial"/>
          <w:b/>
        </w:rPr>
        <w:t>4.</w:t>
      </w:r>
      <w:r w:rsidRPr="00C60AD1">
        <w:rPr>
          <w:rFonts w:cs="Arial"/>
          <w:b/>
        </w:rPr>
        <w:tab/>
      </w:r>
      <w:r w:rsidRPr="00C60AD1">
        <w:rPr>
          <w:rFonts w:cs="Arial"/>
          <w:bCs/>
        </w:rPr>
        <w:t xml:space="preserve">For finding out net load during any quarter of the year for this category refer </w:t>
      </w:r>
      <w:r w:rsidRPr="00201853">
        <w:rPr>
          <w:rFonts w:cs="Arial"/>
          <w:bCs/>
        </w:rPr>
        <w:t>ANNEXURE</w:t>
      </w:r>
      <w:r w:rsidRPr="006C63AF">
        <w:rPr>
          <w:rFonts w:cs="Arial"/>
        </w:rPr>
        <w:t xml:space="preserve"> </w:t>
      </w:r>
      <w:r>
        <w:t>11.2.2</w:t>
      </w:r>
    </w:p>
    <w:p w:rsidR="00D555F2" w:rsidRPr="00C60AD1" w:rsidRDefault="00D555F2" w:rsidP="00D555F2">
      <w:pPr>
        <w:spacing w:before="60"/>
        <w:ind w:right="-151"/>
        <w:rPr>
          <w:rFonts w:cs="Arial"/>
          <w:b/>
        </w:rPr>
      </w:pPr>
    </w:p>
    <w:p w:rsidR="00D555F2" w:rsidRDefault="00D555F2" w:rsidP="00D555F2">
      <w:pPr>
        <w:spacing w:after="200"/>
        <w:jc w:val="center"/>
        <w:rPr>
          <w:b/>
          <w:caps/>
          <w:u w:val="single"/>
        </w:rPr>
      </w:pPr>
      <w:r w:rsidRPr="00C60AD1">
        <w:rPr>
          <w:rFonts w:cs="Arial"/>
          <w:b/>
        </w:rPr>
        <w:br w:type="page"/>
      </w:r>
      <w:r w:rsidRPr="00C60AD1">
        <w:rPr>
          <w:b/>
          <w:caps/>
          <w:u w:val="single"/>
        </w:rPr>
        <w:lastRenderedPageBreak/>
        <w:t>Rate Schedule LMV – 9:</w:t>
      </w:r>
    </w:p>
    <w:p w:rsidR="00D555F2" w:rsidRDefault="00D555F2" w:rsidP="00D555F2">
      <w:pPr>
        <w:jc w:val="center"/>
        <w:rPr>
          <w:b/>
          <w:caps/>
          <w:u w:val="single"/>
        </w:rPr>
      </w:pPr>
    </w:p>
    <w:p w:rsidR="00D555F2" w:rsidRPr="00C60AD1" w:rsidRDefault="00D555F2" w:rsidP="00D555F2">
      <w:pPr>
        <w:tabs>
          <w:tab w:val="left" w:pos="3114"/>
          <w:tab w:val="center" w:pos="4334"/>
        </w:tabs>
        <w:spacing w:before="0"/>
        <w:jc w:val="left"/>
        <w:rPr>
          <w:b/>
        </w:rPr>
      </w:pPr>
      <w:r>
        <w:rPr>
          <w:b/>
        </w:rPr>
        <w:tab/>
      </w:r>
      <w:r>
        <w:rPr>
          <w:b/>
        </w:rPr>
        <w:tab/>
      </w:r>
      <w:r w:rsidRPr="00C60AD1">
        <w:rPr>
          <w:b/>
        </w:rPr>
        <w:t>TEMPORARY SUPPLY:</w:t>
      </w:r>
    </w:p>
    <w:p w:rsidR="00D555F2" w:rsidRPr="00C60AD1" w:rsidRDefault="00D555F2" w:rsidP="00D555F2">
      <w:pPr>
        <w:tabs>
          <w:tab w:val="left" w:pos="360"/>
        </w:tabs>
        <w:spacing w:before="100" w:beforeAutospacing="1"/>
        <w:ind w:right="29"/>
        <w:rPr>
          <w:rFonts w:cs="Arial"/>
          <w:b/>
        </w:rPr>
      </w:pPr>
      <w:r w:rsidRPr="00C60AD1">
        <w:rPr>
          <w:rFonts w:cs="Arial"/>
          <w:b/>
        </w:rPr>
        <w:t>1.</w:t>
      </w:r>
      <w:r w:rsidRPr="00C60AD1">
        <w:rPr>
          <w:rFonts w:cs="Arial"/>
          <w:b/>
        </w:rPr>
        <w:tab/>
        <w:t>APPLICABILITY:</w:t>
      </w:r>
    </w:p>
    <w:p w:rsidR="00D555F2" w:rsidRPr="00C60AD1" w:rsidRDefault="00D555F2" w:rsidP="00D555F2">
      <w:pPr>
        <w:pStyle w:val="BodyTextIndent"/>
        <w:spacing w:line="288" w:lineRule="auto"/>
        <w:ind w:left="360" w:right="-58"/>
        <w:rPr>
          <w:rFonts w:ascii="Calibri" w:hAnsi="Calibri" w:cs="Arial"/>
          <w:b/>
        </w:rPr>
      </w:pPr>
      <w:r w:rsidRPr="00C60AD1">
        <w:rPr>
          <w:rFonts w:ascii="Calibri" w:hAnsi="Calibri" w:cs="Arial"/>
          <w:b/>
          <w:bCs w:val="0"/>
        </w:rPr>
        <w:t>A)</w:t>
      </w:r>
      <w:r w:rsidRPr="00C60AD1">
        <w:rPr>
          <w:rFonts w:ascii="Calibri" w:hAnsi="Calibri" w:cs="Arial"/>
          <w:b/>
          <w:bCs w:val="0"/>
        </w:rPr>
        <w:tab/>
        <w:t xml:space="preserve">Un-metered Supply for </w:t>
      </w:r>
      <w:r w:rsidRPr="00C60AD1">
        <w:rPr>
          <w:rFonts w:ascii="Calibri" w:hAnsi="Calibri" w:cs="Arial"/>
          <w:b/>
        </w:rPr>
        <w:t>Illumination</w:t>
      </w:r>
      <w:r w:rsidR="002E13D9">
        <w:rPr>
          <w:rFonts w:ascii="Calibri" w:hAnsi="Calibri" w:cs="Arial"/>
          <w:b/>
        </w:rPr>
        <w:t xml:space="preserve"> </w:t>
      </w:r>
      <w:r w:rsidRPr="00C60AD1">
        <w:rPr>
          <w:rFonts w:ascii="Calibri" w:hAnsi="Calibri" w:cs="Arial"/>
          <w:b/>
        </w:rPr>
        <w:t>/ Public Address</w:t>
      </w:r>
      <w:r w:rsidR="002E13D9">
        <w:rPr>
          <w:rFonts w:ascii="Calibri" w:hAnsi="Calibri" w:cs="Arial"/>
          <w:b/>
        </w:rPr>
        <w:t xml:space="preserve"> </w:t>
      </w:r>
      <w:r w:rsidRPr="00C60AD1">
        <w:rPr>
          <w:rFonts w:ascii="Calibri" w:hAnsi="Calibri" w:cs="Arial"/>
          <w:b/>
        </w:rPr>
        <w:t>/ Temporary Shops in Melas:</w:t>
      </w:r>
    </w:p>
    <w:p w:rsidR="00D555F2" w:rsidRPr="00C60AD1" w:rsidRDefault="00D555F2" w:rsidP="00D555F2">
      <w:pPr>
        <w:pStyle w:val="BodyTextIndent"/>
        <w:spacing w:line="288" w:lineRule="auto"/>
        <w:ind w:right="-58"/>
        <w:rPr>
          <w:rFonts w:ascii="Calibri" w:hAnsi="Calibri" w:cs="Arial"/>
        </w:rPr>
      </w:pPr>
      <w:r w:rsidRPr="00C60AD1">
        <w:rPr>
          <w:rFonts w:ascii="Calibri" w:hAnsi="Calibri" w:cs="Arial"/>
        </w:rPr>
        <w:t xml:space="preserve">This schedule shall apply to temporary supply of light, fan &amp; power up to 20 KW, Public address system and illumination loads during functions, ceremonies and festivities and temporary shops, not exceeding three months. </w:t>
      </w:r>
    </w:p>
    <w:p w:rsidR="00D555F2" w:rsidRPr="00C60AD1" w:rsidRDefault="00D555F2" w:rsidP="00D555F2">
      <w:pPr>
        <w:pStyle w:val="BodyTextIndent"/>
        <w:spacing w:line="288" w:lineRule="auto"/>
        <w:ind w:left="360" w:right="-58"/>
        <w:rPr>
          <w:rFonts w:ascii="Calibri" w:hAnsi="Calibri" w:cs="Arial"/>
          <w:b/>
          <w:bCs w:val="0"/>
        </w:rPr>
      </w:pPr>
      <w:r w:rsidRPr="00C60AD1">
        <w:rPr>
          <w:rFonts w:ascii="Calibri" w:hAnsi="Calibri" w:cs="Arial"/>
          <w:b/>
          <w:bCs w:val="0"/>
        </w:rPr>
        <w:t>B)</w:t>
      </w:r>
      <w:r w:rsidRPr="00C60AD1">
        <w:rPr>
          <w:rFonts w:ascii="Calibri" w:hAnsi="Calibri" w:cs="Arial"/>
          <w:b/>
          <w:bCs w:val="0"/>
        </w:rPr>
        <w:tab/>
        <w:t>Metered Supply for all other purposes:</w:t>
      </w:r>
    </w:p>
    <w:p w:rsidR="00D555F2" w:rsidRPr="00C60AD1" w:rsidRDefault="00D555F2" w:rsidP="00D555F2">
      <w:pPr>
        <w:pStyle w:val="BodyText"/>
        <w:tabs>
          <w:tab w:val="left" w:pos="360"/>
        </w:tabs>
        <w:spacing w:line="288" w:lineRule="auto"/>
        <w:ind w:left="720" w:right="-58"/>
        <w:rPr>
          <w:rFonts w:cs="Arial"/>
        </w:rPr>
      </w:pPr>
      <w:r w:rsidRPr="00C60AD1">
        <w:rPr>
          <w:rFonts w:cs="Arial"/>
        </w:rPr>
        <w:t xml:space="preserve">This schedule shall apply to all temporary supplies of light, fan and power load for the purpose other than mentioned in (A) above. </w:t>
      </w:r>
    </w:p>
    <w:p w:rsidR="00D555F2" w:rsidRPr="00C60AD1" w:rsidRDefault="00D555F2" w:rsidP="00D555F2">
      <w:pPr>
        <w:pStyle w:val="BodyTextIndent"/>
        <w:spacing w:before="100" w:beforeAutospacing="1" w:line="288" w:lineRule="auto"/>
        <w:ind w:right="-58"/>
        <w:rPr>
          <w:rFonts w:ascii="Calibri" w:hAnsi="Calibri" w:cs="Arial"/>
        </w:rPr>
      </w:pPr>
      <w:r w:rsidRPr="00C60AD1">
        <w:rPr>
          <w:rFonts w:ascii="Calibri" w:hAnsi="Calibri" w:cs="Arial"/>
        </w:rPr>
        <w:t>This schedule shall also apply for power taken for construction purposes including civil work by all consumers and Govt. Departments.</w:t>
      </w:r>
    </w:p>
    <w:p w:rsidR="00D555F2" w:rsidRPr="00C60AD1" w:rsidRDefault="00D555F2" w:rsidP="00D555F2"/>
    <w:p w:rsidR="00D555F2" w:rsidRPr="00C60AD1" w:rsidRDefault="00D555F2" w:rsidP="00D555F2">
      <w:pPr>
        <w:spacing w:before="100" w:beforeAutospacing="1"/>
        <w:ind w:left="360" w:right="29" w:hanging="360"/>
        <w:rPr>
          <w:b/>
        </w:rPr>
      </w:pPr>
      <w:r w:rsidRPr="00C60AD1">
        <w:rPr>
          <w:b/>
        </w:rPr>
        <w:t>2.</w:t>
      </w:r>
      <w:r w:rsidRPr="00C60AD1">
        <w:rPr>
          <w:b/>
        </w:rPr>
        <w:tab/>
        <w:t>CHARACTER AND POINT OF SUPPLY:</w:t>
      </w:r>
    </w:p>
    <w:p w:rsidR="00D555F2" w:rsidRPr="00C60AD1" w:rsidRDefault="00D555F2" w:rsidP="00D555F2">
      <w:pPr>
        <w:spacing w:line="240" w:lineRule="auto"/>
        <w:ind w:left="360" w:right="-58"/>
      </w:pPr>
      <w:r w:rsidRPr="00C60AD1">
        <w:t>As per the applicable provisions of Electricity Supply Code.</w:t>
      </w:r>
    </w:p>
    <w:p w:rsidR="00D555F2" w:rsidRPr="00C60AD1" w:rsidRDefault="00D555F2" w:rsidP="00D555F2">
      <w:pPr>
        <w:spacing w:line="240" w:lineRule="auto"/>
        <w:ind w:left="360" w:right="-58"/>
        <w:rPr>
          <w:rFonts w:cs="Arial"/>
        </w:rPr>
      </w:pPr>
    </w:p>
    <w:p w:rsidR="00D555F2" w:rsidRPr="00C60AD1" w:rsidRDefault="00D555F2" w:rsidP="00D555F2">
      <w:pPr>
        <w:spacing w:before="100" w:beforeAutospacing="1"/>
        <w:ind w:left="360" w:right="29" w:hanging="360"/>
        <w:rPr>
          <w:rFonts w:cs="Arial"/>
          <w:b/>
        </w:rPr>
      </w:pPr>
      <w:r w:rsidRPr="00C60AD1">
        <w:rPr>
          <w:b/>
        </w:rPr>
        <w:t xml:space="preserve"> </w:t>
      </w:r>
      <w:r w:rsidRPr="00C60AD1">
        <w:rPr>
          <w:rFonts w:cs="Arial"/>
          <w:b/>
        </w:rPr>
        <w:t>3.</w:t>
      </w:r>
      <w:r w:rsidRPr="00C60AD1">
        <w:rPr>
          <w:rFonts w:cs="Arial"/>
          <w:b/>
        </w:rPr>
        <w:tab/>
        <w:t>RATE (SEPARATELY FOR EACH POINT OF SUPPLY):</w:t>
      </w:r>
    </w:p>
    <w:p w:rsidR="00D555F2" w:rsidRPr="00C60AD1" w:rsidRDefault="00D555F2" w:rsidP="00D555F2">
      <w:pPr>
        <w:spacing w:before="100" w:beforeAutospacing="1" w:after="120"/>
        <w:ind w:left="360"/>
      </w:pPr>
      <w:r w:rsidRPr="00C60AD1">
        <w:t xml:space="preserve">Rate gives the fixed and energy charges at which the consumer shall be billed for his consumption during the billing period applicable to the category: </w:t>
      </w:r>
    </w:p>
    <w:p w:rsidR="00D555F2" w:rsidRPr="00C60AD1" w:rsidRDefault="00D555F2" w:rsidP="00D555F2">
      <w:pPr>
        <w:spacing w:before="100" w:beforeAutospacing="1" w:after="120"/>
        <w:ind w:left="360"/>
      </w:pPr>
      <w:r w:rsidRPr="00C60AD1">
        <w:rPr>
          <w:rFonts w:cs="Arial"/>
          <w:b/>
          <w:bCs/>
        </w:rPr>
        <w:t>A</w:t>
      </w:r>
      <w:r w:rsidRPr="00C60AD1">
        <w:rPr>
          <w:rFonts w:cs="Arial"/>
          <w:b/>
        </w:rPr>
        <w:t>.</w:t>
      </w:r>
      <w:r w:rsidRPr="00C60AD1">
        <w:rPr>
          <w:rFonts w:cs="Arial"/>
          <w:b/>
        </w:rPr>
        <w:tab/>
        <w:t>Un-metered:</w:t>
      </w:r>
    </w:p>
    <w:tbl>
      <w:tblPr>
        <w:tblW w:w="8325" w:type="dxa"/>
        <w:tblInd w:w="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323"/>
        <w:gridCol w:w="2002"/>
      </w:tblGrid>
      <w:tr w:rsidR="00D555F2" w:rsidRPr="00C60AD1" w:rsidTr="00BB5A5A">
        <w:tc>
          <w:tcPr>
            <w:tcW w:w="6323" w:type="dxa"/>
          </w:tcPr>
          <w:p w:rsidR="00D555F2" w:rsidRPr="00C60AD1" w:rsidRDefault="00D555F2" w:rsidP="00BB5A5A">
            <w:pPr>
              <w:spacing w:before="100" w:beforeAutospacing="1"/>
              <w:ind w:left="342" w:right="72" w:hanging="342"/>
              <w:rPr>
                <w:rFonts w:cs="Arial"/>
              </w:rPr>
            </w:pPr>
            <w:r w:rsidRPr="00C60AD1">
              <w:rPr>
                <w:rFonts w:cs="Arial"/>
              </w:rPr>
              <w:t xml:space="preserve">(i) Fixed charges </w:t>
            </w:r>
            <w:r w:rsidRPr="00C60AD1">
              <w:rPr>
                <w:rFonts w:cs="Arial"/>
                <w:b/>
                <w:bCs/>
                <w:i/>
                <w:iCs/>
              </w:rPr>
              <w:t>for illumination / public address / ceremonies</w:t>
            </w:r>
            <w:r w:rsidRPr="00C60AD1">
              <w:rPr>
                <w:rFonts w:cs="Arial"/>
              </w:rPr>
              <w:t xml:space="preserve"> for load up to 20 kW per connection plus Rs. 100 per kW per day for each additional kW.</w:t>
            </w:r>
          </w:p>
        </w:tc>
        <w:tc>
          <w:tcPr>
            <w:tcW w:w="2002" w:type="dxa"/>
          </w:tcPr>
          <w:p w:rsidR="00D555F2" w:rsidRPr="00C60AD1" w:rsidRDefault="00D555F2" w:rsidP="00BB5A5A">
            <w:pPr>
              <w:spacing w:before="100" w:beforeAutospacing="1"/>
              <w:ind w:right="27"/>
              <w:rPr>
                <w:rFonts w:cs="Arial"/>
              </w:rPr>
            </w:pPr>
            <w:r w:rsidRPr="00C60AD1">
              <w:rPr>
                <w:rFonts w:cs="Arial"/>
              </w:rPr>
              <w:t>Rs. 3</w:t>
            </w:r>
            <w:r>
              <w:rPr>
                <w:rFonts w:cs="Arial"/>
              </w:rPr>
              <w:t>5</w:t>
            </w:r>
            <w:r w:rsidRPr="00C60AD1">
              <w:rPr>
                <w:rFonts w:cs="Arial"/>
              </w:rPr>
              <w:t>00.00 / day</w:t>
            </w:r>
          </w:p>
        </w:tc>
      </w:tr>
      <w:tr w:rsidR="00D555F2" w:rsidRPr="00C60AD1" w:rsidTr="00BB5A5A">
        <w:tc>
          <w:tcPr>
            <w:tcW w:w="6323" w:type="dxa"/>
          </w:tcPr>
          <w:p w:rsidR="00D555F2" w:rsidRPr="00C60AD1" w:rsidRDefault="00D555F2" w:rsidP="00BB5A5A">
            <w:pPr>
              <w:spacing w:before="100" w:beforeAutospacing="1"/>
              <w:ind w:left="342" w:right="162" w:hanging="342"/>
              <w:rPr>
                <w:rFonts w:cs="Arial"/>
              </w:rPr>
            </w:pPr>
            <w:r w:rsidRPr="00C60AD1">
              <w:rPr>
                <w:rFonts w:cs="Arial"/>
              </w:rPr>
              <w:t xml:space="preserve">(ii)  Fixed charges for </w:t>
            </w:r>
            <w:r w:rsidRPr="00C60AD1">
              <w:rPr>
                <w:rFonts w:cs="Arial"/>
                <w:b/>
                <w:bCs/>
                <w:i/>
                <w:iCs/>
              </w:rPr>
              <w:t>temporary shops</w:t>
            </w:r>
            <w:r w:rsidRPr="00C60AD1">
              <w:rPr>
                <w:rFonts w:cs="Arial"/>
              </w:rPr>
              <w:t xml:space="preserve"> set-up during festivals / melas or otherwise and having load up to 2KW</w:t>
            </w:r>
          </w:p>
        </w:tc>
        <w:tc>
          <w:tcPr>
            <w:tcW w:w="2002" w:type="dxa"/>
          </w:tcPr>
          <w:p w:rsidR="00D555F2" w:rsidRPr="00C60AD1" w:rsidRDefault="00D555F2" w:rsidP="00BB5A5A">
            <w:pPr>
              <w:spacing w:before="100" w:beforeAutospacing="1"/>
              <w:ind w:right="27"/>
              <w:rPr>
                <w:rFonts w:cs="Arial"/>
              </w:rPr>
            </w:pPr>
            <w:r w:rsidRPr="00C60AD1">
              <w:rPr>
                <w:rFonts w:cs="Arial"/>
              </w:rPr>
              <w:t xml:space="preserve">Rs. </w:t>
            </w:r>
            <w:r>
              <w:rPr>
                <w:rFonts w:cs="Arial"/>
              </w:rPr>
              <w:t>30</w:t>
            </w:r>
            <w:r w:rsidRPr="00C60AD1">
              <w:rPr>
                <w:rFonts w:cs="Arial"/>
              </w:rPr>
              <w:t xml:space="preserve">0.00 / day / shop </w:t>
            </w:r>
          </w:p>
        </w:tc>
      </w:tr>
    </w:tbl>
    <w:p w:rsidR="00D555F2" w:rsidRDefault="00D555F2" w:rsidP="00D555F2">
      <w:pPr>
        <w:ind w:firstLine="360"/>
        <w:rPr>
          <w:rFonts w:cs="Arial"/>
          <w:b/>
          <w:bCs/>
        </w:rPr>
      </w:pPr>
    </w:p>
    <w:p w:rsidR="00D555F2" w:rsidRPr="00C60AD1" w:rsidRDefault="00D555F2" w:rsidP="00D555F2">
      <w:pPr>
        <w:spacing w:after="240"/>
        <w:ind w:firstLine="360"/>
        <w:rPr>
          <w:rFonts w:cs="Arial"/>
          <w:b/>
          <w:bCs/>
        </w:rPr>
      </w:pPr>
      <w:r w:rsidRPr="00C60AD1">
        <w:rPr>
          <w:rFonts w:cs="Arial"/>
          <w:b/>
          <w:bCs/>
        </w:rPr>
        <w:lastRenderedPageBreak/>
        <w:t>B.</w:t>
      </w:r>
      <w:r w:rsidRPr="00C60AD1">
        <w:rPr>
          <w:rFonts w:cs="Arial"/>
          <w:b/>
          <w:bCs/>
        </w:rPr>
        <w:tab/>
        <w:t>Metered</w:t>
      </w:r>
      <w:r w:rsidRPr="00E421A9">
        <w:rPr>
          <w:rFonts w:cs="Arial"/>
          <w:b/>
          <w:bCs/>
          <w:vertAlign w:val="superscript"/>
        </w:rPr>
        <w:t>*</w:t>
      </w:r>
      <w:r w:rsidRPr="00C60AD1">
        <w:rPr>
          <w:rFonts w:cs="Arial"/>
          <w:b/>
          <w:bCs/>
        </w:rPr>
        <w:t>:</w:t>
      </w:r>
    </w:p>
    <w:tbl>
      <w:tblPr>
        <w:tblW w:w="7428" w:type="dxa"/>
        <w:jc w:val="center"/>
        <w:tblInd w:w="18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098"/>
        <w:gridCol w:w="4330"/>
      </w:tblGrid>
      <w:tr w:rsidR="00D555F2" w:rsidRPr="00C60AD1" w:rsidTr="00BB5A5A">
        <w:trPr>
          <w:trHeight w:val="457"/>
          <w:jc w:val="center"/>
        </w:trPr>
        <w:tc>
          <w:tcPr>
            <w:tcW w:w="3098" w:type="dxa"/>
            <w:shd w:val="clear" w:color="auto" w:fill="DBE5F1" w:themeFill="accent1" w:themeFillTint="33"/>
          </w:tcPr>
          <w:p w:rsidR="00D555F2" w:rsidRPr="00C60AD1" w:rsidRDefault="00D555F2" w:rsidP="00BB5A5A">
            <w:pPr>
              <w:spacing w:before="100" w:beforeAutospacing="1"/>
              <w:ind w:right="162"/>
              <w:jc w:val="center"/>
              <w:rPr>
                <w:rFonts w:cs="Arial"/>
                <w:b/>
                <w:bCs/>
              </w:rPr>
            </w:pPr>
            <w:r w:rsidRPr="00C60AD1">
              <w:rPr>
                <w:rFonts w:cs="Arial"/>
                <w:b/>
                <w:bCs/>
              </w:rPr>
              <w:t>Description</w:t>
            </w:r>
          </w:p>
        </w:tc>
        <w:tc>
          <w:tcPr>
            <w:tcW w:w="4330" w:type="dxa"/>
            <w:shd w:val="clear" w:color="auto" w:fill="DBE5F1" w:themeFill="accent1" w:themeFillTint="33"/>
          </w:tcPr>
          <w:p w:rsidR="00D555F2" w:rsidRPr="00C60AD1" w:rsidRDefault="00D555F2" w:rsidP="00BB5A5A">
            <w:pPr>
              <w:spacing w:before="100" w:beforeAutospacing="1"/>
              <w:ind w:right="162"/>
              <w:jc w:val="center"/>
              <w:rPr>
                <w:rFonts w:cs="Arial"/>
                <w:b/>
                <w:bCs/>
              </w:rPr>
            </w:pPr>
            <w:r w:rsidRPr="00C60AD1">
              <w:rPr>
                <w:rFonts w:cs="Arial"/>
                <w:b/>
                <w:bCs/>
              </w:rPr>
              <w:t>Energy Charge</w:t>
            </w:r>
          </w:p>
        </w:tc>
      </w:tr>
      <w:tr w:rsidR="00D555F2" w:rsidRPr="00C60AD1" w:rsidTr="00BB5A5A">
        <w:trPr>
          <w:trHeight w:val="457"/>
          <w:jc w:val="center"/>
        </w:trPr>
        <w:tc>
          <w:tcPr>
            <w:tcW w:w="3098" w:type="dxa"/>
            <w:vMerge w:val="restart"/>
          </w:tcPr>
          <w:p w:rsidR="00D555F2" w:rsidRPr="00C60AD1" w:rsidRDefault="00D555F2" w:rsidP="00BB5A5A">
            <w:pPr>
              <w:spacing w:before="100" w:beforeAutospacing="1"/>
              <w:ind w:right="162"/>
              <w:rPr>
                <w:rFonts w:cs="Arial"/>
                <w:bCs/>
              </w:rPr>
            </w:pPr>
            <w:r w:rsidRPr="00C60AD1">
              <w:rPr>
                <w:rFonts w:cs="Arial"/>
                <w:bCs/>
              </w:rPr>
              <w:t>Individual Residential construction</w:t>
            </w:r>
          </w:p>
        </w:tc>
        <w:tc>
          <w:tcPr>
            <w:tcW w:w="4330" w:type="dxa"/>
          </w:tcPr>
          <w:p w:rsidR="00D555F2" w:rsidRPr="00C60AD1" w:rsidRDefault="00D555F2" w:rsidP="00BB5A5A">
            <w:pPr>
              <w:spacing w:before="100" w:beforeAutospacing="1"/>
              <w:ind w:right="162"/>
              <w:rPr>
                <w:rFonts w:cs="Arial"/>
                <w:bCs/>
              </w:rPr>
            </w:pPr>
            <w:r w:rsidRPr="00C60AD1">
              <w:rPr>
                <w:rFonts w:cs="Arial"/>
                <w:bCs/>
              </w:rPr>
              <w:t xml:space="preserve">Rs. </w:t>
            </w:r>
            <w:r>
              <w:rPr>
                <w:rFonts w:cs="Arial"/>
                <w:bCs/>
              </w:rPr>
              <w:t>7</w:t>
            </w:r>
            <w:r w:rsidRPr="00C60AD1">
              <w:rPr>
                <w:rFonts w:cs="Arial"/>
              </w:rPr>
              <w:t>.</w:t>
            </w:r>
            <w:r>
              <w:rPr>
                <w:rFonts w:cs="Arial"/>
              </w:rPr>
              <w:t>0</w:t>
            </w:r>
            <w:r w:rsidRPr="00C60AD1">
              <w:t xml:space="preserve">0 </w:t>
            </w:r>
            <w:r w:rsidRPr="00C60AD1">
              <w:rPr>
                <w:rFonts w:cs="Arial"/>
                <w:bCs/>
              </w:rPr>
              <w:t>/ kWh</w:t>
            </w:r>
          </w:p>
        </w:tc>
      </w:tr>
      <w:tr w:rsidR="00D555F2" w:rsidRPr="00C60AD1" w:rsidTr="00BB5A5A">
        <w:trPr>
          <w:trHeight w:val="748"/>
          <w:jc w:val="center"/>
        </w:trPr>
        <w:tc>
          <w:tcPr>
            <w:tcW w:w="3098" w:type="dxa"/>
            <w:vMerge/>
          </w:tcPr>
          <w:p w:rsidR="00D555F2" w:rsidRPr="00C60AD1" w:rsidRDefault="00D555F2" w:rsidP="00BB5A5A">
            <w:pPr>
              <w:spacing w:before="100" w:beforeAutospacing="1"/>
              <w:ind w:right="162"/>
              <w:rPr>
                <w:rFonts w:cs="Arial"/>
                <w:bCs/>
              </w:rPr>
            </w:pPr>
          </w:p>
        </w:tc>
        <w:tc>
          <w:tcPr>
            <w:tcW w:w="4330" w:type="dxa"/>
          </w:tcPr>
          <w:p w:rsidR="00D555F2" w:rsidRPr="00C60AD1" w:rsidRDefault="00D555F2" w:rsidP="00BB5A5A">
            <w:pPr>
              <w:spacing w:before="100" w:beforeAutospacing="1"/>
              <w:ind w:right="162"/>
              <w:rPr>
                <w:rFonts w:cs="Arial"/>
                <w:bCs/>
              </w:rPr>
            </w:pPr>
            <w:r w:rsidRPr="00C60AD1">
              <w:rPr>
                <w:rFonts w:cs="Arial"/>
                <w:bCs/>
              </w:rPr>
              <w:t>From 3</w:t>
            </w:r>
            <w:r w:rsidRPr="00C60AD1">
              <w:rPr>
                <w:rFonts w:cs="Arial"/>
                <w:bCs/>
                <w:vertAlign w:val="superscript"/>
              </w:rPr>
              <w:t>rd</w:t>
            </w:r>
            <w:r w:rsidRPr="00C60AD1">
              <w:rPr>
                <w:rFonts w:cs="Arial"/>
                <w:bCs/>
              </w:rPr>
              <w:t xml:space="preserve"> year onwards: Base Tariff applicable for current year plus additional 10% of the applicable tariff</w:t>
            </w:r>
          </w:p>
        </w:tc>
      </w:tr>
      <w:tr w:rsidR="00D555F2" w:rsidRPr="00C60AD1" w:rsidTr="00BB5A5A">
        <w:trPr>
          <w:trHeight w:val="480"/>
          <w:jc w:val="center"/>
        </w:trPr>
        <w:tc>
          <w:tcPr>
            <w:tcW w:w="3098" w:type="dxa"/>
            <w:vMerge w:val="restart"/>
          </w:tcPr>
          <w:p w:rsidR="00D555F2" w:rsidRPr="00C60AD1" w:rsidRDefault="00D555F2" w:rsidP="00BB5A5A">
            <w:pPr>
              <w:spacing w:before="100" w:beforeAutospacing="1"/>
              <w:ind w:right="162"/>
              <w:rPr>
                <w:rFonts w:cs="Arial"/>
                <w:bCs/>
              </w:rPr>
            </w:pPr>
            <w:r w:rsidRPr="00C60AD1">
              <w:rPr>
                <w:rFonts w:cs="Arial"/>
                <w:bCs/>
              </w:rPr>
              <w:t>Others</w:t>
            </w:r>
          </w:p>
        </w:tc>
        <w:tc>
          <w:tcPr>
            <w:tcW w:w="4330" w:type="dxa"/>
          </w:tcPr>
          <w:p w:rsidR="00D555F2" w:rsidRPr="00C60AD1" w:rsidRDefault="00D555F2" w:rsidP="00BB5A5A">
            <w:pPr>
              <w:spacing w:before="100" w:beforeAutospacing="1"/>
              <w:ind w:right="162"/>
              <w:rPr>
                <w:rFonts w:cs="Arial"/>
                <w:bCs/>
              </w:rPr>
            </w:pPr>
            <w:r w:rsidRPr="00C60AD1">
              <w:rPr>
                <w:rFonts w:cs="Arial"/>
                <w:bCs/>
              </w:rPr>
              <w:t xml:space="preserve">Rs. </w:t>
            </w:r>
            <w:r w:rsidRPr="00C60AD1">
              <w:rPr>
                <w:rFonts w:cs="Arial"/>
              </w:rPr>
              <w:t>7.</w:t>
            </w:r>
            <w:r>
              <w:rPr>
                <w:rFonts w:cs="Arial"/>
              </w:rPr>
              <w:t>9</w:t>
            </w:r>
            <w:r w:rsidRPr="00C60AD1">
              <w:t>5</w:t>
            </w:r>
            <w:r w:rsidRPr="00C60AD1">
              <w:rPr>
                <w:rFonts w:cs="Arial"/>
                <w:bCs/>
              </w:rPr>
              <w:t xml:space="preserve"> / kWh</w:t>
            </w:r>
          </w:p>
        </w:tc>
      </w:tr>
      <w:tr w:rsidR="00D555F2" w:rsidRPr="00C60AD1" w:rsidTr="00BB5A5A">
        <w:trPr>
          <w:trHeight w:val="480"/>
          <w:jc w:val="center"/>
        </w:trPr>
        <w:tc>
          <w:tcPr>
            <w:tcW w:w="3098" w:type="dxa"/>
            <w:vMerge/>
          </w:tcPr>
          <w:p w:rsidR="00D555F2" w:rsidRPr="00C60AD1" w:rsidRDefault="00D555F2" w:rsidP="00BB5A5A">
            <w:pPr>
              <w:spacing w:before="100" w:beforeAutospacing="1"/>
              <w:ind w:right="162"/>
              <w:rPr>
                <w:rFonts w:cs="Arial"/>
                <w:bCs/>
              </w:rPr>
            </w:pPr>
          </w:p>
        </w:tc>
        <w:tc>
          <w:tcPr>
            <w:tcW w:w="4330" w:type="dxa"/>
          </w:tcPr>
          <w:p w:rsidR="00D555F2" w:rsidRPr="00C60AD1" w:rsidRDefault="00D555F2" w:rsidP="00BB5A5A">
            <w:pPr>
              <w:spacing w:before="100" w:beforeAutospacing="1"/>
              <w:ind w:right="162"/>
              <w:rPr>
                <w:rFonts w:cs="Arial"/>
                <w:bCs/>
              </w:rPr>
            </w:pPr>
            <w:r w:rsidRPr="00C60AD1">
              <w:rPr>
                <w:rFonts w:cs="Arial"/>
                <w:bCs/>
              </w:rPr>
              <w:t>From 3</w:t>
            </w:r>
            <w:r w:rsidRPr="00C60AD1">
              <w:rPr>
                <w:rFonts w:cs="Arial"/>
                <w:bCs/>
                <w:vertAlign w:val="superscript"/>
              </w:rPr>
              <w:t>rd</w:t>
            </w:r>
            <w:r w:rsidRPr="00C60AD1">
              <w:rPr>
                <w:rFonts w:cs="Arial"/>
                <w:bCs/>
              </w:rPr>
              <w:t xml:space="preserve"> year onwards: Base Tariff applicable for current year plus additional 10% of the applicable tariff</w:t>
            </w:r>
          </w:p>
        </w:tc>
      </w:tr>
    </w:tbl>
    <w:p w:rsidR="00D555F2" w:rsidRPr="00C60AD1" w:rsidRDefault="00D555F2" w:rsidP="00D555F2">
      <w:pPr>
        <w:spacing w:before="100" w:beforeAutospacing="1"/>
        <w:ind w:right="-48"/>
        <w:rPr>
          <w:rFonts w:cs="Arial"/>
          <w:b/>
          <w:bCs/>
        </w:rPr>
      </w:pPr>
      <w:r w:rsidRPr="000873E5">
        <w:rPr>
          <w:i/>
          <w:sz w:val="22"/>
        </w:rPr>
        <w:t xml:space="preserve">*Minimum bill payable by a consumer under the category “Metered” shall be Rs. </w:t>
      </w:r>
      <w:r>
        <w:rPr>
          <w:i/>
          <w:sz w:val="22"/>
        </w:rPr>
        <w:t>20</w:t>
      </w:r>
      <w:r w:rsidRPr="00C60AD1">
        <w:rPr>
          <w:i/>
          <w:sz w:val="22"/>
        </w:rPr>
        <w:t>0.00</w:t>
      </w:r>
      <w:r w:rsidRPr="000873E5">
        <w:rPr>
          <w:i/>
          <w:sz w:val="22"/>
        </w:rPr>
        <w:t xml:space="preserve"> / kW / week.</w:t>
      </w:r>
      <w:r w:rsidRPr="00C60AD1">
        <w:rPr>
          <w:rFonts w:cs="Arial"/>
          <w:b/>
          <w:bCs/>
        </w:rPr>
        <w:t xml:space="preserve"> </w:t>
      </w:r>
    </w:p>
    <w:p w:rsidR="00D555F2" w:rsidRPr="00C60AD1" w:rsidRDefault="00D555F2" w:rsidP="00D555F2">
      <w:pPr>
        <w:spacing w:before="100" w:beforeAutospacing="1"/>
        <w:ind w:right="-48"/>
        <w:rPr>
          <w:rFonts w:cs="Arial"/>
          <w:b/>
          <w:bCs/>
        </w:rPr>
      </w:pPr>
      <w:r w:rsidRPr="00C60AD1">
        <w:rPr>
          <w:rFonts w:cs="Arial"/>
          <w:b/>
          <w:bCs/>
        </w:rPr>
        <w:t>Note:</w:t>
      </w:r>
    </w:p>
    <w:p w:rsidR="00D555F2" w:rsidRPr="00C60AD1" w:rsidRDefault="00D555F2" w:rsidP="00D555F2">
      <w:pPr>
        <w:pStyle w:val="BodyText"/>
        <w:spacing w:line="288" w:lineRule="auto"/>
        <w:ind w:right="11"/>
        <w:jc w:val="center"/>
        <w:rPr>
          <w:rFonts w:cs="Arial"/>
          <w:b/>
          <w:sz w:val="22"/>
          <w:szCs w:val="22"/>
          <w:u w:val="single"/>
        </w:rPr>
      </w:pPr>
      <w:r w:rsidRPr="00C60AD1">
        <w:rPr>
          <w:szCs w:val="22"/>
        </w:rPr>
        <w:t>Charge as specified at A, shall be paid by the consumer in advance.</w:t>
      </w:r>
    </w:p>
    <w:p w:rsidR="00D555F2" w:rsidRDefault="00D555F2" w:rsidP="00D555F2">
      <w:pPr>
        <w:pStyle w:val="BodyText"/>
        <w:spacing w:line="288" w:lineRule="auto"/>
        <w:ind w:right="11"/>
        <w:jc w:val="center"/>
        <w:rPr>
          <w:rFonts w:cs="Arial"/>
          <w:b/>
          <w:szCs w:val="22"/>
          <w:u w:val="single"/>
        </w:rPr>
      </w:pPr>
      <w:r w:rsidRPr="00C60AD1">
        <w:rPr>
          <w:rFonts w:cs="Arial"/>
          <w:b/>
          <w:sz w:val="22"/>
          <w:szCs w:val="22"/>
          <w:u w:val="single"/>
        </w:rPr>
        <w:br w:type="page"/>
      </w:r>
      <w:r w:rsidRPr="00C60AD1">
        <w:rPr>
          <w:rFonts w:cs="Arial"/>
          <w:b/>
          <w:szCs w:val="22"/>
          <w:u w:val="single"/>
        </w:rPr>
        <w:lastRenderedPageBreak/>
        <w:t>RATE SCHEDULE LMV– 10:</w:t>
      </w:r>
    </w:p>
    <w:p w:rsidR="00D555F2" w:rsidRPr="00C60AD1" w:rsidRDefault="00D555F2" w:rsidP="00D555F2">
      <w:pPr>
        <w:pStyle w:val="BodyText"/>
        <w:spacing w:line="288" w:lineRule="auto"/>
        <w:ind w:right="11"/>
        <w:jc w:val="center"/>
        <w:rPr>
          <w:rFonts w:cs="Arial"/>
          <w:b/>
          <w:sz w:val="22"/>
          <w:szCs w:val="22"/>
          <w:u w:val="single"/>
        </w:rPr>
      </w:pPr>
    </w:p>
    <w:p w:rsidR="00D555F2" w:rsidRPr="00C60AD1" w:rsidRDefault="00D555F2" w:rsidP="00D555F2">
      <w:pPr>
        <w:spacing w:before="240"/>
        <w:ind w:right="29"/>
        <w:jc w:val="center"/>
        <w:rPr>
          <w:rFonts w:cs="Arial"/>
          <w:b/>
        </w:rPr>
      </w:pPr>
      <w:r w:rsidRPr="00C60AD1">
        <w:rPr>
          <w:rFonts w:cs="Arial"/>
          <w:b/>
        </w:rPr>
        <w:t>DEPARTMENTAL EMPLOYEES AND PENSIONERS:</w:t>
      </w:r>
    </w:p>
    <w:p w:rsidR="00D555F2" w:rsidRDefault="00D555F2" w:rsidP="00D555F2">
      <w:pPr>
        <w:numPr>
          <w:ilvl w:val="0"/>
          <w:numId w:val="79"/>
        </w:numPr>
        <w:tabs>
          <w:tab w:val="left" w:pos="0"/>
        </w:tabs>
        <w:spacing w:before="100" w:beforeAutospacing="1" w:line="288" w:lineRule="auto"/>
        <w:ind w:right="1440"/>
        <w:rPr>
          <w:rFonts w:cs="Arial"/>
          <w:b/>
        </w:rPr>
      </w:pPr>
      <w:r w:rsidRPr="00C60AD1">
        <w:rPr>
          <w:rFonts w:cs="Arial"/>
          <w:b/>
        </w:rPr>
        <w:t>APPLICABILITY:</w:t>
      </w:r>
    </w:p>
    <w:p w:rsidR="00D555F2" w:rsidRDefault="00D555F2" w:rsidP="00D555F2">
      <w:pPr>
        <w:spacing w:before="100"/>
        <w:ind w:left="360" w:right="29"/>
        <w:rPr>
          <w:rFonts w:cs="Calibri"/>
        </w:rPr>
      </w:pPr>
      <w:r w:rsidRPr="00C60AD1">
        <w:t xml:space="preserve">This schedule shall apply only to such employees (including the cases of </w:t>
      </w:r>
      <w:r w:rsidRPr="00C60AD1">
        <w:rPr>
          <w:rFonts w:cs="Calibri"/>
        </w:rPr>
        <w:t>retired / voluntary retired or deemed retired</w:t>
      </w:r>
      <w:r w:rsidRPr="00C60AD1">
        <w:t xml:space="preserve">) of Licensees / successor entities of erstwhile Uttar Pradesh State Electricity Board (UPSEB), who own electricity connection in their own name and opt for the same for their own use for light, fan and power for domestic appliances, where the energy is being fed directly from Licensee mains. The Schedule shall also apply to spouse of </w:t>
      </w:r>
      <w:r w:rsidRPr="00C60AD1">
        <w:rPr>
          <w:rFonts w:cs="Calibri"/>
        </w:rPr>
        <w:t>employees served under Licensees / successor entities of erstwhile UPSEB.</w:t>
      </w:r>
    </w:p>
    <w:p w:rsidR="00D555F2" w:rsidRPr="00C60AD1" w:rsidRDefault="00D555F2" w:rsidP="00D555F2">
      <w:pPr>
        <w:spacing w:before="100"/>
        <w:ind w:left="360" w:right="29"/>
        <w:rPr>
          <w:rFonts w:cs="Calibri"/>
        </w:rPr>
      </w:pPr>
    </w:p>
    <w:p w:rsidR="00D555F2" w:rsidRPr="00C60AD1" w:rsidRDefault="00D555F2" w:rsidP="00D555F2">
      <w:pPr>
        <w:numPr>
          <w:ilvl w:val="0"/>
          <w:numId w:val="79"/>
        </w:numPr>
        <w:tabs>
          <w:tab w:val="left" w:pos="0"/>
        </w:tabs>
        <w:spacing w:before="100" w:beforeAutospacing="1" w:line="288" w:lineRule="auto"/>
        <w:ind w:left="0" w:right="1440" w:firstLine="0"/>
        <w:rPr>
          <w:rFonts w:cs="Arial"/>
          <w:b/>
        </w:rPr>
      </w:pPr>
      <w:r w:rsidRPr="00C60AD1">
        <w:rPr>
          <w:rFonts w:cs="Arial"/>
          <w:b/>
        </w:rPr>
        <w:t>RATE:</w:t>
      </w:r>
    </w:p>
    <w:p w:rsidR="00D555F2" w:rsidRDefault="00D555F2" w:rsidP="00D555F2">
      <w:pPr>
        <w:spacing w:before="100" w:beforeAutospacing="1" w:after="40"/>
        <w:ind w:left="360" w:right="-58"/>
      </w:pPr>
      <w:r>
        <w:rPr>
          <w:rFonts w:cs="Arial"/>
          <w:bCs/>
        </w:rPr>
        <w:t xml:space="preserve">On all such consumers LMV-1 </w:t>
      </w:r>
      <w:r w:rsidRPr="00C60AD1">
        <w:rPr>
          <w:rFonts w:cs="Arial"/>
          <w:bCs/>
        </w:rPr>
        <w:t xml:space="preserve">rate </w:t>
      </w:r>
      <w:r>
        <w:rPr>
          <w:rFonts w:cs="Arial"/>
          <w:bCs/>
        </w:rPr>
        <w:t xml:space="preserve">schedule will be applicable. </w:t>
      </w:r>
      <w:r w:rsidRPr="001D6DA7">
        <w:rPr>
          <w:rFonts w:cs="Arial"/>
          <w:bCs/>
        </w:rPr>
        <w:t>However</w:t>
      </w:r>
      <w:r w:rsidRPr="00591F09">
        <w:t xml:space="preserve"> the Licensees are </w:t>
      </w:r>
      <w:r>
        <w:t xml:space="preserve">authorised </w:t>
      </w:r>
      <w:r w:rsidR="002E13D9">
        <w:t>to provide</w:t>
      </w:r>
      <w:r w:rsidRPr="00591F09">
        <w:t xml:space="preserve"> “rebate” as t</w:t>
      </w:r>
      <w:r>
        <w:t>hey</w:t>
      </w:r>
      <w:r w:rsidRPr="00591F09">
        <w:t xml:space="preserve"> deem fit to the consumers eligible to get supply under this category.</w:t>
      </w:r>
    </w:p>
    <w:p w:rsidR="00D555F2" w:rsidRPr="001D6DA7" w:rsidRDefault="00D555F2" w:rsidP="00D555F2">
      <w:pPr>
        <w:spacing w:before="0"/>
        <w:ind w:left="360" w:right="-58"/>
        <w:rPr>
          <w:rFonts w:cs="Arial"/>
          <w:bCs/>
        </w:rPr>
      </w:pPr>
    </w:p>
    <w:p w:rsidR="00D555F2" w:rsidRPr="00C60AD1" w:rsidRDefault="00D555F2" w:rsidP="00D555F2">
      <w:pPr>
        <w:numPr>
          <w:ilvl w:val="0"/>
          <w:numId w:val="79"/>
        </w:numPr>
        <w:spacing w:before="100" w:beforeAutospacing="1" w:line="288" w:lineRule="auto"/>
        <w:ind w:right="-58"/>
        <w:rPr>
          <w:rFonts w:cs="Arial"/>
          <w:b/>
        </w:rPr>
      </w:pPr>
      <w:r w:rsidRPr="00C60AD1">
        <w:rPr>
          <w:rFonts w:cs="Arial"/>
          <w:b/>
        </w:rPr>
        <w:t xml:space="preserve">ELECTRICITY DUTY: </w:t>
      </w:r>
    </w:p>
    <w:p w:rsidR="00D555F2" w:rsidRDefault="00D555F2" w:rsidP="00D555F2">
      <w:pPr>
        <w:tabs>
          <w:tab w:val="left" w:pos="360"/>
        </w:tabs>
        <w:spacing w:before="100" w:beforeAutospacing="1" w:after="40"/>
        <w:ind w:left="360" w:right="-58"/>
        <w:rPr>
          <w:rFonts w:cs="Arial"/>
          <w:bCs/>
        </w:rPr>
      </w:pPr>
      <w:r w:rsidRPr="00C60AD1">
        <w:rPr>
          <w:rFonts w:cs="Arial"/>
          <w:bCs/>
        </w:rPr>
        <w:t>Electricity duty on the above shall be levied in addition at the rates as may be notified by the State Government from time to time.</w:t>
      </w:r>
    </w:p>
    <w:p w:rsidR="00D555F2" w:rsidRPr="00C60AD1" w:rsidRDefault="00D555F2" w:rsidP="00D555F2">
      <w:pPr>
        <w:tabs>
          <w:tab w:val="left" w:pos="360"/>
        </w:tabs>
        <w:spacing w:before="0" w:after="40"/>
        <w:ind w:left="360" w:right="-58"/>
        <w:rPr>
          <w:rFonts w:cs="Arial"/>
          <w:bCs/>
        </w:rPr>
      </w:pPr>
    </w:p>
    <w:p w:rsidR="00D555F2" w:rsidRPr="00C60AD1" w:rsidRDefault="00D555F2" w:rsidP="00D555F2">
      <w:pPr>
        <w:numPr>
          <w:ilvl w:val="0"/>
          <w:numId w:val="79"/>
        </w:numPr>
        <w:spacing w:before="100" w:beforeAutospacing="1" w:after="40" w:line="288" w:lineRule="auto"/>
        <w:ind w:right="-58"/>
        <w:rPr>
          <w:b/>
        </w:rPr>
      </w:pPr>
      <w:r w:rsidRPr="00C60AD1">
        <w:rPr>
          <w:b/>
        </w:rPr>
        <w:t>OTHER PROVISIONS:</w:t>
      </w:r>
    </w:p>
    <w:p w:rsidR="00D555F2" w:rsidRPr="00C60AD1" w:rsidRDefault="00D555F2" w:rsidP="00D555F2">
      <w:pPr>
        <w:numPr>
          <w:ilvl w:val="0"/>
          <w:numId w:val="95"/>
        </w:numPr>
        <w:tabs>
          <w:tab w:val="clear" w:pos="1080"/>
        </w:tabs>
        <w:spacing w:before="100" w:after="40" w:line="288" w:lineRule="auto"/>
        <w:ind w:left="1440" w:right="-58"/>
      </w:pPr>
      <w:r w:rsidRPr="00C60AD1">
        <w:t xml:space="preserve">For serving / retired employees and their spouse, the supply will only be given at one place where Licensee’s mains exist. The electric supply under this tariff will be given only at one place, within the area of erstwhile UPSEB / its successor companies.   </w:t>
      </w:r>
    </w:p>
    <w:p w:rsidR="00D555F2" w:rsidRPr="00C60AD1" w:rsidRDefault="00D555F2" w:rsidP="00D555F2">
      <w:pPr>
        <w:numPr>
          <w:ilvl w:val="0"/>
          <w:numId w:val="95"/>
        </w:numPr>
        <w:tabs>
          <w:tab w:val="clear" w:pos="1080"/>
        </w:tabs>
        <w:spacing w:before="100" w:after="40" w:line="288" w:lineRule="auto"/>
        <w:ind w:left="1440" w:right="-58"/>
      </w:pPr>
      <w:r w:rsidRPr="00C60AD1">
        <w:t xml:space="preserve">Concerned executive engineers will take an affidavit from all employees and pensioners that the electricity supplied to their premises is being used exclusively for the purpose of domestic consumption of themselves and </w:t>
      </w:r>
      <w:r w:rsidRPr="00C60AD1">
        <w:lastRenderedPageBreak/>
        <w:t>their dependants. It will have to be certified by the employees/pensioners that such electricity is not being used for any other purpose or to any individual to whom his house has been rented out. Without any prejudice to any legal action as provided in the legal framework, any misuse to above effect shall invalidate him from the facility of LMV-10 on permanent basis.</w:t>
      </w:r>
    </w:p>
    <w:p w:rsidR="00D555F2" w:rsidRPr="00C60AD1" w:rsidRDefault="00D555F2" w:rsidP="00D555F2">
      <w:pPr>
        <w:numPr>
          <w:ilvl w:val="0"/>
          <w:numId w:val="95"/>
        </w:numPr>
        <w:tabs>
          <w:tab w:val="clear" w:pos="1080"/>
        </w:tabs>
        <w:spacing w:before="100" w:after="40" w:line="288" w:lineRule="auto"/>
        <w:ind w:left="1440" w:right="-58"/>
      </w:pPr>
      <w:r w:rsidRPr="00C60AD1">
        <w:t xml:space="preserve">In the event of transfer of the employee, this tariff shall be applied at the new place of posting only when a certificate has been obtained from the concerned Executive Engineer of the previous place of posting, that the supply under this tariff has been withdrawn at previous place of posting. Further, the employee shall also be required to submit an affidavit that he is not availing the benefit of LMV-10 connection anywhere else in the state. </w:t>
      </w:r>
    </w:p>
    <w:p w:rsidR="00D555F2" w:rsidRPr="00C60AD1" w:rsidRDefault="00D555F2" w:rsidP="00D555F2">
      <w:pPr>
        <w:numPr>
          <w:ilvl w:val="0"/>
          <w:numId w:val="95"/>
        </w:numPr>
        <w:tabs>
          <w:tab w:val="clear" w:pos="1080"/>
        </w:tabs>
        <w:spacing w:before="100" w:after="40" w:line="288" w:lineRule="auto"/>
        <w:ind w:left="1440" w:right="-58"/>
      </w:pPr>
      <w:r w:rsidRPr="00C60AD1">
        <w:t>Those who are not availing this tariff shall also give a declaration to this effect. This declaration shall be pasted / kept in his service book / personal file / Pensioners record. If the declaration is found wrong, necessary action against the employee shall be taken as per the provisions of service rules. If declaration has already been given at the present place of posting then further declaration is not necessary due to this revision. Pensioners shall also have to give a similar declaration for availing departmental tariff at only one place. In case this declaration is found wrong, this tariff shall be withdrawn forever.</w:t>
      </w:r>
    </w:p>
    <w:p w:rsidR="00D555F2" w:rsidRPr="00C60AD1" w:rsidRDefault="00D555F2" w:rsidP="00D555F2">
      <w:pPr>
        <w:numPr>
          <w:ilvl w:val="0"/>
          <w:numId w:val="95"/>
        </w:numPr>
        <w:tabs>
          <w:tab w:val="clear" w:pos="1080"/>
        </w:tabs>
        <w:spacing w:before="100" w:after="40" w:line="288" w:lineRule="auto"/>
        <w:ind w:left="1440" w:right="-58"/>
      </w:pPr>
      <w:r w:rsidRPr="00C60AD1">
        <w:t>No other concession shall be admissible on this tariff.</w:t>
      </w:r>
    </w:p>
    <w:p w:rsidR="00D555F2" w:rsidRPr="00C60AD1" w:rsidRDefault="00D555F2" w:rsidP="00D555F2">
      <w:pPr>
        <w:numPr>
          <w:ilvl w:val="0"/>
          <w:numId w:val="95"/>
        </w:numPr>
        <w:tabs>
          <w:tab w:val="clear" w:pos="1080"/>
        </w:tabs>
        <w:spacing w:before="100" w:after="40" w:line="288" w:lineRule="auto"/>
        <w:ind w:left="1440" w:right="-58"/>
      </w:pPr>
      <w:r w:rsidRPr="00C60AD1">
        <w:t>The schedule of miscellaneous charges as appended with Licensee's General Tariff as amended from time to time and Electricity Supply (Consumers) Regulation, 1984 as enforced from time to time shall also be applicable on the employee / pensioner receiving supply under this schedule.</w:t>
      </w:r>
    </w:p>
    <w:p w:rsidR="00D555F2" w:rsidRPr="00C60AD1" w:rsidRDefault="00D555F2" w:rsidP="00D555F2">
      <w:pPr>
        <w:numPr>
          <w:ilvl w:val="0"/>
          <w:numId w:val="95"/>
        </w:numPr>
        <w:tabs>
          <w:tab w:val="clear" w:pos="1080"/>
        </w:tabs>
        <w:spacing w:before="100" w:after="40" w:line="288" w:lineRule="auto"/>
        <w:ind w:left="1440" w:right="-58"/>
        <w:rPr>
          <w:b/>
        </w:rPr>
      </w:pPr>
      <w:r w:rsidRPr="00C60AD1">
        <w:t>Retired employees drawing pension from the Treasury / Bank will have to pay the monthly electricity charges as per the rates given in the rate schedule applicable to their category.</w:t>
      </w:r>
    </w:p>
    <w:p w:rsidR="00D555F2" w:rsidRPr="000873E5" w:rsidRDefault="00D555F2" w:rsidP="00D555F2">
      <w:pPr>
        <w:tabs>
          <w:tab w:val="num" w:pos="1440"/>
        </w:tabs>
        <w:spacing w:before="100" w:after="40" w:line="288" w:lineRule="auto"/>
        <w:ind w:left="1440" w:right="-58"/>
        <w:rPr>
          <w:b/>
          <w:sz w:val="22"/>
          <w:u w:val="single"/>
        </w:rPr>
      </w:pPr>
    </w:p>
    <w:p w:rsidR="00D555F2" w:rsidRPr="00C60AD1" w:rsidRDefault="00D555F2" w:rsidP="00D555F2">
      <w:pPr>
        <w:pStyle w:val="BodyText"/>
        <w:spacing w:before="100" w:beforeAutospacing="1" w:after="100" w:afterAutospacing="1" w:line="288" w:lineRule="auto"/>
        <w:ind w:right="-61"/>
      </w:pPr>
    </w:p>
    <w:p w:rsidR="00D555F2" w:rsidRDefault="00D555F2" w:rsidP="00D555F2">
      <w:pPr>
        <w:pStyle w:val="BodyText"/>
        <w:spacing w:before="100" w:beforeAutospacing="1" w:after="100" w:afterAutospacing="1" w:line="288" w:lineRule="auto"/>
        <w:ind w:right="-61"/>
        <w:jc w:val="center"/>
        <w:rPr>
          <w:rFonts w:cs="Arial"/>
          <w:b/>
          <w:szCs w:val="22"/>
          <w:u w:val="single"/>
        </w:rPr>
      </w:pPr>
      <w:r w:rsidRPr="00C60AD1">
        <w:rPr>
          <w:rFonts w:cs="Arial"/>
          <w:b/>
          <w:sz w:val="22"/>
          <w:szCs w:val="22"/>
          <w:u w:val="single"/>
        </w:rPr>
        <w:br w:type="page"/>
      </w:r>
      <w:r w:rsidRPr="00C60AD1">
        <w:rPr>
          <w:rFonts w:cs="Arial"/>
          <w:b/>
          <w:szCs w:val="22"/>
          <w:u w:val="single"/>
        </w:rPr>
        <w:lastRenderedPageBreak/>
        <w:t>RATE SCHEDULE HV– 1:</w:t>
      </w:r>
    </w:p>
    <w:p w:rsidR="00D555F2" w:rsidRPr="00C60AD1" w:rsidRDefault="00D555F2" w:rsidP="00D555F2">
      <w:pPr>
        <w:pStyle w:val="BodyText"/>
        <w:spacing w:before="100" w:beforeAutospacing="1" w:after="0" w:line="288" w:lineRule="auto"/>
        <w:ind w:right="-61"/>
        <w:jc w:val="center"/>
        <w:rPr>
          <w:rFonts w:cs="Arial"/>
          <w:b/>
          <w:szCs w:val="22"/>
          <w:u w:val="single"/>
        </w:rPr>
      </w:pPr>
    </w:p>
    <w:p w:rsidR="00D555F2" w:rsidRPr="00C60AD1" w:rsidRDefault="00D555F2" w:rsidP="00D555F2">
      <w:pPr>
        <w:tabs>
          <w:tab w:val="left" w:pos="540"/>
        </w:tabs>
        <w:ind w:left="540" w:right="29" w:hanging="540"/>
        <w:jc w:val="center"/>
        <w:rPr>
          <w:b/>
          <w:bCs/>
        </w:rPr>
      </w:pPr>
      <w:r w:rsidRPr="00C60AD1">
        <w:rPr>
          <w:b/>
          <w:bCs/>
        </w:rPr>
        <w:t>NON INDUSTRIAL BULK LOADS:</w:t>
      </w:r>
    </w:p>
    <w:p w:rsidR="00D555F2" w:rsidRPr="00C60AD1" w:rsidRDefault="00D555F2" w:rsidP="00D555F2">
      <w:pPr>
        <w:numPr>
          <w:ilvl w:val="0"/>
          <w:numId w:val="83"/>
        </w:numPr>
        <w:spacing w:before="100" w:beforeAutospacing="1" w:after="100" w:afterAutospacing="1" w:line="288" w:lineRule="auto"/>
        <w:ind w:left="357" w:right="28"/>
        <w:rPr>
          <w:rFonts w:cs="Arial"/>
          <w:b/>
        </w:rPr>
      </w:pPr>
      <w:r w:rsidRPr="00C60AD1">
        <w:rPr>
          <w:rFonts w:cs="Arial"/>
          <w:b/>
        </w:rPr>
        <w:t>APPLICABILITY:</w:t>
      </w:r>
    </w:p>
    <w:p w:rsidR="00D555F2" w:rsidRPr="00C60AD1" w:rsidRDefault="00D555F2" w:rsidP="00D555F2">
      <w:pPr>
        <w:spacing w:before="100" w:beforeAutospacing="1" w:after="100" w:afterAutospacing="1"/>
        <w:ind w:left="360" w:right="29"/>
        <w:rPr>
          <w:bCs/>
        </w:rPr>
      </w:pPr>
      <w:r w:rsidRPr="00C60AD1">
        <w:rPr>
          <w:bCs/>
        </w:rPr>
        <w:t xml:space="preserve">This rate schedule shall apply to: </w:t>
      </w:r>
    </w:p>
    <w:p w:rsidR="00D555F2" w:rsidRPr="00C60AD1" w:rsidRDefault="00D555F2" w:rsidP="00D555F2">
      <w:pPr>
        <w:numPr>
          <w:ilvl w:val="2"/>
          <w:numId w:val="83"/>
        </w:numPr>
        <w:tabs>
          <w:tab w:val="clear" w:pos="2340"/>
        </w:tabs>
        <w:spacing w:before="100" w:beforeAutospacing="1" w:after="100" w:afterAutospacing="1" w:line="288" w:lineRule="auto"/>
        <w:ind w:left="900" w:right="28" w:hanging="540"/>
        <w:rPr>
          <w:bCs/>
        </w:rPr>
      </w:pPr>
      <w:r w:rsidRPr="00C60AD1">
        <w:rPr>
          <w:bCs/>
        </w:rPr>
        <w:t xml:space="preserve">Commercial loads (as defined within the meaning of LMV-2) with contracted load of 75 kW &amp; above and getting supply at single point on 11 kV &amp; above voltage levels. </w:t>
      </w:r>
    </w:p>
    <w:p w:rsidR="00D555F2" w:rsidRPr="00C60AD1" w:rsidRDefault="00D555F2" w:rsidP="00D555F2">
      <w:pPr>
        <w:numPr>
          <w:ilvl w:val="2"/>
          <w:numId w:val="83"/>
        </w:numPr>
        <w:tabs>
          <w:tab w:val="clear" w:pos="2340"/>
        </w:tabs>
        <w:spacing w:before="100" w:beforeAutospacing="1" w:after="100" w:afterAutospacing="1" w:line="288" w:lineRule="auto"/>
        <w:ind w:left="900" w:right="28" w:hanging="540"/>
        <w:rPr>
          <w:bCs/>
        </w:rPr>
      </w:pPr>
      <w:r w:rsidRPr="00C60AD1">
        <w:rPr>
          <w:bCs/>
        </w:rPr>
        <w:t xml:space="preserve">Private institutions (as defined within the meaning of LMV-4 (b)) with contracted load of 75 kW &amp; above and getting supply at single point on 11 kV &amp; above voltage levels. </w:t>
      </w:r>
    </w:p>
    <w:p w:rsidR="00D555F2" w:rsidRPr="00C60AD1" w:rsidRDefault="00D555F2" w:rsidP="00D555F2">
      <w:pPr>
        <w:numPr>
          <w:ilvl w:val="2"/>
          <w:numId w:val="83"/>
        </w:numPr>
        <w:tabs>
          <w:tab w:val="clear" w:pos="2340"/>
        </w:tabs>
        <w:spacing w:before="100" w:beforeAutospacing="1" w:after="100" w:afterAutospacing="1" w:line="288" w:lineRule="auto"/>
        <w:ind w:left="900" w:right="28" w:hanging="540"/>
        <w:rPr>
          <w:bCs/>
        </w:rPr>
      </w:pPr>
      <w:r w:rsidRPr="00C60AD1">
        <w:rPr>
          <w:bCs/>
        </w:rPr>
        <w:t xml:space="preserve">Non domestic bulk power consumer (other than industrial loads covered under HV-2) with contracted load 75 kW &amp; above and getting supply at single point on 11 kV &amp; above voltage levels and feeding multiple individuals (owners / occupiers / tenants of some area within the larger premises of the bulk power consumer) through its own network and also responsible for maintaining distribution network. </w:t>
      </w:r>
    </w:p>
    <w:p w:rsidR="00D555F2" w:rsidRPr="00C60AD1" w:rsidRDefault="00D555F2" w:rsidP="00D555F2">
      <w:pPr>
        <w:numPr>
          <w:ilvl w:val="2"/>
          <w:numId w:val="83"/>
        </w:numPr>
        <w:tabs>
          <w:tab w:val="clear" w:pos="2340"/>
        </w:tabs>
        <w:spacing w:before="100" w:beforeAutospacing="1" w:after="100" w:afterAutospacing="1" w:line="288" w:lineRule="auto"/>
        <w:ind w:left="900" w:right="28" w:hanging="540"/>
        <w:rPr>
          <w:bCs/>
        </w:rPr>
      </w:pPr>
      <w:r w:rsidRPr="00C60AD1">
        <w:rPr>
          <w:bCs/>
        </w:rPr>
        <w:t>Public institutions (as defined within the meaning of LMV-4 (a)) with contracted load of 75 kW &amp; above and getting supply at single point on 11 kV &amp; above voltage levels. The institution / consumer seeking the supply at Single point for non-industrial bulk loads under this category shall be considered as a deemed franchisee of the Licensee.</w:t>
      </w:r>
    </w:p>
    <w:p w:rsidR="00D555F2" w:rsidRPr="00C60AD1" w:rsidRDefault="00D555F2" w:rsidP="00D555F2">
      <w:pPr>
        <w:numPr>
          <w:ilvl w:val="2"/>
          <w:numId w:val="83"/>
        </w:numPr>
        <w:tabs>
          <w:tab w:val="clear" w:pos="2340"/>
        </w:tabs>
        <w:spacing w:before="100" w:beforeAutospacing="1" w:after="100" w:afterAutospacing="1" w:line="288" w:lineRule="auto"/>
        <w:ind w:left="900" w:right="28" w:hanging="540"/>
        <w:rPr>
          <w:bCs/>
        </w:rPr>
      </w:pPr>
      <w:r w:rsidRPr="00C60AD1">
        <w:t>Registered Societies, Residential Colonies / Townships, Residential Multi-Storied Buildings with mixed loads (getting supply at single point)</w:t>
      </w:r>
      <w:r w:rsidRPr="00C60AD1">
        <w:rPr>
          <w:bCs/>
        </w:rPr>
        <w:t xml:space="preserve"> with contracted load 75 kW &amp; above and getting supply at single point on 11 kV &amp; above voltage levels</w:t>
      </w:r>
      <w:r w:rsidRPr="00C60AD1">
        <w:t xml:space="preserve"> and having less than 70% of the total contracted load exclusively for the purposes of domestic light, fan and power. Figure of  70%, shall also include the load required for lifts, water pumps and common lighting, </w:t>
      </w:r>
    </w:p>
    <w:p w:rsidR="00D555F2" w:rsidRPr="00C60AD1" w:rsidRDefault="00D555F2" w:rsidP="00D555F2">
      <w:pPr>
        <w:numPr>
          <w:ilvl w:val="2"/>
          <w:numId w:val="83"/>
        </w:numPr>
        <w:tabs>
          <w:tab w:val="clear" w:pos="2340"/>
        </w:tabs>
        <w:spacing w:before="100" w:beforeAutospacing="1" w:after="100" w:afterAutospacing="1" w:line="288" w:lineRule="auto"/>
        <w:ind w:left="900" w:right="28" w:hanging="540"/>
        <w:rPr>
          <w:bCs/>
        </w:rPr>
      </w:pPr>
      <w:r w:rsidRPr="00C60AD1">
        <w:rPr>
          <w:bCs/>
        </w:rPr>
        <w:t>For Offices / Buildings / Guesthouses of UPPCL / UPRVUNL / UPJVNL / UPPTCL / Distribution Licensees having loads above 75 kW and getting supply at 11 kV &amp; above voltages.</w:t>
      </w:r>
    </w:p>
    <w:p w:rsidR="00D555F2" w:rsidRPr="00C60AD1" w:rsidRDefault="00D555F2" w:rsidP="00D555F2">
      <w:pPr>
        <w:spacing w:before="100" w:beforeAutospacing="1" w:after="100" w:afterAutospacing="1" w:line="288" w:lineRule="auto"/>
        <w:ind w:left="900" w:right="28"/>
        <w:rPr>
          <w:bCs/>
        </w:rPr>
      </w:pPr>
    </w:p>
    <w:p w:rsidR="00D555F2" w:rsidRPr="00C60AD1" w:rsidRDefault="00D555F2" w:rsidP="00D555F2">
      <w:pPr>
        <w:numPr>
          <w:ilvl w:val="0"/>
          <w:numId w:val="83"/>
        </w:numPr>
        <w:spacing w:before="100" w:after="100" w:line="288" w:lineRule="auto"/>
        <w:ind w:left="720" w:right="28" w:hanging="723"/>
        <w:rPr>
          <w:b/>
        </w:rPr>
      </w:pPr>
      <w:r w:rsidRPr="00C60AD1">
        <w:rPr>
          <w:b/>
        </w:rPr>
        <w:lastRenderedPageBreak/>
        <w:t>CHARACTER AND POINT OF SUPPLY:</w:t>
      </w:r>
    </w:p>
    <w:p w:rsidR="00D555F2" w:rsidRDefault="00D555F2" w:rsidP="00D555F2">
      <w:pPr>
        <w:spacing w:line="240" w:lineRule="auto"/>
        <w:ind w:left="360" w:right="-58"/>
      </w:pPr>
      <w:r w:rsidRPr="00C60AD1">
        <w:t>As per the applicable provisions of Electricity Supply Code.</w:t>
      </w:r>
    </w:p>
    <w:p w:rsidR="00D555F2" w:rsidRDefault="00D555F2" w:rsidP="00D555F2">
      <w:pPr>
        <w:spacing w:line="240" w:lineRule="auto"/>
        <w:ind w:left="360" w:right="-58"/>
        <w:rPr>
          <w:rFonts w:cs="Arial"/>
        </w:rPr>
      </w:pPr>
    </w:p>
    <w:p w:rsidR="00D555F2" w:rsidRDefault="00D555F2" w:rsidP="00D555F2">
      <w:pPr>
        <w:pStyle w:val="BodyText"/>
        <w:numPr>
          <w:ilvl w:val="0"/>
          <w:numId w:val="83"/>
        </w:numPr>
        <w:spacing w:after="0" w:line="288" w:lineRule="auto"/>
        <w:ind w:left="0" w:right="29" w:firstLine="0"/>
        <w:rPr>
          <w:rFonts w:cs="Arial"/>
          <w:b/>
        </w:rPr>
      </w:pPr>
      <w:r w:rsidRPr="00C60AD1">
        <w:rPr>
          <w:rFonts w:cs="Arial"/>
          <w:b/>
        </w:rPr>
        <w:t xml:space="preserve">RATE: </w:t>
      </w:r>
    </w:p>
    <w:p w:rsidR="00D555F2" w:rsidRPr="00C60AD1" w:rsidRDefault="00D555F2" w:rsidP="00D555F2">
      <w:r w:rsidRPr="00C60AD1">
        <w:t>Rate, gives the demand and energy charges at which the consumer shall be billed for consumption during the billing period applicable to the category:</w:t>
      </w:r>
    </w:p>
    <w:p w:rsidR="00D555F2" w:rsidRPr="00C60AD1" w:rsidRDefault="00D555F2" w:rsidP="00D555F2"/>
    <w:p w:rsidR="00D555F2" w:rsidRPr="00C60AD1" w:rsidRDefault="00D555F2" w:rsidP="00D555F2">
      <w:pPr>
        <w:pStyle w:val="BodyText"/>
        <w:numPr>
          <w:ilvl w:val="0"/>
          <w:numId w:val="92"/>
        </w:numPr>
        <w:spacing w:before="0" w:after="0" w:line="240" w:lineRule="auto"/>
        <w:ind w:right="-58"/>
        <w:rPr>
          <w:b/>
          <w:bCs/>
        </w:rPr>
      </w:pPr>
      <w:r w:rsidRPr="00C60AD1">
        <w:rPr>
          <w:rFonts w:cs="Arial"/>
          <w:b/>
        </w:rPr>
        <w:t>Commercial Loads / Private Institutions /</w:t>
      </w:r>
      <w:r w:rsidRPr="00C60AD1">
        <w:rPr>
          <w:b/>
          <w:bCs/>
        </w:rPr>
        <w:t xml:space="preserve"> Non domestic bulk power consumer with contracted load 75 kW &amp; above and getting supply at Single Point on 11 kV &amp; above: </w:t>
      </w:r>
    </w:p>
    <w:tbl>
      <w:tblPr>
        <w:tblpPr w:leftFromText="180" w:rightFromText="180" w:vertAnchor="text" w:horzAnchor="page" w:tblpX="2674" w:tblpY="140"/>
        <w:tblW w:w="4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1453"/>
        <w:gridCol w:w="1453"/>
        <w:gridCol w:w="1452"/>
        <w:gridCol w:w="1452"/>
      </w:tblGrid>
      <w:tr w:rsidR="00D555F2" w:rsidRPr="00C60AD1" w:rsidTr="00BB5A5A">
        <w:trPr>
          <w:trHeight w:val="350"/>
          <w:tblHeader/>
        </w:trPr>
        <w:tc>
          <w:tcPr>
            <w:tcW w:w="959" w:type="pct"/>
            <w:shd w:val="clear" w:color="auto" w:fill="DBE5F1" w:themeFill="accent1" w:themeFillTint="33"/>
          </w:tcPr>
          <w:p w:rsidR="00D555F2" w:rsidRPr="00C60AD1" w:rsidRDefault="00D555F2" w:rsidP="00BB5A5A">
            <w:pPr>
              <w:ind w:right="-105"/>
              <w:jc w:val="center"/>
              <w:rPr>
                <w:rFonts w:cs="Arial"/>
              </w:rPr>
            </w:pPr>
          </w:p>
        </w:tc>
        <w:tc>
          <w:tcPr>
            <w:tcW w:w="2020" w:type="pct"/>
            <w:gridSpan w:val="2"/>
            <w:shd w:val="clear" w:color="auto" w:fill="DBE5F1" w:themeFill="accent1" w:themeFillTint="33"/>
          </w:tcPr>
          <w:p w:rsidR="00D555F2" w:rsidRDefault="00D555F2" w:rsidP="00BB5A5A">
            <w:pPr>
              <w:jc w:val="center"/>
              <w:rPr>
                <w:rFonts w:cs="Arial"/>
                <w:b/>
              </w:rPr>
            </w:pPr>
            <w:r w:rsidRPr="00C60AD1">
              <w:rPr>
                <w:rFonts w:cs="Arial"/>
                <w:b/>
              </w:rPr>
              <w:t>For supply at 11kV</w:t>
            </w:r>
          </w:p>
        </w:tc>
        <w:tc>
          <w:tcPr>
            <w:tcW w:w="2020" w:type="pct"/>
            <w:gridSpan w:val="2"/>
            <w:shd w:val="clear" w:color="auto" w:fill="DBE5F1" w:themeFill="accent1" w:themeFillTint="33"/>
          </w:tcPr>
          <w:p w:rsidR="00D555F2" w:rsidRPr="00C60AD1" w:rsidRDefault="00D555F2" w:rsidP="00BB5A5A">
            <w:pPr>
              <w:jc w:val="center"/>
              <w:rPr>
                <w:rFonts w:cs="Arial"/>
                <w:b/>
              </w:rPr>
            </w:pPr>
            <w:r w:rsidRPr="00C60AD1">
              <w:rPr>
                <w:rFonts w:cs="Arial"/>
                <w:b/>
              </w:rPr>
              <w:t>For supply at 33 kV &amp; above</w:t>
            </w:r>
          </w:p>
        </w:tc>
      </w:tr>
      <w:tr w:rsidR="00D555F2" w:rsidRPr="00C60AD1" w:rsidTr="00BB5A5A">
        <w:trPr>
          <w:tblHeader/>
        </w:trPr>
        <w:tc>
          <w:tcPr>
            <w:tcW w:w="959" w:type="pct"/>
          </w:tcPr>
          <w:p w:rsidR="00D555F2" w:rsidRPr="00EF2637" w:rsidRDefault="00D555F2" w:rsidP="00BB5A5A">
            <w:pPr>
              <w:ind w:right="-105"/>
              <w:rPr>
                <w:rFonts w:cs="Arial"/>
                <w:b/>
              </w:rPr>
            </w:pPr>
            <w:r w:rsidRPr="00CC1DFB">
              <w:rPr>
                <w:rFonts w:cs="Arial"/>
                <w:b/>
              </w:rPr>
              <w:t>Contracted Load</w:t>
            </w:r>
          </w:p>
        </w:tc>
        <w:tc>
          <w:tcPr>
            <w:tcW w:w="1010" w:type="pct"/>
          </w:tcPr>
          <w:p w:rsidR="00D555F2" w:rsidRPr="00D10FA4" w:rsidRDefault="00D555F2" w:rsidP="00BB5A5A">
            <w:pPr>
              <w:ind w:right="-105"/>
              <w:jc w:val="center"/>
              <w:rPr>
                <w:b/>
              </w:rPr>
            </w:pPr>
            <w:r>
              <w:rPr>
                <w:rFonts w:cs="Arial"/>
                <w:b/>
              </w:rPr>
              <w:t>Upto 100 kVA</w:t>
            </w:r>
          </w:p>
        </w:tc>
        <w:tc>
          <w:tcPr>
            <w:tcW w:w="1010" w:type="pct"/>
          </w:tcPr>
          <w:p w:rsidR="00D555F2" w:rsidRPr="00D10FA4" w:rsidRDefault="00D555F2" w:rsidP="00BB5A5A">
            <w:pPr>
              <w:ind w:right="-105"/>
              <w:jc w:val="center"/>
              <w:rPr>
                <w:b/>
              </w:rPr>
            </w:pPr>
            <w:r>
              <w:rPr>
                <w:rFonts w:cs="Arial"/>
                <w:b/>
              </w:rPr>
              <w:t>A</w:t>
            </w:r>
            <w:r w:rsidRPr="0037652E">
              <w:rPr>
                <w:rFonts w:cs="Arial"/>
                <w:b/>
              </w:rPr>
              <w:t>bove</w:t>
            </w:r>
            <w:r w:rsidRPr="002A0DC1">
              <w:rPr>
                <w:rFonts w:cs="Arial"/>
                <w:b/>
              </w:rPr>
              <w:t xml:space="preserve"> </w:t>
            </w:r>
            <w:r>
              <w:rPr>
                <w:rFonts w:cs="Arial"/>
                <w:b/>
              </w:rPr>
              <w:t>100 kVA</w:t>
            </w:r>
          </w:p>
        </w:tc>
        <w:tc>
          <w:tcPr>
            <w:tcW w:w="1010" w:type="pct"/>
          </w:tcPr>
          <w:p w:rsidR="00D555F2" w:rsidRPr="00D10FA4" w:rsidRDefault="00D555F2" w:rsidP="00BB5A5A">
            <w:pPr>
              <w:ind w:right="-105"/>
              <w:jc w:val="center"/>
              <w:rPr>
                <w:b/>
              </w:rPr>
            </w:pPr>
            <w:r>
              <w:rPr>
                <w:rFonts w:cs="Arial"/>
                <w:b/>
              </w:rPr>
              <w:t>Upto 100 kVA</w:t>
            </w:r>
          </w:p>
        </w:tc>
        <w:tc>
          <w:tcPr>
            <w:tcW w:w="1010" w:type="pct"/>
          </w:tcPr>
          <w:p w:rsidR="00D555F2" w:rsidRPr="00D10FA4" w:rsidRDefault="00D555F2" w:rsidP="00BB5A5A">
            <w:pPr>
              <w:ind w:right="-105"/>
              <w:jc w:val="center"/>
              <w:rPr>
                <w:b/>
              </w:rPr>
            </w:pPr>
            <w:r>
              <w:rPr>
                <w:rFonts w:cs="Arial"/>
                <w:b/>
              </w:rPr>
              <w:t>A</w:t>
            </w:r>
            <w:r w:rsidRPr="002A0DC1">
              <w:rPr>
                <w:rFonts w:cs="Arial"/>
                <w:b/>
              </w:rPr>
              <w:t xml:space="preserve">bove </w:t>
            </w:r>
            <w:r>
              <w:rPr>
                <w:rFonts w:cs="Arial"/>
                <w:b/>
              </w:rPr>
              <w:t>100 kVA</w:t>
            </w:r>
          </w:p>
        </w:tc>
      </w:tr>
      <w:tr w:rsidR="00D555F2" w:rsidRPr="00C60AD1" w:rsidTr="00BB5A5A">
        <w:trPr>
          <w:tblHeader/>
        </w:trPr>
        <w:tc>
          <w:tcPr>
            <w:tcW w:w="959" w:type="pct"/>
          </w:tcPr>
          <w:p w:rsidR="00D555F2" w:rsidRPr="00C60AD1" w:rsidRDefault="00D555F2" w:rsidP="00BB5A5A">
            <w:pPr>
              <w:ind w:right="-105"/>
              <w:rPr>
                <w:rFonts w:cs="Arial"/>
              </w:rPr>
            </w:pPr>
            <w:r w:rsidRPr="00C60AD1">
              <w:rPr>
                <w:rFonts w:cs="Arial"/>
              </w:rPr>
              <w:t xml:space="preserve">Demand Charges </w:t>
            </w:r>
          </w:p>
        </w:tc>
        <w:tc>
          <w:tcPr>
            <w:tcW w:w="1010" w:type="pct"/>
          </w:tcPr>
          <w:p w:rsidR="00D555F2" w:rsidRPr="00C60AD1" w:rsidRDefault="00D555F2" w:rsidP="00BB5A5A">
            <w:pPr>
              <w:ind w:right="-105"/>
              <w:jc w:val="center"/>
              <w:rPr>
                <w:rFonts w:cs="Arial"/>
              </w:rPr>
            </w:pPr>
            <w:r w:rsidRPr="00C60AD1">
              <w:rPr>
                <w:rFonts w:cs="Arial"/>
              </w:rPr>
              <w:t xml:space="preserve">Rs. </w:t>
            </w:r>
            <w:r>
              <w:rPr>
                <w:rFonts w:cs="Arial"/>
              </w:rPr>
              <w:t>32</w:t>
            </w:r>
            <w:r w:rsidRPr="00C60AD1">
              <w:rPr>
                <w:rFonts w:cs="Arial"/>
              </w:rPr>
              <w:t>0.00 / kVA / month</w:t>
            </w:r>
          </w:p>
        </w:tc>
        <w:tc>
          <w:tcPr>
            <w:tcW w:w="1010" w:type="pct"/>
          </w:tcPr>
          <w:p w:rsidR="00D555F2" w:rsidRPr="00C60AD1" w:rsidRDefault="00D555F2" w:rsidP="00BB5A5A">
            <w:pPr>
              <w:ind w:right="-105"/>
              <w:jc w:val="center"/>
              <w:rPr>
                <w:rFonts w:cs="Arial"/>
              </w:rPr>
            </w:pPr>
            <w:r w:rsidRPr="00C60AD1">
              <w:rPr>
                <w:rFonts w:cs="Arial"/>
              </w:rPr>
              <w:t xml:space="preserve">Rs. </w:t>
            </w:r>
            <w:r>
              <w:rPr>
                <w:rFonts w:cs="Arial"/>
              </w:rPr>
              <w:t>36</w:t>
            </w:r>
            <w:r w:rsidRPr="00C60AD1">
              <w:rPr>
                <w:rFonts w:cs="Arial"/>
              </w:rPr>
              <w:t>0.00 / kVA / month</w:t>
            </w:r>
          </w:p>
        </w:tc>
        <w:tc>
          <w:tcPr>
            <w:tcW w:w="1010" w:type="pct"/>
          </w:tcPr>
          <w:p w:rsidR="00D555F2" w:rsidRPr="00C60AD1" w:rsidRDefault="00D555F2" w:rsidP="00BB5A5A">
            <w:pPr>
              <w:ind w:right="-105"/>
              <w:jc w:val="center"/>
              <w:rPr>
                <w:rFonts w:cs="Arial"/>
              </w:rPr>
            </w:pPr>
            <w:r w:rsidRPr="00C60AD1">
              <w:rPr>
                <w:rFonts w:cs="Arial"/>
              </w:rPr>
              <w:t xml:space="preserve">Rs. </w:t>
            </w:r>
            <w:r>
              <w:rPr>
                <w:rFonts w:cs="Arial"/>
              </w:rPr>
              <w:t>32</w:t>
            </w:r>
            <w:r w:rsidRPr="00C60AD1">
              <w:rPr>
                <w:rFonts w:cs="Arial"/>
              </w:rPr>
              <w:t>0.00 / kVA / month</w:t>
            </w:r>
          </w:p>
        </w:tc>
        <w:tc>
          <w:tcPr>
            <w:tcW w:w="1010" w:type="pct"/>
          </w:tcPr>
          <w:p w:rsidR="00D555F2" w:rsidRDefault="00D555F2" w:rsidP="00BB5A5A">
            <w:pPr>
              <w:ind w:right="-105"/>
              <w:jc w:val="center"/>
              <w:rPr>
                <w:rFonts w:cs="Arial"/>
              </w:rPr>
            </w:pPr>
            <w:r>
              <w:rPr>
                <w:rFonts w:cs="Arial"/>
              </w:rPr>
              <w:t>Rs. 36</w:t>
            </w:r>
            <w:r w:rsidRPr="00C60AD1">
              <w:rPr>
                <w:rFonts w:cs="Arial"/>
              </w:rPr>
              <w:t>0.00 / kVA / month</w:t>
            </w:r>
          </w:p>
        </w:tc>
      </w:tr>
    </w:tbl>
    <w:p w:rsidR="00D555F2" w:rsidRPr="00C60AD1" w:rsidRDefault="00D555F2" w:rsidP="00D555F2">
      <w:pPr>
        <w:pStyle w:val="BodyText"/>
        <w:spacing w:before="100" w:beforeAutospacing="1" w:line="288" w:lineRule="auto"/>
        <w:ind w:left="360" w:right="29"/>
        <w:rPr>
          <w:rFonts w:cs="Arial"/>
          <w:b/>
        </w:rPr>
      </w:pPr>
    </w:p>
    <w:p w:rsidR="00D555F2" w:rsidRPr="00C60AD1" w:rsidRDefault="00D555F2" w:rsidP="00D555F2">
      <w:pPr>
        <w:pStyle w:val="BodyText"/>
        <w:spacing w:before="100" w:beforeAutospacing="1" w:line="288" w:lineRule="auto"/>
        <w:ind w:left="360" w:right="29"/>
        <w:rPr>
          <w:rFonts w:cs="Arial"/>
          <w:b/>
        </w:rPr>
      </w:pPr>
    </w:p>
    <w:p w:rsidR="00D555F2" w:rsidRPr="00C60AD1" w:rsidRDefault="00D555F2" w:rsidP="00D555F2">
      <w:pPr>
        <w:pStyle w:val="BodyText"/>
        <w:spacing w:line="240" w:lineRule="auto"/>
        <w:ind w:left="360" w:right="-58"/>
        <w:rPr>
          <w:rFonts w:cs="Arial"/>
          <w:b/>
        </w:rPr>
      </w:pPr>
    </w:p>
    <w:p w:rsidR="00D555F2" w:rsidRPr="00C60AD1" w:rsidRDefault="00D555F2" w:rsidP="00D555F2">
      <w:pPr>
        <w:pStyle w:val="BodyText"/>
        <w:spacing w:line="240" w:lineRule="auto"/>
        <w:ind w:left="360" w:right="-58"/>
        <w:rPr>
          <w:rFonts w:cs="Arial"/>
          <w:b/>
        </w:rPr>
      </w:pPr>
    </w:p>
    <w:p w:rsidR="00D555F2" w:rsidRDefault="00D555F2" w:rsidP="00D555F2">
      <w:pPr>
        <w:pStyle w:val="BodyText"/>
        <w:spacing w:before="0" w:after="0" w:line="240" w:lineRule="auto"/>
        <w:ind w:left="1080" w:right="-58"/>
        <w:rPr>
          <w:rFonts w:cs="Arial"/>
          <w:b/>
        </w:rPr>
      </w:pPr>
    </w:p>
    <w:p w:rsidR="00D555F2" w:rsidRPr="00C60AD1"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tbl>
      <w:tblPr>
        <w:tblpPr w:leftFromText="180" w:rightFromText="180" w:vertAnchor="text" w:horzAnchor="page" w:tblpX="2674" w:tblpY="140"/>
        <w:tblW w:w="4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4"/>
        <w:gridCol w:w="1441"/>
        <w:gridCol w:w="1327"/>
        <w:gridCol w:w="1556"/>
        <w:gridCol w:w="1442"/>
      </w:tblGrid>
      <w:tr w:rsidR="00D555F2" w:rsidRPr="00C60AD1" w:rsidTr="00BB5A5A">
        <w:trPr>
          <w:trHeight w:val="350"/>
          <w:tblHeader/>
        </w:trPr>
        <w:tc>
          <w:tcPr>
            <w:tcW w:w="990" w:type="pct"/>
            <w:shd w:val="clear" w:color="auto" w:fill="DBE5F1" w:themeFill="accent1" w:themeFillTint="33"/>
          </w:tcPr>
          <w:p w:rsidR="00D555F2" w:rsidRPr="00C60AD1" w:rsidRDefault="00D555F2" w:rsidP="00BB5A5A">
            <w:pPr>
              <w:ind w:right="-105"/>
              <w:jc w:val="center"/>
              <w:rPr>
                <w:rFonts w:cs="Arial"/>
              </w:rPr>
            </w:pPr>
          </w:p>
        </w:tc>
        <w:tc>
          <w:tcPr>
            <w:tcW w:w="1925" w:type="pct"/>
            <w:gridSpan w:val="2"/>
            <w:shd w:val="clear" w:color="auto" w:fill="DBE5F1" w:themeFill="accent1" w:themeFillTint="33"/>
          </w:tcPr>
          <w:p w:rsidR="00D555F2" w:rsidRDefault="00D555F2" w:rsidP="00BB5A5A">
            <w:pPr>
              <w:jc w:val="center"/>
              <w:rPr>
                <w:rFonts w:cs="Arial"/>
                <w:b/>
              </w:rPr>
            </w:pPr>
            <w:r w:rsidRPr="00C60AD1">
              <w:rPr>
                <w:rFonts w:cs="Arial"/>
                <w:b/>
              </w:rPr>
              <w:t>For supply at 11kV</w:t>
            </w:r>
          </w:p>
        </w:tc>
        <w:tc>
          <w:tcPr>
            <w:tcW w:w="2085" w:type="pct"/>
            <w:gridSpan w:val="2"/>
            <w:shd w:val="clear" w:color="auto" w:fill="DBE5F1" w:themeFill="accent1" w:themeFillTint="33"/>
          </w:tcPr>
          <w:p w:rsidR="00D555F2" w:rsidRPr="00C60AD1" w:rsidRDefault="00D555F2" w:rsidP="00BB5A5A">
            <w:pPr>
              <w:jc w:val="center"/>
              <w:rPr>
                <w:rFonts w:cs="Arial"/>
                <w:b/>
              </w:rPr>
            </w:pPr>
            <w:r w:rsidRPr="00C60AD1">
              <w:rPr>
                <w:rFonts w:cs="Arial"/>
                <w:b/>
              </w:rPr>
              <w:t>For supply at 33 kV &amp; above</w:t>
            </w:r>
          </w:p>
        </w:tc>
      </w:tr>
      <w:tr w:rsidR="00D555F2" w:rsidRPr="00C60AD1" w:rsidTr="00BB5A5A">
        <w:trPr>
          <w:tblHeader/>
        </w:trPr>
        <w:tc>
          <w:tcPr>
            <w:tcW w:w="990" w:type="pct"/>
          </w:tcPr>
          <w:p w:rsidR="00D555F2" w:rsidRPr="00C60AD1" w:rsidRDefault="00D555F2" w:rsidP="00BB5A5A">
            <w:pPr>
              <w:ind w:right="-105"/>
              <w:rPr>
                <w:rFonts w:cs="Arial"/>
              </w:rPr>
            </w:pPr>
            <w:r>
              <w:rPr>
                <w:rFonts w:cs="Arial"/>
              </w:rPr>
              <w:t>Consumption Range</w:t>
            </w:r>
          </w:p>
        </w:tc>
        <w:tc>
          <w:tcPr>
            <w:tcW w:w="1002" w:type="pct"/>
          </w:tcPr>
          <w:p w:rsidR="00D555F2" w:rsidRPr="00136ADD" w:rsidRDefault="00D555F2" w:rsidP="00BB5A5A">
            <w:pPr>
              <w:ind w:right="-105"/>
              <w:jc w:val="center"/>
              <w:rPr>
                <w:b/>
              </w:rPr>
            </w:pPr>
            <w:r>
              <w:rPr>
                <w:rFonts w:cs="Arial"/>
                <w:b/>
              </w:rPr>
              <w:t>For first 2500 kVAh / month</w:t>
            </w:r>
          </w:p>
        </w:tc>
        <w:tc>
          <w:tcPr>
            <w:tcW w:w="923" w:type="pct"/>
          </w:tcPr>
          <w:p w:rsidR="00D555F2" w:rsidRPr="00136ADD" w:rsidRDefault="00D555F2" w:rsidP="00BB5A5A">
            <w:pPr>
              <w:ind w:right="-105"/>
              <w:jc w:val="center"/>
              <w:rPr>
                <w:b/>
              </w:rPr>
            </w:pPr>
            <w:r>
              <w:rPr>
                <w:rFonts w:cs="Arial"/>
                <w:b/>
              </w:rPr>
              <w:t>For above 2500 kVAh / month (Starting from 2501</w:t>
            </w:r>
            <w:r>
              <w:rPr>
                <w:rFonts w:cs="Arial"/>
                <w:b/>
                <w:vertAlign w:val="superscript"/>
              </w:rPr>
              <w:t>st</w:t>
            </w:r>
            <w:r>
              <w:rPr>
                <w:rFonts w:cs="Arial"/>
                <w:b/>
              </w:rPr>
              <w:t xml:space="preserve"> kVAh )</w:t>
            </w:r>
          </w:p>
        </w:tc>
        <w:tc>
          <w:tcPr>
            <w:tcW w:w="1082" w:type="pct"/>
          </w:tcPr>
          <w:p w:rsidR="00D555F2" w:rsidRPr="00136ADD" w:rsidRDefault="00D555F2" w:rsidP="00BB5A5A">
            <w:pPr>
              <w:ind w:right="-105"/>
              <w:jc w:val="center"/>
              <w:rPr>
                <w:rFonts w:cs="Arial"/>
                <w:b/>
              </w:rPr>
            </w:pPr>
            <w:r>
              <w:rPr>
                <w:rFonts w:cs="Arial"/>
                <w:b/>
              </w:rPr>
              <w:t>For first 2500 kVAh / month</w:t>
            </w:r>
          </w:p>
        </w:tc>
        <w:tc>
          <w:tcPr>
            <w:tcW w:w="1003" w:type="pct"/>
          </w:tcPr>
          <w:p w:rsidR="00D555F2" w:rsidRPr="00136ADD" w:rsidRDefault="00D555F2" w:rsidP="00BB5A5A">
            <w:pPr>
              <w:ind w:right="-105"/>
              <w:jc w:val="center"/>
              <w:rPr>
                <w:rFonts w:cs="Arial"/>
                <w:b/>
              </w:rPr>
            </w:pPr>
            <w:r>
              <w:rPr>
                <w:rFonts w:cs="Arial"/>
                <w:b/>
              </w:rPr>
              <w:t>For above 2500 kVAh / month (Starting from 2501</w:t>
            </w:r>
            <w:r>
              <w:rPr>
                <w:rFonts w:cs="Arial"/>
                <w:b/>
                <w:vertAlign w:val="superscript"/>
              </w:rPr>
              <w:t>st</w:t>
            </w:r>
            <w:r>
              <w:rPr>
                <w:rFonts w:cs="Arial"/>
                <w:b/>
              </w:rPr>
              <w:t xml:space="preserve"> kVAh)</w:t>
            </w:r>
          </w:p>
        </w:tc>
      </w:tr>
      <w:tr w:rsidR="00D555F2" w:rsidRPr="00C60AD1" w:rsidTr="00BB5A5A">
        <w:trPr>
          <w:tblHeader/>
        </w:trPr>
        <w:tc>
          <w:tcPr>
            <w:tcW w:w="990" w:type="pct"/>
          </w:tcPr>
          <w:p w:rsidR="00D555F2" w:rsidRPr="00C60AD1" w:rsidRDefault="00D555F2" w:rsidP="00BB5A5A">
            <w:pPr>
              <w:ind w:right="-105"/>
              <w:rPr>
                <w:rFonts w:cs="Arial"/>
              </w:rPr>
            </w:pPr>
            <w:r w:rsidRPr="00C60AD1">
              <w:rPr>
                <w:rFonts w:cs="Arial"/>
              </w:rPr>
              <w:t xml:space="preserve">Energy Charges </w:t>
            </w:r>
          </w:p>
        </w:tc>
        <w:tc>
          <w:tcPr>
            <w:tcW w:w="1002" w:type="pct"/>
          </w:tcPr>
          <w:p w:rsidR="00D555F2" w:rsidRPr="00C60AD1" w:rsidRDefault="00D555F2" w:rsidP="00BB5A5A">
            <w:pPr>
              <w:ind w:right="-105"/>
              <w:jc w:val="center"/>
              <w:rPr>
                <w:rFonts w:cs="Arial"/>
              </w:rPr>
            </w:pPr>
            <w:r w:rsidRPr="00C60AD1">
              <w:rPr>
                <w:rFonts w:cs="Arial"/>
              </w:rPr>
              <w:t>Rs. 7.</w:t>
            </w:r>
            <w:r>
              <w:rPr>
                <w:rFonts w:cs="Arial"/>
              </w:rPr>
              <w:t>6</w:t>
            </w:r>
            <w:r w:rsidRPr="00C60AD1">
              <w:rPr>
                <w:rFonts w:cs="Arial"/>
              </w:rPr>
              <w:t>0 / kVAh</w:t>
            </w:r>
          </w:p>
        </w:tc>
        <w:tc>
          <w:tcPr>
            <w:tcW w:w="923" w:type="pct"/>
          </w:tcPr>
          <w:p w:rsidR="00D555F2" w:rsidRDefault="00D555F2" w:rsidP="00BB5A5A">
            <w:pPr>
              <w:ind w:right="-105"/>
              <w:jc w:val="center"/>
              <w:rPr>
                <w:rFonts w:cs="Arial"/>
              </w:rPr>
            </w:pPr>
            <w:r>
              <w:rPr>
                <w:rFonts w:cs="Arial"/>
              </w:rPr>
              <w:t>Rs. 7.95</w:t>
            </w:r>
            <w:r w:rsidRPr="00C60AD1">
              <w:rPr>
                <w:rFonts w:cs="Arial"/>
              </w:rPr>
              <w:t xml:space="preserve"> / kVAh</w:t>
            </w:r>
          </w:p>
        </w:tc>
        <w:tc>
          <w:tcPr>
            <w:tcW w:w="1082" w:type="pct"/>
          </w:tcPr>
          <w:p w:rsidR="00D555F2" w:rsidRPr="00C60AD1" w:rsidRDefault="00D555F2" w:rsidP="00BB5A5A">
            <w:pPr>
              <w:ind w:right="-105"/>
              <w:jc w:val="center"/>
              <w:rPr>
                <w:rFonts w:cs="Arial"/>
              </w:rPr>
            </w:pPr>
            <w:r w:rsidRPr="00C60AD1">
              <w:rPr>
                <w:rFonts w:cs="Arial"/>
              </w:rPr>
              <w:t>Rs. 7.</w:t>
            </w:r>
            <w:r>
              <w:rPr>
                <w:rFonts w:cs="Arial"/>
              </w:rPr>
              <w:t>4</w:t>
            </w:r>
            <w:r w:rsidRPr="00C60AD1">
              <w:rPr>
                <w:rFonts w:cs="Arial"/>
              </w:rPr>
              <w:t>0 / kVAh</w:t>
            </w:r>
          </w:p>
        </w:tc>
        <w:tc>
          <w:tcPr>
            <w:tcW w:w="1003" w:type="pct"/>
          </w:tcPr>
          <w:p w:rsidR="00D555F2" w:rsidRPr="00C60AD1" w:rsidRDefault="00D555F2" w:rsidP="00BB5A5A">
            <w:pPr>
              <w:ind w:right="-105"/>
              <w:jc w:val="center"/>
              <w:rPr>
                <w:rFonts w:cs="Arial"/>
              </w:rPr>
            </w:pPr>
            <w:r>
              <w:rPr>
                <w:rFonts w:cs="Arial"/>
              </w:rPr>
              <w:t>Rs. 7.75</w:t>
            </w:r>
            <w:r w:rsidRPr="00C60AD1">
              <w:rPr>
                <w:rFonts w:cs="Arial"/>
              </w:rPr>
              <w:t xml:space="preserve"> / kVAh</w:t>
            </w:r>
          </w:p>
        </w:tc>
      </w:tr>
    </w:tbl>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Default="00D555F2" w:rsidP="00D555F2">
      <w:pPr>
        <w:pStyle w:val="BodyText"/>
        <w:spacing w:before="0" w:after="0" w:line="240" w:lineRule="auto"/>
        <w:ind w:left="1080" w:right="-58"/>
        <w:rPr>
          <w:rFonts w:cs="Arial"/>
          <w:b/>
        </w:rPr>
      </w:pPr>
    </w:p>
    <w:p w:rsidR="00D555F2" w:rsidRPr="00C60AD1" w:rsidRDefault="00D555F2" w:rsidP="00D555F2">
      <w:pPr>
        <w:pStyle w:val="BodyText"/>
        <w:numPr>
          <w:ilvl w:val="0"/>
          <w:numId w:val="92"/>
        </w:numPr>
        <w:spacing w:before="0" w:after="0" w:line="240" w:lineRule="auto"/>
        <w:ind w:right="-58"/>
        <w:rPr>
          <w:rFonts w:cs="Arial"/>
          <w:b/>
        </w:rPr>
      </w:pPr>
      <w:r w:rsidRPr="00C60AD1">
        <w:rPr>
          <w:rFonts w:cs="Arial"/>
          <w:b/>
        </w:rPr>
        <w:t xml:space="preserve">Public Institutions, </w:t>
      </w:r>
      <w:r w:rsidRPr="00C60AD1">
        <w:rPr>
          <w:b/>
          <w:szCs w:val="22"/>
        </w:rPr>
        <w:t>Registered Societies, Residential Colonies / Townships, Residential Multi-Storied Buildings</w:t>
      </w:r>
      <w:r w:rsidRPr="00C60AD1">
        <w:rPr>
          <w:rFonts w:cs="Arial"/>
          <w:b/>
        </w:rPr>
        <w:t xml:space="preserve"> including </w:t>
      </w:r>
      <w:r w:rsidRPr="00C60AD1">
        <w:rPr>
          <w:b/>
          <w:bCs/>
        </w:rPr>
        <w:t>Residential Multi-Storied Buildings</w:t>
      </w:r>
      <w:r w:rsidRPr="00C60AD1" w:rsidDel="00F03799">
        <w:rPr>
          <w:rFonts w:cs="Arial"/>
          <w:b/>
        </w:rPr>
        <w:t xml:space="preserve"> </w:t>
      </w:r>
      <w:r w:rsidRPr="00C60AD1">
        <w:rPr>
          <w:rFonts w:cs="Arial"/>
          <w:b/>
        </w:rPr>
        <w:t>with contracted load 75 kW &amp; above and getting supply at Single Point on 11 kV &amp; above voltage levels:</w:t>
      </w:r>
    </w:p>
    <w:tbl>
      <w:tblPr>
        <w:tblpPr w:leftFromText="180" w:rightFromText="180" w:vertAnchor="text" w:horzAnchor="page" w:tblpX="2674" w:tblpY="140"/>
        <w:tblW w:w="4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9"/>
        <w:gridCol w:w="1462"/>
        <w:gridCol w:w="1464"/>
        <w:gridCol w:w="1464"/>
        <w:gridCol w:w="1461"/>
      </w:tblGrid>
      <w:tr w:rsidR="00D555F2" w:rsidRPr="00C60AD1" w:rsidTr="00BB5A5A">
        <w:trPr>
          <w:trHeight w:val="350"/>
          <w:tblHeader/>
        </w:trPr>
        <w:tc>
          <w:tcPr>
            <w:tcW w:w="931" w:type="pct"/>
            <w:shd w:val="clear" w:color="auto" w:fill="DBE5F1" w:themeFill="accent1" w:themeFillTint="33"/>
          </w:tcPr>
          <w:p w:rsidR="00D555F2" w:rsidRPr="00C60AD1" w:rsidRDefault="00D555F2" w:rsidP="00BB5A5A">
            <w:pPr>
              <w:ind w:right="-105"/>
              <w:rPr>
                <w:rFonts w:cs="Arial"/>
              </w:rPr>
            </w:pPr>
          </w:p>
        </w:tc>
        <w:tc>
          <w:tcPr>
            <w:tcW w:w="2034" w:type="pct"/>
            <w:gridSpan w:val="2"/>
            <w:shd w:val="clear" w:color="auto" w:fill="DBE5F1" w:themeFill="accent1" w:themeFillTint="33"/>
          </w:tcPr>
          <w:p w:rsidR="00D555F2" w:rsidRDefault="00D555F2" w:rsidP="00BB5A5A">
            <w:pPr>
              <w:rPr>
                <w:rFonts w:cs="Arial"/>
                <w:b/>
              </w:rPr>
            </w:pPr>
            <w:r w:rsidRPr="00C60AD1">
              <w:rPr>
                <w:rFonts w:cs="Arial"/>
                <w:b/>
              </w:rPr>
              <w:t>For supply at 11kV</w:t>
            </w:r>
          </w:p>
        </w:tc>
        <w:tc>
          <w:tcPr>
            <w:tcW w:w="2035" w:type="pct"/>
            <w:gridSpan w:val="2"/>
            <w:shd w:val="clear" w:color="auto" w:fill="DBE5F1" w:themeFill="accent1" w:themeFillTint="33"/>
          </w:tcPr>
          <w:p w:rsidR="00D555F2" w:rsidRDefault="00D555F2" w:rsidP="00BB5A5A">
            <w:pPr>
              <w:rPr>
                <w:rFonts w:cs="Arial"/>
                <w:b/>
              </w:rPr>
            </w:pPr>
            <w:r w:rsidRPr="00C60AD1">
              <w:rPr>
                <w:rFonts w:cs="Arial"/>
                <w:b/>
              </w:rPr>
              <w:t>For supply at 33 kV &amp; above</w:t>
            </w:r>
          </w:p>
        </w:tc>
      </w:tr>
      <w:tr w:rsidR="00D555F2" w:rsidRPr="00C60AD1" w:rsidTr="00BB5A5A">
        <w:trPr>
          <w:tblHeader/>
        </w:trPr>
        <w:tc>
          <w:tcPr>
            <w:tcW w:w="931" w:type="pct"/>
          </w:tcPr>
          <w:p w:rsidR="00D555F2" w:rsidRPr="00C60AD1" w:rsidRDefault="00D555F2" w:rsidP="00BB5A5A">
            <w:pPr>
              <w:ind w:right="-105"/>
              <w:rPr>
                <w:rFonts w:cs="Arial"/>
              </w:rPr>
            </w:pPr>
            <w:r>
              <w:rPr>
                <w:rFonts w:cs="Arial"/>
              </w:rPr>
              <w:lastRenderedPageBreak/>
              <w:t>Contracted Load</w:t>
            </w:r>
          </w:p>
        </w:tc>
        <w:tc>
          <w:tcPr>
            <w:tcW w:w="1017" w:type="pct"/>
          </w:tcPr>
          <w:p w:rsidR="00D555F2" w:rsidRPr="00D10FA4" w:rsidRDefault="00D555F2" w:rsidP="00BB5A5A">
            <w:pPr>
              <w:ind w:right="-105"/>
              <w:jc w:val="center"/>
              <w:rPr>
                <w:b/>
              </w:rPr>
            </w:pPr>
            <w:r>
              <w:rPr>
                <w:rFonts w:cs="Arial"/>
                <w:b/>
              </w:rPr>
              <w:t>Upto 100 kVA</w:t>
            </w:r>
          </w:p>
        </w:tc>
        <w:tc>
          <w:tcPr>
            <w:tcW w:w="1018" w:type="pct"/>
          </w:tcPr>
          <w:p w:rsidR="00D555F2" w:rsidRPr="00D10FA4" w:rsidRDefault="00D555F2" w:rsidP="00BB5A5A">
            <w:pPr>
              <w:ind w:right="-105"/>
              <w:jc w:val="center"/>
              <w:rPr>
                <w:b/>
              </w:rPr>
            </w:pPr>
            <w:r w:rsidRPr="002A0DC1">
              <w:rPr>
                <w:rFonts w:cs="Arial"/>
                <w:b/>
              </w:rPr>
              <w:t xml:space="preserve">Above </w:t>
            </w:r>
            <w:r>
              <w:rPr>
                <w:rFonts w:cs="Arial"/>
                <w:b/>
              </w:rPr>
              <w:t>100 kVA</w:t>
            </w:r>
          </w:p>
        </w:tc>
        <w:tc>
          <w:tcPr>
            <w:tcW w:w="1018" w:type="pct"/>
          </w:tcPr>
          <w:p w:rsidR="00D555F2" w:rsidRPr="00D10FA4" w:rsidRDefault="00D555F2" w:rsidP="00BB5A5A">
            <w:pPr>
              <w:ind w:right="-105"/>
              <w:jc w:val="center"/>
              <w:rPr>
                <w:b/>
              </w:rPr>
            </w:pPr>
            <w:r>
              <w:rPr>
                <w:rFonts w:cs="Arial"/>
                <w:b/>
              </w:rPr>
              <w:t>Upto 100 kVA</w:t>
            </w:r>
          </w:p>
        </w:tc>
        <w:tc>
          <w:tcPr>
            <w:tcW w:w="1018" w:type="pct"/>
          </w:tcPr>
          <w:p w:rsidR="00D555F2" w:rsidRPr="00D10FA4" w:rsidRDefault="00D555F2" w:rsidP="00BB5A5A">
            <w:pPr>
              <w:ind w:right="-105"/>
              <w:jc w:val="center"/>
              <w:rPr>
                <w:b/>
              </w:rPr>
            </w:pPr>
            <w:r w:rsidRPr="002A0DC1">
              <w:rPr>
                <w:rFonts w:cs="Arial"/>
                <w:b/>
              </w:rPr>
              <w:t xml:space="preserve">Above </w:t>
            </w:r>
            <w:r>
              <w:rPr>
                <w:rFonts w:cs="Arial"/>
                <w:b/>
              </w:rPr>
              <w:t>100 kVA</w:t>
            </w:r>
          </w:p>
        </w:tc>
      </w:tr>
      <w:tr w:rsidR="00D555F2" w:rsidRPr="00C60AD1" w:rsidTr="00BB5A5A">
        <w:trPr>
          <w:tblHeader/>
        </w:trPr>
        <w:tc>
          <w:tcPr>
            <w:tcW w:w="931" w:type="pct"/>
          </w:tcPr>
          <w:p w:rsidR="00D555F2" w:rsidRPr="00C60AD1" w:rsidRDefault="00D555F2" w:rsidP="00BB5A5A">
            <w:pPr>
              <w:ind w:right="-105"/>
              <w:rPr>
                <w:rFonts w:cs="Arial"/>
              </w:rPr>
            </w:pPr>
            <w:r w:rsidRPr="00C60AD1">
              <w:rPr>
                <w:rFonts w:cs="Arial"/>
              </w:rPr>
              <w:t xml:space="preserve">Demand Charges </w:t>
            </w:r>
          </w:p>
        </w:tc>
        <w:tc>
          <w:tcPr>
            <w:tcW w:w="1017" w:type="pct"/>
          </w:tcPr>
          <w:p w:rsidR="00D555F2" w:rsidRPr="00C60AD1" w:rsidRDefault="00D555F2" w:rsidP="00BB5A5A">
            <w:pPr>
              <w:ind w:right="-105"/>
              <w:jc w:val="center"/>
              <w:rPr>
                <w:rFonts w:cs="Arial"/>
              </w:rPr>
            </w:pPr>
            <w:r w:rsidRPr="00C60AD1">
              <w:rPr>
                <w:rFonts w:cs="Arial"/>
              </w:rPr>
              <w:t xml:space="preserve">Rs. </w:t>
            </w:r>
            <w:r>
              <w:rPr>
                <w:rFonts w:cs="Arial"/>
              </w:rPr>
              <w:t>285.00 / kVA / month</w:t>
            </w:r>
          </w:p>
        </w:tc>
        <w:tc>
          <w:tcPr>
            <w:tcW w:w="1018" w:type="pct"/>
          </w:tcPr>
          <w:p w:rsidR="00D555F2" w:rsidRPr="00C60AD1" w:rsidRDefault="00D555F2" w:rsidP="00BB5A5A">
            <w:pPr>
              <w:ind w:right="-105"/>
              <w:jc w:val="center"/>
              <w:rPr>
                <w:rFonts w:cs="Arial"/>
              </w:rPr>
            </w:pPr>
            <w:r w:rsidRPr="00C60AD1">
              <w:rPr>
                <w:rFonts w:cs="Arial"/>
              </w:rPr>
              <w:t xml:space="preserve">Rs. </w:t>
            </w:r>
            <w:r>
              <w:rPr>
                <w:rFonts w:cs="Arial"/>
              </w:rPr>
              <w:t>30</w:t>
            </w:r>
            <w:r w:rsidRPr="00C60AD1">
              <w:rPr>
                <w:rFonts w:cs="Arial"/>
              </w:rPr>
              <w:t>0.00 / kVA / month</w:t>
            </w:r>
          </w:p>
        </w:tc>
        <w:tc>
          <w:tcPr>
            <w:tcW w:w="1018" w:type="pct"/>
          </w:tcPr>
          <w:p w:rsidR="00D555F2" w:rsidRPr="00C60AD1" w:rsidRDefault="00D555F2" w:rsidP="00BB5A5A">
            <w:pPr>
              <w:ind w:right="-105"/>
              <w:jc w:val="center"/>
              <w:rPr>
                <w:rFonts w:cs="Arial"/>
              </w:rPr>
            </w:pPr>
            <w:r w:rsidRPr="00C60AD1">
              <w:rPr>
                <w:rFonts w:cs="Arial"/>
              </w:rPr>
              <w:t xml:space="preserve">Rs. </w:t>
            </w:r>
            <w:r>
              <w:rPr>
                <w:rFonts w:cs="Arial"/>
              </w:rPr>
              <w:t>285</w:t>
            </w:r>
            <w:r w:rsidRPr="00C60AD1">
              <w:rPr>
                <w:rFonts w:cs="Arial"/>
              </w:rPr>
              <w:t>.00 / kVA / month</w:t>
            </w:r>
          </w:p>
        </w:tc>
        <w:tc>
          <w:tcPr>
            <w:tcW w:w="1018" w:type="pct"/>
          </w:tcPr>
          <w:p w:rsidR="00D555F2" w:rsidRDefault="00D555F2" w:rsidP="00BB5A5A">
            <w:pPr>
              <w:ind w:right="-105"/>
              <w:jc w:val="center"/>
              <w:rPr>
                <w:rFonts w:cs="Arial"/>
              </w:rPr>
            </w:pPr>
            <w:r>
              <w:rPr>
                <w:rFonts w:cs="Arial"/>
              </w:rPr>
              <w:t>Rs. 30</w:t>
            </w:r>
            <w:r w:rsidRPr="00C60AD1">
              <w:rPr>
                <w:rFonts w:cs="Arial"/>
              </w:rPr>
              <w:t>0.00 / kVA / month</w:t>
            </w:r>
          </w:p>
        </w:tc>
      </w:tr>
    </w:tbl>
    <w:p w:rsidR="00D555F2" w:rsidRDefault="00D555F2" w:rsidP="00D555F2">
      <w:pPr>
        <w:pStyle w:val="BodyText"/>
        <w:spacing w:before="100" w:beforeAutospacing="1" w:after="100" w:afterAutospacing="1" w:line="288" w:lineRule="auto"/>
        <w:ind w:right="-61"/>
        <w:jc w:val="left"/>
        <w:rPr>
          <w:rFonts w:cs="Arial"/>
          <w:b/>
        </w:rPr>
      </w:pPr>
    </w:p>
    <w:p w:rsidR="00D555F2" w:rsidRDefault="00D555F2" w:rsidP="00D555F2">
      <w:pPr>
        <w:pStyle w:val="BodyText"/>
        <w:spacing w:before="100" w:beforeAutospacing="1" w:after="100" w:afterAutospacing="1" w:line="288" w:lineRule="auto"/>
        <w:ind w:right="-61"/>
        <w:jc w:val="left"/>
        <w:rPr>
          <w:rFonts w:cs="Arial"/>
          <w:b/>
        </w:rPr>
      </w:pPr>
    </w:p>
    <w:p w:rsidR="00D555F2" w:rsidRDefault="00D555F2" w:rsidP="00D555F2">
      <w:pPr>
        <w:pStyle w:val="BodyText"/>
        <w:spacing w:before="100" w:beforeAutospacing="1" w:after="100" w:afterAutospacing="1" w:line="288" w:lineRule="auto"/>
        <w:ind w:right="-61"/>
        <w:jc w:val="left"/>
        <w:rPr>
          <w:rFonts w:cs="Arial"/>
          <w:b/>
        </w:rPr>
      </w:pPr>
    </w:p>
    <w:tbl>
      <w:tblPr>
        <w:tblpPr w:leftFromText="180" w:rightFromText="180" w:vertAnchor="text" w:horzAnchor="page" w:tblpX="2674" w:tblpY="140"/>
        <w:tblW w:w="4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1453"/>
        <w:gridCol w:w="1452"/>
        <w:gridCol w:w="1452"/>
        <w:gridCol w:w="1452"/>
      </w:tblGrid>
      <w:tr w:rsidR="00D555F2" w:rsidRPr="00C60AD1" w:rsidTr="00BB5A5A">
        <w:trPr>
          <w:trHeight w:val="350"/>
          <w:tblHeader/>
        </w:trPr>
        <w:tc>
          <w:tcPr>
            <w:tcW w:w="960" w:type="pct"/>
            <w:shd w:val="clear" w:color="auto" w:fill="DBE5F1" w:themeFill="accent1" w:themeFillTint="33"/>
          </w:tcPr>
          <w:p w:rsidR="00D555F2" w:rsidRPr="00C60AD1" w:rsidRDefault="00D555F2" w:rsidP="00BB5A5A">
            <w:pPr>
              <w:ind w:right="-105"/>
              <w:rPr>
                <w:rFonts w:cs="Arial"/>
              </w:rPr>
            </w:pPr>
          </w:p>
        </w:tc>
        <w:tc>
          <w:tcPr>
            <w:tcW w:w="2019" w:type="pct"/>
            <w:gridSpan w:val="2"/>
            <w:shd w:val="clear" w:color="auto" w:fill="DBE5F1" w:themeFill="accent1" w:themeFillTint="33"/>
          </w:tcPr>
          <w:p w:rsidR="00D555F2" w:rsidRDefault="00D555F2" w:rsidP="00BB5A5A">
            <w:pPr>
              <w:rPr>
                <w:rFonts w:cs="Arial"/>
                <w:b/>
              </w:rPr>
            </w:pPr>
            <w:r w:rsidRPr="00C60AD1">
              <w:rPr>
                <w:rFonts w:cs="Arial"/>
                <w:b/>
              </w:rPr>
              <w:t>For supply at 11kV</w:t>
            </w:r>
          </w:p>
        </w:tc>
        <w:tc>
          <w:tcPr>
            <w:tcW w:w="2021" w:type="pct"/>
            <w:gridSpan w:val="2"/>
            <w:shd w:val="clear" w:color="auto" w:fill="DBE5F1" w:themeFill="accent1" w:themeFillTint="33"/>
          </w:tcPr>
          <w:p w:rsidR="00D555F2" w:rsidRDefault="00D555F2" w:rsidP="00BB5A5A">
            <w:pPr>
              <w:rPr>
                <w:rFonts w:cs="Arial"/>
                <w:b/>
              </w:rPr>
            </w:pPr>
            <w:r w:rsidRPr="00C60AD1">
              <w:rPr>
                <w:rFonts w:cs="Arial"/>
                <w:b/>
              </w:rPr>
              <w:t>For supply at 33 kV &amp; above</w:t>
            </w:r>
          </w:p>
        </w:tc>
      </w:tr>
      <w:tr w:rsidR="00D555F2" w:rsidRPr="00C60AD1" w:rsidTr="00BB5A5A">
        <w:trPr>
          <w:tblHeader/>
        </w:trPr>
        <w:tc>
          <w:tcPr>
            <w:tcW w:w="960" w:type="pct"/>
          </w:tcPr>
          <w:p w:rsidR="00D555F2" w:rsidRPr="00C60AD1" w:rsidRDefault="00D555F2" w:rsidP="00BB5A5A">
            <w:pPr>
              <w:ind w:right="-105"/>
              <w:rPr>
                <w:rFonts w:cs="Arial"/>
              </w:rPr>
            </w:pPr>
            <w:r>
              <w:rPr>
                <w:rFonts w:cs="Arial"/>
              </w:rPr>
              <w:t>Consumption Range</w:t>
            </w:r>
          </w:p>
        </w:tc>
        <w:tc>
          <w:tcPr>
            <w:tcW w:w="1010" w:type="pct"/>
          </w:tcPr>
          <w:p w:rsidR="00D555F2" w:rsidRPr="00136ADD" w:rsidRDefault="00D555F2" w:rsidP="00BB5A5A">
            <w:pPr>
              <w:ind w:right="-105"/>
              <w:jc w:val="center"/>
              <w:rPr>
                <w:b/>
              </w:rPr>
            </w:pPr>
            <w:r>
              <w:rPr>
                <w:rFonts w:cs="Arial"/>
                <w:b/>
              </w:rPr>
              <w:t>For first 2500 kVAh / month</w:t>
            </w:r>
          </w:p>
        </w:tc>
        <w:tc>
          <w:tcPr>
            <w:tcW w:w="1010" w:type="pct"/>
          </w:tcPr>
          <w:p w:rsidR="00D555F2" w:rsidRPr="00136ADD" w:rsidRDefault="00D555F2" w:rsidP="00BB5A5A">
            <w:pPr>
              <w:ind w:right="-105"/>
              <w:jc w:val="center"/>
              <w:rPr>
                <w:b/>
              </w:rPr>
            </w:pPr>
            <w:r>
              <w:rPr>
                <w:rFonts w:cs="Arial"/>
                <w:b/>
              </w:rPr>
              <w:t>For above 2500 kVAh / month (Starting from 2501</w:t>
            </w:r>
            <w:r>
              <w:rPr>
                <w:rFonts w:cs="Arial"/>
                <w:b/>
                <w:vertAlign w:val="superscript"/>
              </w:rPr>
              <w:t>st</w:t>
            </w:r>
            <w:r>
              <w:rPr>
                <w:rFonts w:cs="Arial"/>
                <w:b/>
              </w:rPr>
              <w:t xml:space="preserve"> kVAh)</w:t>
            </w:r>
          </w:p>
        </w:tc>
        <w:tc>
          <w:tcPr>
            <w:tcW w:w="1010" w:type="pct"/>
          </w:tcPr>
          <w:p w:rsidR="00D555F2" w:rsidRPr="00136ADD" w:rsidRDefault="00D555F2" w:rsidP="00BB5A5A">
            <w:pPr>
              <w:ind w:right="-105"/>
              <w:jc w:val="center"/>
              <w:rPr>
                <w:rFonts w:cs="Arial"/>
                <w:b/>
              </w:rPr>
            </w:pPr>
            <w:r>
              <w:rPr>
                <w:rFonts w:cs="Arial"/>
                <w:b/>
              </w:rPr>
              <w:t>For first 2500 kVAh / month</w:t>
            </w:r>
          </w:p>
        </w:tc>
        <w:tc>
          <w:tcPr>
            <w:tcW w:w="1011" w:type="pct"/>
          </w:tcPr>
          <w:p w:rsidR="00D555F2" w:rsidRPr="00136ADD" w:rsidRDefault="00D555F2" w:rsidP="00BB5A5A">
            <w:pPr>
              <w:ind w:right="-105"/>
              <w:jc w:val="center"/>
              <w:rPr>
                <w:rFonts w:cs="Arial"/>
                <w:b/>
              </w:rPr>
            </w:pPr>
            <w:r>
              <w:rPr>
                <w:rFonts w:cs="Arial"/>
                <w:b/>
              </w:rPr>
              <w:t>For above 2500 kVAh / month (Starting from 2501</w:t>
            </w:r>
            <w:r>
              <w:rPr>
                <w:rFonts w:cs="Arial"/>
                <w:b/>
                <w:vertAlign w:val="superscript"/>
              </w:rPr>
              <w:t>st</w:t>
            </w:r>
            <w:r>
              <w:rPr>
                <w:rFonts w:cs="Arial"/>
                <w:b/>
              </w:rPr>
              <w:t xml:space="preserve"> kVAh)</w:t>
            </w:r>
          </w:p>
        </w:tc>
      </w:tr>
      <w:tr w:rsidR="00D555F2" w:rsidRPr="00C60AD1" w:rsidTr="00BB5A5A">
        <w:trPr>
          <w:tblHeader/>
        </w:trPr>
        <w:tc>
          <w:tcPr>
            <w:tcW w:w="960" w:type="pct"/>
          </w:tcPr>
          <w:p w:rsidR="00D555F2" w:rsidRPr="00C60AD1" w:rsidRDefault="00D555F2" w:rsidP="00BB5A5A">
            <w:pPr>
              <w:ind w:right="-105"/>
              <w:rPr>
                <w:rFonts w:cs="Arial"/>
              </w:rPr>
            </w:pPr>
            <w:r w:rsidRPr="00C60AD1">
              <w:rPr>
                <w:rFonts w:cs="Arial"/>
              </w:rPr>
              <w:t xml:space="preserve">Energy Charges </w:t>
            </w:r>
          </w:p>
        </w:tc>
        <w:tc>
          <w:tcPr>
            <w:tcW w:w="1010" w:type="pct"/>
          </w:tcPr>
          <w:p w:rsidR="00D555F2" w:rsidRPr="00C60AD1" w:rsidRDefault="00D555F2" w:rsidP="00BB5A5A">
            <w:pPr>
              <w:ind w:right="-105"/>
              <w:jc w:val="center"/>
              <w:rPr>
                <w:rFonts w:cs="Arial"/>
              </w:rPr>
            </w:pPr>
            <w:r w:rsidRPr="00C60AD1">
              <w:rPr>
                <w:rFonts w:cs="Arial"/>
              </w:rPr>
              <w:t>Rs. 7.</w:t>
            </w:r>
            <w:r>
              <w:rPr>
                <w:rFonts w:cs="Arial"/>
              </w:rPr>
              <w:t>2</w:t>
            </w:r>
            <w:r w:rsidRPr="00C60AD1">
              <w:rPr>
                <w:rFonts w:cs="Arial"/>
              </w:rPr>
              <w:t>0 / kVAh</w:t>
            </w:r>
          </w:p>
        </w:tc>
        <w:tc>
          <w:tcPr>
            <w:tcW w:w="1010" w:type="pct"/>
          </w:tcPr>
          <w:p w:rsidR="00D555F2" w:rsidRDefault="00D555F2" w:rsidP="00BB5A5A">
            <w:pPr>
              <w:ind w:right="-105"/>
              <w:jc w:val="center"/>
              <w:rPr>
                <w:rFonts w:cs="Arial"/>
              </w:rPr>
            </w:pPr>
            <w:r>
              <w:rPr>
                <w:rFonts w:cs="Arial"/>
              </w:rPr>
              <w:t>Rs. 7.40</w:t>
            </w:r>
            <w:r w:rsidRPr="00C60AD1">
              <w:rPr>
                <w:rFonts w:cs="Arial"/>
              </w:rPr>
              <w:t xml:space="preserve"> / kVAh</w:t>
            </w:r>
          </w:p>
        </w:tc>
        <w:tc>
          <w:tcPr>
            <w:tcW w:w="1010" w:type="pct"/>
          </w:tcPr>
          <w:p w:rsidR="00D555F2" w:rsidRPr="00C60AD1" w:rsidRDefault="00D555F2" w:rsidP="00BB5A5A">
            <w:pPr>
              <w:ind w:right="-105"/>
              <w:jc w:val="center"/>
              <w:rPr>
                <w:rFonts w:cs="Arial"/>
              </w:rPr>
            </w:pPr>
            <w:r w:rsidRPr="00C60AD1">
              <w:rPr>
                <w:rFonts w:cs="Arial"/>
              </w:rPr>
              <w:t>Rs. 7.</w:t>
            </w:r>
            <w:r>
              <w:rPr>
                <w:rFonts w:cs="Arial"/>
              </w:rPr>
              <w:t>0</w:t>
            </w:r>
            <w:r w:rsidRPr="00C60AD1">
              <w:rPr>
                <w:rFonts w:cs="Arial"/>
              </w:rPr>
              <w:t>0 / kVAh</w:t>
            </w:r>
          </w:p>
        </w:tc>
        <w:tc>
          <w:tcPr>
            <w:tcW w:w="1011" w:type="pct"/>
          </w:tcPr>
          <w:p w:rsidR="00D555F2" w:rsidRPr="00C60AD1" w:rsidRDefault="00D555F2" w:rsidP="00BB5A5A">
            <w:pPr>
              <w:ind w:right="-105"/>
              <w:jc w:val="center"/>
              <w:rPr>
                <w:rFonts w:cs="Arial"/>
              </w:rPr>
            </w:pPr>
            <w:r>
              <w:rPr>
                <w:rFonts w:cs="Arial"/>
              </w:rPr>
              <w:t>Rs. 7.20</w:t>
            </w:r>
            <w:r w:rsidRPr="00C60AD1">
              <w:rPr>
                <w:rFonts w:cs="Arial"/>
              </w:rPr>
              <w:t xml:space="preserve"> / kVAh</w:t>
            </w:r>
          </w:p>
        </w:tc>
      </w:tr>
    </w:tbl>
    <w:p w:rsidR="00D555F2" w:rsidRPr="00C60AD1" w:rsidRDefault="00D555F2" w:rsidP="00D555F2">
      <w:pPr>
        <w:pStyle w:val="BodyText"/>
        <w:spacing w:before="100" w:beforeAutospacing="1" w:after="100" w:afterAutospacing="1" w:line="288" w:lineRule="auto"/>
        <w:ind w:right="-61"/>
        <w:jc w:val="left"/>
        <w:rPr>
          <w:rFonts w:cs="Arial"/>
          <w:b/>
        </w:rPr>
      </w:pPr>
    </w:p>
    <w:p w:rsidR="00D555F2" w:rsidRPr="00C60AD1" w:rsidRDefault="00D555F2" w:rsidP="00D555F2">
      <w:pPr>
        <w:pStyle w:val="BodyText"/>
        <w:spacing w:before="100" w:beforeAutospacing="1" w:after="100" w:afterAutospacing="1" w:line="288" w:lineRule="auto"/>
        <w:ind w:right="-61"/>
        <w:jc w:val="center"/>
        <w:rPr>
          <w:rFonts w:cs="Arial"/>
          <w:b/>
        </w:rPr>
      </w:pPr>
    </w:p>
    <w:p w:rsidR="00D555F2" w:rsidRDefault="00D555F2" w:rsidP="00D555F2">
      <w:pPr>
        <w:ind w:left="720"/>
      </w:pPr>
    </w:p>
    <w:p w:rsidR="00D555F2" w:rsidRDefault="00D555F2" w:rsidP="00D555F2">
      <w:pPr>
        <w:ind w:left="720"/>
      </w:pPr>
    </w:p>
    <w:p w:rsidR="00D555F2" w:rsidRDefault="00D555F2" w:rsidP="00D555F2">
      <w:pPr>
        <w:ind w:left="720"/>
      </w:pPr>
    </w:p>
    <w:p w:rsidR="00D555F2" w:rsidRDefault="00D555F2" w:rsidP="00D555F2">
      <w:pPr>
        <w:ind w:left="720"/>
      </w:pPr>
    </w:p>
    <w:p w:rsidR="00D555F2" w:rsidRDefault="00D555F2" w:rsidP="00D555F2">
      <w:pPr>
        <w:ind w:left="720"/>
      </w:pPr>
    </w:p>
    <w:p w:rsidR="00D555F2" w:rsidRDefault="00D555F2" w:rsidP="00D555F2">
      <w:pPr>
        <w:ind w:left="720"/>
      </w:pPr>
    </w:p>
    <w:p w:rsidR="00D555F2" w:rsidRDefault="00D555F2" w:rsidP="00D555F2">
      <w:pPr>
        <w:ind w:left="720"/>
      </w:pPr>
      <w:r w:rsidRPr="00C60AD1">
        <w:t xml:space="preserve">The body seeking the supply at Single point for bulk loads under this category shall be considered as a deemed franchisee of the Licensee. Such body shall charge not more than </w:t>
      </w:r>
      <w:r w:rsidRPr="00201853">
        <w:t>5%</w:t>
      </w:r>
      <w:r w:rsidRPr="00C60AD1">
        <w:t xml:space="preserve"> additional charge on the above specified </w:t>
      </w:r>
      <w:r>
        <w:t>‘</w:t>
      </w:r>
      <w:r w:rsidRPr="00C60AD1">
        <w:t>Rate</w:t>
      </w:r>
      <w:r>
        <w:t>’</w:t>
      </w:r>
      <w:r w:rsidRPr="00C60AD1">
        <w:t xml:space="preserve"> from its consumers apart from other applicable charges such as Regulatory Surcharge, Penalty, Rebate and Electricity Duty on actual basis.</w:t>
      </w:r>
    </w:p>
    <w:p w:rsidR="00D555F2" w:rsidRDefault="00D555F2" w:rsidP="00D555F2">
      <w:pPr>
        <w:ind w:left="720"/>
        <w:rPr>
          <w:rFonts w:cstheme="minorHAnsi"/>
        </w:rPr>
      </w:pPr>
      <w:r w:rsidRPr="00201853">
        <w:rPr>
          <w:rFonts w:cstheme="minorHAnsi"/>
        </w:rPr>
        <w:t xml:space="preserve">The 5% additional charge shall be towards facilitating supply of electricity to the </w:t>
      </w:r>
      <w:r w:rsidRPr="00201853">
        <w:rPr>
          <w:rFonts w:cstheme="minorHAnsi"/>
          <w:lang w:val="en-US"/>
        </w:rPr>
        <w:t>individual members</w:t>
      </w:r>
      <w:r w:rsidRPr="00201853">
        <w:rPr>
          <w:rFonts w:cstheme="minorHAnsi"/>
        </w:rPr>
        <w:t xml:space="preserve"> to recover its expenses towards supply of electricity, distribution loss, electrical maintenance in its supply area, billing, accounting and audit etc.</w:t>
      </w:r>
    </w:p>
    <w:p w:rsidR="00D555F2" w:rsidRPr="00525567" w:rsidRDefault="00D555F2" w:rsidP="00D555F2">
      <w:pPr>
        <w:ind w:left="720"/>
      </w:pPr>
      <w:r>
        <w:t xml:space="preserve">The </w:t>
      </w:r>
      <w:r w:rsidRPr="00201853">
        <w:t>deemed</w:t>
      </w:r>
      <w:r>
        <w:t xml:space="preserve"> franchisee is required to provide to all its consumers and the licensee, a copy of the detailed computation of the details of the amounts realized from all the individual consumers and the amount paid to the licensee for </w:t>
      </w:r>
      <w:r w:rsidRPr="00201853">
        <w:t>every</w:t>
      </w:r>
      <w:r>
        <w:t xml:space="preserve"> billing cycle </w:t>
      </w:r>
      <w:r w:rsidRPr="00201853">
        <w:t>on half yearly basis</w:t>
      </w:r>
      <w:r>
        <w:t>. If he fails to do so, then the consumers may approach the Consumer Grievance Redressal Forum (CGRF) having jurisdiction over their local area for the redressal of their grievances.</w:t>
      </w:r>
    </w:p>
    <w:p w:rsidR="00D555F2" w:rsidRDefault="00D555F2" w:rsidP="00D555F2">
      <w:pPr>
        <w:ind w:left="720"/>
      </w:pPr>
      <w:r w:rsidRPr="00201853">
        <w:rPr>
          <w:rFonts w:cstheme="minorHAnsi"/>
        </w:rPr>
        <w:t xml:space="preserve">The deemed franchisee shall arrange to get its account(s) audited by a Chartered Accountant mandatorily. The audited accounts will be made available to all the consumers of the deemed franchisee within 3 months of the closure of that </w:t>
      </w:r>
      <w:r w:rsidRPr="00201853">
        <w:rPr>
          <w:rFonts w:cstheme="minorHAnsi"/>
        </w:rPr>
        <w:lastRenderedPageBreak/>
        <w:t>financial year.</w:t>
      </w:r>
      <w:r>
        <w:t xml:space="preserve"> If he fails to do so, then the consumers may approach the Consumer Grievance Redressal Forum (CGRF) having jurisdiction over their local area for the redressal of their grievances.</w:t>
      </w:r>
    </w:p>
    <w:p w:rsidR="00D555F2" w:rsidRPr="00201853" w:rsidRDefault="00D555F2" w:rsidP="00D555F2">
      <w:pPr>
        <w:ind w:left="720"/>
        <w:rPr>
          <w:rFonts w:cstheme="minorHAnsi"/>
        </w:rPr>
      </w:pPr>
      <w:r w:rsidRPr="00201853">
        <w:rPr>
          <w:rFonts w:cstheme="minorHAnsi"/>
        </w:rPr>
        <w:t>The deemed franchisee should separately meter the electricity supplied from back up arrangements like DG sets etc. The bill of its consumers should clearly depict the units and rate of electricity supplied through back up arrangement and electricity supplied through Licensee.</w:t>
      </w:r>
    </w:p>
    <w:p w:rsidR="00D555F2" w:rsidRDefault="00D555F2" w:rsidP="00D555F2">
      <w:pPr>
        <w:ind w:left="720"/>
        <w:rPr>
          <w:rFonts w:cstheme="minorHAnsi"/>
        </w:rPr>
      </w:pPr>
      <w:r w:rsidRPr="00201853">
        <w:rPr>
          <w:rFonts w:cstheme="minorHAnsi"/>
        </w:rPr>
        <w:t>The deemed franchisee shall not disconnect the supply of electricity of its consumers on the pretext of defaults in payments related to other charges except for the electricity dues regarding the electricity consumed by its consumers and electricity charges for lift, water lifting pump, streetlight if any, corridor / campus lighting and other common facilities.</w:t>
      </w:r>
    </w:p>
    <w:p w:rsidR="00D555F2" w:rsidRDefault="00D555F2" w:rsidP="00D555F2">
      <w:pPr>
        <w:ind w:left="720"/>
        <w:contextualSpacing/>
        <w:rPr>
          <w:rFonts w:cstheme="minorHAnsi"/>
          <w:bCs/>
          <w:highlight w:val="yellow"/>
          <w:lang w:val="en-US"/>
        </w:rPr>
      </w:pPr>
    </w:p>
    <w:p w:rsidR="00D555F2" w:rsidRDefault="00D555F2" w:rsidP="00D555F2">
      <w:pPr>
        <w:ind w:left="720"/>
        <w:contextualSpacing/>
        <w:rPr>
          <w:rFonts w:cstheme="minorHAnsi"/>
        </w:rPr>
      </w:pPr>
      <w:r w:rsidRPr="00201853">
        <w:rPr>
          <w:rFonts w:cstheme="minorHAnsi"/>
          <w:bCs/>
          <w:lang w:val="en-US"/>
        </w:rPr>
        <w:t xml:space="preserve">In case the deemed franchisee exceeds the contracted load / demand under </w:t>
      </w:r>
      <w:r w:rsidRPr="00201853">
        <w:rPr>
          <w:rFonts w:cstheme="minorHAnsi"/>
          <w:lang w:val="en-US"/>
        </w:rPr>
        <w:t>the provisions of Clause 7(ii) – ‘Charges for Exceeding Contracted demand’ of the General Provisions of this Rate Schedule</w:t>
      </w:r>
      <w:r w:rsidRPr="00201853">
        <w:rPr>
          <w:rFonts w:cstheme="minorHAnsi"/>
          <w:bCs/>
          <w:lang w:val="en-US"/>
        </w:rPr>
        <w:t>, only in</w:t>
      </w:r>
      <w:r w:rsidRPr="00201853">
        <w:rPr>
          <w:rFonts w:cstheme="minorHAnsi"/>
          <w:lang w:val="en-US"/>
        </w:rPr>
        <w:t xml:space="preserve"> such case the deemed franchisee will recover the same from the individual members who were responsible for it on the basis of their individual excess demands.</w:t>
      </w:r>
    </w:p>
    <w:p w:rsidR="00D555F2" w:rsidRDefault="00D555F2" w:rsidP="00D555F2">
      <w:pPr>
        <w:ind w:left="426"/>
        <w:contextualSpacing/>
        <w:rPr>
          <w:rFonts w:cstheme="minorHAnsi"/>
        </w:rPr>
      </w:pPr>
    </w:p>
    <w:p w:rsidR="00D555F2" w:rsidRDefault="00D555F2" w:rsidP="00D555F2">
      <w:pPr>
        <w:ind w:left="450"/>
        <w:rPr>
          <w:b/>
        </w:rPr>
      </w:pPr>
      <w:r w:rsidRPr="00C60AD1">
        <w:rPr>
          <w:rFonts w:cs="Arial"/>
          <w:b/>
        </w:rPr>
        <w:br w:type="page"/>
      </w:r>
    </w:p>
    <w:p w:rsidR="00D555F2" w:rsidRDefault="00D555F2" w:rsidP="00D555F2">
      <w:pPr>
        <w:ind w:left="450"/>
        <w:jc w:val="center"/>
        <w:rPr>
          <w:rFonts w:cs="Arial"/>
          <w:b/>
          <w:szCs w:val="22"/>
          <w:u w:val="single"/>
        </w:rPr>
      </w:pPr>
      <w:r w:rsidRPr="00C60AD1">
        <w:rPr>
          <w:rFonts w:cs="Arial"/>
          <w:b/>
          <w:szCs w:val="22"/>
          <w:u w:val="single"/>
        </w:rPr>
        <w:lastRenderedPageBreak/>
        <w:t>RATE SCHEDULE HV– 2:</w:t>
      </w:r>
    </w:p>
    <w:p w:rsidR="00D555F2" w:rsidRDefault="00D555F2" w:rsidP="00D555F2">
      <w:pPr>
        <w:spacing w:before="0"/>
        <w:ind w:left="450"/>
        <w:jc w:val="center"/>
        <w:rPr>
          <w:rFonts w:cs="Arial"/>
          <w:b/>
          <w:szCs w:val="22"/>
          <w:u w:val="single"/>
        </w:rPr>
      </w:pPr>
    </w:p>
    <w:p w:rsidR="00D555F2" w:rsidRPr="00C60AD1" w:rsidRDefault="00D555F2" w:rsidP="00D555F2">
      <w:pPr>
        <w:spacing w:before="100" w:beforeAutospacing="1" w:after="100" w:afterAutospacing="1"/>
        <w:ind w:right="29"/>
        <w:jc w:val="center"/>
        <w:rPr>
          <w:rFonts w:cs="Arial"/>
          <w:b/>
        </w:rPr>
      </w:pPr>
      <w:r w:rsidRPr="00C60AD1">
        <w:rPr>
          <w:rFonts w:cs="Arial"/>
          <w:b/>
        </w:rPr>
        <w:t>LARGE AND HEAVY POWER:</w:t>
      </w:r>
    </w:p>
    <w:p w:rsidR="00D555F2" w:rsidRDefault="00D555F2" w:rsidP="00D555F2">
      <w:pPr>
        <w:numPr>
          <w:ilvl w:val="0"/>
          <w:numId w:val="91"/>
        </w:numPr>
        <w:tabs>
          <w:tab w:val="clear" w:pos="720"/>
          <w:tab w:val="left" w:pos="360"/>
        </w:tabs>
        <w:spacing w:before="100" w:beforeAutospacing="1" w:after="100" w:afterAutospacing="1" w:line="288" w:lineRule="auto"/>
        <w:ind w:right="28" w:hanging="720"/>
        <w:rPr>
          <w:rFonts w:cs="Arial"/>
          <w:b/>
        </w:rPr>
      </w:pPr>
      <w:r w:rsidRPr="00C60AD1">
        <w:rPr>
          <w:rFonts w:cs="Arial"/>
          <w:b/>
        </w:rPr>
        <w:t>APPLICABILITY:</w:t>
      </w:r>
    </w:p>
    <w:p w:rsidR="00D555F2" w:rsidRPr="00C60AD1" w:rsidRDefault="00D555F2" w:rsidP="00D555F2">
      <w:pPr>
        <w:tabs>
          <w:tab w:val="left" w:pos="360"/>
        </w:tabs>
        <w:spacing w:before="100" w:after="120"/>
        <w:ind w:left="360" w:right="28"/>
      </w:pPr>
      <w:r w:rsidRPr="00C60AD1">
        <w:t xml:space="preserve">This rate schedule shall apply to all consumers having contracted load above 75 kW (100 BHP) for industrial and / or processing purposes as well as to Arc / induction furnaces, rolling / re-rolling mills, mini-steel plants and floriculture &amp; farming units and to any other HT consumer not covered under any other rate schedule. </w:t>
      </w:r>
    </w:p>
    <w:p w:rsidR="00D555F2" w:rsidRPr="00C60AD1" w:rsidRDefault="00D555F2" w:rsidP="00D555F2">
      <w:pPr>
        <w:tabs>
          <w:tab w:val="left" w:pos="360"/>
        </w:tabs>
        <w:spacing w:before="100" w:after="120"/>
        <w:ind w:left="360" w:right="28"/>
      </w:pPr>
      <w:r w:rsidRPr="00C60AD1">
        <w:t xml:space="preserve">Supply to Induction and Arc furnaces shall be made available only after ensuring that the loads sanctioned are corresponding to the load requirement of tonnage of furnaces. The minimum load of one-ton furnace shall in no case be less than 400 kVA and all loads will be determined on this basis. No supply will be given on loads below this norm. </w:t>
      </w:r>
    </w:p>
    <w:p w:rsidR="00D555F2" w:rsidRPr="00C60AD1" w:rsidRDefault="00D555F2" w:rsidP="00D555F2">
      <w:pPr>
        <w:tabs>
          <w:tab w:val="left" w:pos="360"/>
        </w:tabs>
        <w:spacing w:before="100"/>
        <w:ind w:left="360" w:right="-61"/>
      </w:pPr>
      <w:r w:rsidRPr="00C60AD1">
        <w:t>For all HV-2 consumers, conditions of supply, apart from the rates, as agreed between the Licensee and the consumer shall continue to prevail as long as they are in line with the existing Regulations &amp; Acts.</w:t>
      </w:r>
    </w:p>
    <w:p w:rsidR="00D555F2" w:rsidRPr="00C60AD1" w:rsidRDefault="00D555F2" w:rsidP="00D555F2">
      <w:pPr>
        <w:tabs>
          <w:tab w:val="left" w:pos="360"/>
        </w:tabs>
        <w:spacing w:before="100"/>
        <w:ind w:left="360" w:right="-61"/>
      </w:pPr>
    </w:p>
    <w:p w:rsidR="00D555F2" w:rsidRDefault="00D555F2" w:rsidP="00D555F2">
      <w:pPr>
        <w:numPr>
          <w:ilvl w:val="0"/>
          <w:numId w:val="91"/>
        </w:numPr>
        <w:tabs>
          <w:tab w:val="clear" w:pos="720"/>
        </w:tabs>
        <w:spacing w:before="100" w:after="100" w:line="288" w:lineRule="auto"/>
        <w:ind w:left="360" w:right="28" w:hanging="363"/>
        <w:rPr>
          <w:b/>
        </w:rPr>
      </w:pPr>
      <w:r w:rsidRPr="00C60AD1">
        <w:rPr>
          <w:b/>
        </w:rPr>
        <w:t xml:space="preserve">CHARACTER AND POINT OF SUPPLY: </w:t>
      </w:r>
    </w:p>
    <w:p w:rsidR="00D555F2" w:rsidRPr="00C60AD1" w:rsidRDefault="00D555F2" w:rsidP="00D555F2">
      <w:pPr>
        <w:spacing w:line="240" w:lineRule="auto"/>
        <w:ind w:right="-58" w:firstLine="360"/>
      </w:pPr>
      <w:r w:rsidRPr="00C60AD1">
        <w:t>As per the applicable provisions of Electricity Supply Code.</w:t>
      </w:r>
    </w:p>
    <w:p w:rsidR="00D555F2" w:rsidRPr="00C60AD1" w:rsidRDefault="00D555F2" w:rsidP="00D555F2">
      <w:pPr>
        <w:spacing w:line="240" w:lineRule="auto"/>
        <w:ind w:right="-58" w:firstLine="360"/>
        <w:rPr>
          <w:rFonts w:cs="Arial"/>
        </w:rPr>
      </w:pPr>
    </w:p>
    <w:p w:rsidR="00D555F2" w:rsidRPr="00C60AD1" w:rsidRDefault="00D555F2" w:rsidP="00D555F2">
      <w:pPr>
        <w:pStyle w:val="BodyText"/>
        <w:numPr>
          <w:ilvl w:val="0"/>
          <w:numId w:val="91"/>
        </w:numPr>
        <w:tabs>
          <w:tab w:val="clear" w:pos="720"/>
        </w:tabs>
        <w:spacing w:before="100" w:beforeAutospacing="1" w:after="0" w:line="288" w:lineRule="auto"/>
        <w:ind w:left="360" w:right="29" w:hanging="363"/>
        <w:rPr>
          <w:rFonts w:cs="Arial"/>
          <w:b/>
        </w:rPr>
      </w:pPr>
      <w:r w:rsidRPr="00C60AD1">
        <w:rPr>
          <w:rFonts w:cs="Arial"/>
          <w:b/>
        </w:rPr>
        <w:t>RATE:</w:t>
      </w:r>
    </w:p>
    <w:p w:rsidR="00D555F2" w:rsidRPr="00C60AD1" w:rsidRDefault="00D555F2" w:rsidP="00D555F2">
      <w:pPr>
        <w:ind w:left="360" w:right="29"/>
      </w:pPr>
      <w:r w:rsidRPr="00C60AD1">
        <w:t>Rate, gives the demand and energy charges (including the TOD rates as applicable to the hour of operation) at which the consumer shall be billed for his consumption during the billing period applicable to the category:</w:t>
      </w:r>
    </w:p>
    <w:p w:rsidR="00D555F2" w:rsidRDefault="00D555F2" w:rsidP="00D555F2">
      <w:pPr>
        <w:spacing w:line="240" w:lineRule="auto"/>
        <w:rPr>
          <w:b/>
          <w:bCs/>
        </w:rPr>
      </w:pPr>
      <w:r w:rsidRPr="00C60AD1">
        <w:rPr>
          <w:b/>
          <w:bCs/>
        </w:rPr>
        <w:t>(A)</w:t>
      </w:r>
      <w:r w:rsidRPr="00C60AD1">
        <w:rPr>
          <w:b/>
          <w:bCs/>
        </w:rPr>
        <w:tab/>
        <w:t>Urban Schedule:</w:t>
      </w:r>
    </w:p>
    <w:p w:rsidR="00D555F2" w:rsidRDefault="00D555F2" w:rsidP="00D555F2">
      <w:pPr>
        <w:spacing w:line="240" w:lineRule="auto"/>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8"/>
        <w:gridCol w:w="1491"/>
        <w:gridCol w:w="1640"/>
        <w:gridCol w:w="1939"/>
        <w:gridCol w:w="1937"/>
      </w:tblGrid>
      <w:tr w:rsidR="00D555F2" w:rsidRPr="00C60AD1" w:rsidTr="00BB5A5A">
        <w:trPr>
          <w:trHeight w:val="710"/>
          <w:tblHeader/>
        </w:trPr>
        <w:tc>
          <w:tcPr>
            <w:tcW w:w="1057" w:type="pct"/>
            <w:shd w:val="clear" w:color="auto" w:fill="DBE5F1" w:themeFill="accent1" w:themeFillTint="33"/>
          </w:tcPr>
          <w:p w:rsidR="00D555F2" w:rsidRPr="00C60AD1" w:rsidRDefault="00D555F2" w:rsidP="00BB5A5A">
            <w:pPr>
              <w:spacing w:line="240" w:lineRule="auto"/>
              <w:ind w:right="-105"/>
              <w:jc w:val="center"/>
              <w:rPr>
                <w:b/>
                <w:bCs/>
              </w:rPr>
            </w:pPr>
          </w:p>
        </w:tc>
        <w:tc>
          <w:tcPr>
            <w:tcW w:w="839" w:type="pct"/>
            <w:shd w:val="clear" w:color="auto" w:fill="DBE5F1" w:themeFill="accent1" w:themeFillTint="33"/>
          </w:tcPr>
          <w:p w:rsidR="00D555F2" w:rsidRPr="006D380A" w:rsidRDefault="00D555F2" w:rsidP="00BB5A5A">
            <w:pPr>
              <w:spacing w:line="240" w:lineRule="auto"/>
              <w:ind w:right="-105"/>
              <w:jc w:val="center"/>
              <w:rPr>
                <w:b/>
                <w:bCs/>
                <w:highlight w:val="yellow"/>
              </w:rPr>
            </w:pPr>
            <w:r w:rsidRPr="00201853">
              <w:rPr>
                <w:rFonts w:cs="Arial"/>
                <w:b/>
                <w:bCs/>
              </w:rPr>
              <w:t>For supply up to and including 11 kV</w:t>
            </w:r>
          </w:p>
        </w:tc>
        <w:tc>
          <w:tcPr>
            <w:tcW w:w="923" w:type="pct"/>
            <w:shd w:val="clear" w:color="auto" w:fill="DBE5F1" w:themeFill="accent1" w:themeFillTint="33"/>
          </w:tcPr>
          <w:p w:rsidR="00D555F2" w:rsidRPr="00C60AD1" w:rsidRDefault="00D555F2" w:rsidP="00BB5A5A">
            <w:pPr>
              <w:spacing w:line="240" w:lineRule="auto"/>
              <w:ind w:right="72"/>
              <w:jc w:val="center"/>
              <w:rPr>
                <w:b/>
                <w:bCs/>
              </w:rPr>
            </w:pPr>
            <w:r w:rsidRPr="00C60AD1">
              <w:rPr>
                <w:rFonts w:cs="Arial"/>
                <w:b/>
                <w:bCs/>
              </w:rPr>
              <w:t>For supply above 11 kV and up to &amp; including 66 kV</w:t>
            </w:r>
          </w:p>
        </w:tc>
        <w:tc>
          <w:tcPr>
            <w:tcW w:w="1091" w:type="pct"/>
            <w:shd w:val="clear" w:color="auto" w:fill="DBE5F1" w:themeFill="accent1" w:themeFillTint="33"/>
          </w:tcPr>
          <w:p w:rsidR="00D555F2" w:rsidRPr="00C60AD1" w:rsidRDefault="00D555F2" w:rsidP="00BB5A5A">
            <w:pPr>
              <w:spacing w:line="240" w:lineRule="auto"/>
              <w:ind w:right="72"/>
              <w:jc w:val="center"/>
              <w:rPr>
                <w:b/>
                <w:bCs/>
              </w:rPr>
            </w:pPr>
            <w:r w:rsidRPr="00C60AD1">
              <w:rPr>
                <w:rFonts w:cs="Arial"/>
                <w:b/>
                <w:bCs/>
              </w:rPr>
              <w:t>For supply above 66 kV and up to &amp; including 132 kV</w:t>
            </w:r>
          </w:p>
        </w:tc>
        <w:tc>
          <w:tcPr>
            <w:tcW w:w="1090" w:type="pct"/>
            <w:shd w:val="clear" w:color="auto" w:fill="DBE5F1" w:themeFill="accent1" w:themeFillTint="33"/>
          </w:tcPr>
          <w:p w:rsidR="00D555F2" w:rsidRPr="00C60AD1" w:rsidRDefault="00D555F2" w:rsidP="00BB5A5A">
            <w:pPr>
              <w:spacing w:line="240" w:lineRule="auto"/>
              <w:ind w:right="72"/>
              <w:jc w:val="center"/>
              <w:rPr>
                <w:rFonts w:cs="Arial"/>
                <w:b/>
                <w:bCs/>
              </w:rPr>
            </w:pPr>
            <w:r w:rsidRPr="00C60AD1">
              <w:rPr>
                <w:rFonts w:cs="Arial"/>
                <w:b/>
                <w:bCs/>
              </w:rPr>
              <w:t xml:space="preserve">For supply above 132 kV </w:t>
            </w:r>
          </w:p>
        </w:tc>
      </w:tr>
      <w:tr w:rsidR="00D555F2" w:rsidRPr="00C60AD1" w:rsidTr="00BB5A5A">
        <w:tc>
          <w:tcPr>
            <w:tcW w:w="3910" w:type="pct"/>
            <w:gridSpan w:val="4"/>
          </w:tcPr>
          <w:p w:rsidR="00D555F2" w:rsidRPr="00C60AD1" w:rsidRDefault="00D555F2" w:rsidP="00BB5A5A">
            <w:pPr>
              <w:spacing w:line="240" w:lineRule="auto"/>
              <w:ind w:right="-105"/>
              <w:rPr>
                <w:rFonts w:cs="Arial"/>
                <w:b/>
                <w:bCs/>
              </w:rPr>
            </w:pPr>
            <w:r w:rsidRPr="00C60AD1">
              <w:rPr>
                <w:b/>
                <w:bCs/>
              </w:rPr>
              <w:lastRenderedPageBreak/>
              <w:t>BASE RATE</w:t>
            </w:r>
          </w:p>
        </w:tc>
        <w:tc>
          <w:tcPr>
            <w:tcW w:w="1090" w:type="pct"/>
          </w:tcPr>
          <w:p w:rsidR="00D555F2" w:rsidRPr="00C60AD1" w:rsidRDefault="00D555F2" w:rsidP="00BB5A5A">
            <w:pPr>
              <w:tabs>
                <w:tab w:val="left" w:pos="720"/>
              </w:tabs>
              <w:spacing w:line="240" w:lineRule="auto"/>
              <w:ind w:left="936" w:right="-105"/>
              <w:outlineLvl w:val="2"/>
              <w:rPr>
                <w:rFonts w:cs="Arial"/>
                <w:b/>
                <w:bCs/>
                <w:szCs w:val="26"/>
              </w:rPr>
            </w:pPr>
          </w:p>
        </w:tc>
      </w:tr>
      <w:tr w:rsidR="00D555F2" w:rsidRPr="00C60AD1" w:rsidTr="00BB5A5A">
        <w:tc>
          <w:tcPr>
            <w:tcW w:w="1057" w:type="pct"/>
          </w:tcPr>
          <w:p w:rsidR="00D555F2" w:rsidRPr="00C60AD1" w:rsidRDefault="00D555F2" w:rsidP="00BB5A5A">
            <w:pPr>
              <w:spacing w:line="240" w:lineRule="auto"/>
              <w:ind w:right="-105"/>
            </w:pPr>
            <w:r w:rsidRPr="00C60AD1">
              <w:t xml:space="preserve">Demand Charges </w:t>
            </w:r>
          </w:p>
        </w:tc>
        <w:tc>
          <w:tcPr>
            <w:tcW w:w="839" w:type="pct"/>
          </w:tcPr>
          <w:p w:rsidR="00D555F2" w:rsidRPr="00C60AD1" w:rsidRDefault="00D555F2" w:rsidP="00BB5A5A">
            <w:pPr>
              <w:spacing w:line="240" w:lineRule="auto"/>
              <w:ind w:right="-105"/>
              <w:jc w:val="center"/>
            </w:pPr>
            <w:r w:rsidRPr="00C60AD1">
              <w:rPr>
                <w:rFonts w:cs="Arial"/>
              </w:rPr>
              <w:t>Rs. 2</w:t>
            </w:r>
            <w:r w:rsidRPr="00C60AD1">
              <w:t>50.00</w:t>
            </w:r>
            <w:r w:rsidRPr="00C60AD1">
              <w:rPr>
                <w:rFonts w:cs="Arial"/>
              </w:rPr>
              <w:t xml:space="preserve"> / kVA / month</w:t>
            </w:r>
          </w:p>
        </w:tc>
        <w:tc>
          <w:tcPr>
            <w:tcW w:w="923" w:type="pct"/>
          </w:tcPr>
          <w:p w:rsidR="00D555F2" w:rsidRPr="00C60AD1" w:rsidRDefault="00D555F2" w:rsidP="00BB5A5A">
            <w:pPr>
              <w:spacing w:line="240" w:lineRule="auto"/>
              <w:ind w:right="-105"/>
              <w:jc w:val="center"/>
            </w:pPr>
            <w:r w:rsidRPr="00C60AD1">
              <w:rPr>
                <w:rFonts w:cs="Arial"/>
              </w:rPr>
              <w:t>Rs. 240.00 / kVA / month</w:t>
            </w:r>
          </w:p>
        </w:tc>
        <w:tc>
          <w:tcPr>
            <w:tcW w:w="1091" w:type="pct"/>
          </w:tcPr>
          <w:p w:rsidR="00D555F2" w:rsidRPr="00C60AD1" w:rsidRDefault="00D555F2" w:rsidP="00BB5A5A">
            <w:pPr>
              <w:spacing w:line="240" w:lineRule="auto"/>
              <w:ind w:right="-105"/>
              <w:jc w:val="center"/>
            </w:pPr>
            <w:r w:rsidRPr="00C60AD1">
              <w:rPr>
                <w:rFonts w:cs="Arial"/>
              </w:rPr>
              <w:t>Rs. 220.00 / kVA / month</w:t>
            </w:r>
          </w:p>
        </w:tc>
        <w:tc>
          <w:tcPr>
            <w:tcW w:w="1090" w:type="pct"/>
          </w:tcPr>
          <w:p w:rsidR="00D555F2" w:rsidRPr="00C60AD1" w:rsidRDefault="00D555F2" w:rsidP="00BB5A5A">
            <w:pPr>
              <w:spacing w:line="240" w:lineRule="auto"/>
              <w:ind w:right="-105"/>
              <w:jc w:val="center"/>
            </w:pPr>
            <w:r w:rsidRPr="00C60AD1">
              <w:rPr>
                <w:rFonts w:cs="Arial"/>
              </w:rPr>
              <w:t>Rs. 220.00 / kVA / month</w:t>
            </w:r>
          </w:p>
        </w:tc>
      </w:tr>
      <w:tr w:rsidR="00D555F2" w:rsidRPr="00C60AD1" w:rsidTr="00BB5A5A">
        <w:tc>
          <w:tcPr>
            <w:tcW w:w="1057" w:type="pct"/>
          </w:tcPr>
          <w:p w:rsidR="00D555F2" w:rsidRPr="00C60AD1" w:rsidRDefault="00D555F2" w:rsidP="00BB5A5A">
            <w:pPr>
              <w:spacing w:line="240" w:lineRule="auto"/>
              <w:ind w:right="-105"/>
            </w:pPr>
            <w:r w:rsidRPr="00C60AD1">
              <w:t xml:space="preserve">Energy Charges </w:t>
            </w:r>
          </w:p>
        </w:tc>
        <w:tc>
          <w:tcPr>
            <w:tcW w:w="839" w:type="pct"/>
          </w:tcPr>
          <w:p w:rsidR="00D555F2" w:rsidRPr="00C60AD1" w:rsidRDefault="00D555F2" w:rsidP="00BB5A5A">
            <w:pPr>
              <w:spacing w:line="240" w:lineRule="auto"/>
              <w:ind w:right="-105"/>
              <w:jc w:val="center"/>
            </w:pPr>
            <w:r w:rsidRPr="00C60AD1">
              <w:rPr>
                <w:rFonts w:cs="Arial"/>
              </w:rPr>
              <w:t>Rs. 6.65 / kVAh</w:t>
            </w:r>
          </w:p>
        </w:tc>
        <w:tc>
          <w:tcPr>
            <w:tcW w:w="923" w:type="pct"/>
          </w:tcPr>
          <w:p w:rsidR="00D555F2" w:rsidRPr="00C60AD1" w:rsidRDefault="00D555F2" w:rsidP="00BB5A5A">
            <w:pPr>
              <w:spacing w:line="240" w:lineRule="auto"/>
              <w:ind w:right="-105"/>
              <w:jc w:val="center"/>
            </w:pPr>
            <w:r w:rsidRPr="00C60AD1">
              <w:rPr>
                <w:rFonts w:cs="Arial"/>
              </w:rPr>
              <w:t>Rs. 6.35 / kVAh</w:t>
            </w:r>
          </w:p>
        </w:tc>
        <w:tc>
          <w:tcPr>
            <w:tcW w:w="1091" w:type="pct"/>
          </w:tcPr>
          <w:p w:rsidR="00D555F2" w:rsidRPr="00C60AD1" w:rsidRDefault="00D555F2" w:rsidP="00BB5A5A">
            <w:pPr>
              <w:spacing w:line="240" w:lineRule="auto"/>
              <w:ind w:right="-105"/>
              <w:jc w:val="center"/>
            </w:pPr>
            <w:r w:rsidRPr="00C60AD1">
              <w:rPr>
                <w:rFonts w:cs="Arial"/>
              </w:rPr>
              <w:t xml:space="preserve">Rs. </w:t>
            </w:r>
            <w:r w:rsidRPr="00C60AD1">
              <w:t>6.15</w:t>
            </w:r>
            <w:r w:rsidRPr="00C60AD1">
              <w:rPr>
                <w:rFonts w:cs="Arial"/>
              </w:rPr>
              <w:t xml:space="preserve"> / kVAh</w:t>
            </w:r>
          </w:p>
        </w:tc>
        <w:tc>
          <w:tcPr>
            <w:tcW w:w="1090" w:type="pct"/>
          </w:tcPr>
          <w:p w:rsidR="00D555F2" w:rsidRPr="00C60AD1" w:rsidRDefault="00D555F2" w:rsidP="00BB5A5A">
            <w:pPr>
              <w:spacing w:line="240" w:lineRule="auto"/>
              <w:ind w:right="-105"/>
              <w:jc w:val="center"/>
            </w:pPr>
            <w:r w:rsidRPr="00C60AD1">
              <w:rPr>
                <w:rFonts w:cs="Arial"/>
              </w:rPr>
              <w:t xml:space="preserve">Rs. </w:t>
            </w:r>
            <w:r w:rsidRPr="00C60AD1">
              <w:t>5</w:t>
            </w:r>
            <w:r w:rsidRPr="00C60AD1">
              <w:rPr>
                <w:rFonts w:cs="Arial"/>
              </w:rPr>
              <w:t>.95 / kVAh</w:t>
            </w:r>
          </w:p>
        </w:tc>
      </w:tr>
      <w:tr w:rsidR="00D555F2" w:rsidRPr="00C60AD1" w:rsidTr="00BB5A5A">
        <w:tc>
          <w:tcPr>
            <w:tcW w:w="5000" w:type="pct"/>
            <w:gridSpan w:val="5"/>
          </w:tcPr>
          <w:p w:rsidR="00D555F2" w:rsidRDefault="00D555F2" w:rsidP="00BB5A5A">
            <w:pPr>
              <w:spacing w:line="240" w:lineRule="auto"/>
              <w:ind w:right="-105"/>
              <w:rPr>
                <w:rFonts w:cs="Arial"/>
                <w:sz w:val="18"/>
                <w:szCs w:val="18"/>
              </w:rPr>
            </w:pPr>
            <w:r w:rsidRPr="00C60AD1">
              <w:rPr>
                <w:b/>
                <w:bCs/>
              </w:rPr>
              <w:t xml:space="preserve">TOD RATE </w:t>
            </w:r>
          </w:p>
        </w:tc>
      </w:tr>
      <w:tr w:rsidR="00D555F2" w:rsidRPr="00C60AD1" w:rsidTr="00BB5A5A">
        <w:tc>
          <w:tcPr>
            <w:tcW w:w="1057" w:type="pct"/>
          </w:tcPr>
          <w:p w:rsidR="00D555F2" w:rsidRPr="00C60AD1" w:rsidRDefault="00D555F2" w:rsidP="00BB5A5A">
            <w:pPr>
              <w:spacing w:line="240" w:lineRule="auto"/>
              <w:ind w:right="-105"/>
            </w:pPr>
            <w:r>
              <w:rPr>
                <w:rFonts w:cs="Arial"/>
                <w:bCs/>
              </w:rPr>
              <w:t xml:space="preserve">*22:00 hrs </w:t>
            </w:r>
            <w:r w:rsidRPr="00C60AD1">
              <w:rPr>
                <w:rFonts w:cs="Arial"/>
                <w:bCs/>
              </w:rPr>
              <w:t>– 06:00 hrs</w:t>
            </w:r>
          </w:p>
        </w:tc>
        <w:tc>
          <w:tcPr>
            <w:tcW w:w="839" w:type="pct"/>
          </w:tcPr>
          <w:p w:rsidR="00D555F2" w:rsidRPr="00C60AD1" w:rsidRDefault="00D555F2" w:rsidP="00BB5A5A">
            <w:pPr>
              <w:spacing w:line="240" w:lineRule="auto"/>
              <w:ind w:right="-105"/>
              <w:jc w:val="center"/>
              <w:rPr>
                <w:rFonts w:cs="Arial"/>
              </w:rPr>
            </w:pPr>
            <w:r w:rsidRPr="00C60AD1">
              <w:rPr>
                <w:rFonts w:cs="Arial"/>
                <w:bCs/>
              </w:rPr>
              <w:t>(-) 7.5%</w:t>
            </w:r>
          </w:p>
        </w:tc>
        <w:tc>
          <w:tcPr>
            <w:tcW w:w="923" w:type="pct"/>
          </w:tcPr>
          <w:p w:rsidR="00D555F2" w:rsidRPr="00C60AD1" w:rsidRDefault="00D555F2" w:rsidP="00BB5A5A">
            <w:pPr>
              <w:spacing w:line="240" w:lineRule="auto"/>
              <w:ind w:right="-105"/>
              <w:jc w:val="center"/>
              <w:rPr>
                <w:rFonts w:cs="Arial"/>
              </w:rPr>
            </w:pPr>
            <w:r w:rsidRPr="00C60AD1">
              <w:rPr>
                <w:rFonts w:cs="Arial"/>
                <w:bCs/>
              </w:rPr>
              <w:t>(-) 7.5%</w:t>
            </w:r>
          </w:p>
        </w:tc>
        <w:tc>
          <w:tcPr>
            <w:tcW w:w="1091" w:type="pct"/>
          </w:tcPr>
          <w:p w:rsidR="00D555F2" w:rsidRPr="00C60AD1" w:rsidRDefault="00D555F2" w:rsidP="00BB5A5A">
            <w:pPr>
              <w:spacing w:line="240" w:lineRule="auto"/>
              <w:ind w:right="-105"/>
              <w:jc w:val="center"/>
              <w:rPr>
                <w:rFonts w:cs="Arial"/>
              </w:rPr>
            </w:pPr>
            <w:r w:rsidRPr="00C60AD1">
              <w:rPr>
                <w:rFonts w:cs="Arial"/>
                <w:bCs/>
              </w:rPr>
              <w:t>(-) 7.5%</w:t>
            </w:r>
          </w:p>
        </w:tc>
        <w:tc>
          <w:tcPr>
            <w:tcW w:w="1090" w:type="pct"/>
          </w:tcPr>
          <w:p w:rsidR="00D555F2" w:rsidRPr="00C60AD1" w:rsidRDefault="00D555F2" w:rsidP="00BB5A5A">
            <w:pPr>
              <w:spacing w:line="240" w:lineRule="auto"/>
              <w:ind w:right="-105"/>
              <w:jc w:val="center"/>
              <w:rPr>
                <w:rFonts w:cs="Arial"/>
              </w:rPr>
            </w:pPr>
            <w:r w:rsidRPr="00C60AD1">
              <w:rPr>
                <w:rFonts w:cs="Arial"/>
                <w:bCs/>
              </w:rPr>
              <w:t>(-) 7.5%</w:t>
            </w:r>
          </w:p>
        </w:tc>
      </w:tr>
      <w:tr w:rsidR="00D555F2" w:rsidRPr="00C60AD1" w:rsidTr="00BB5A5A">
        <w:tc>
          <w:tcPr>
            <w:tcW w:w="1057" w:type="pct"/>
          </w:tcPr>
          <w:p w:rsidR="00D555F2" w:rsidRPr="00C60AD1" w:rsidRDefault="00D555F2" w:rsidP="00BB5A5A">
            <w:pPr>
              <w:spacing w:line="240" w:lineRule="auto"/>
              <w:ind w:right="-105"/>
            </w:pPr>
            <w:r w:rsidRPr="00C60AD1">
              <w:rPr>
                <w:rFonts w:cs="Arial"/>
                <w:bCs/>
              </w:rPr>
              <w:t>06:00 hrs – 17:00 hrs</w:t>
            </w:r>
          </w:p>
        </w:tc>
        <w:tc>
          <w:tcPr>
            <w:tcW w:w="839" w:type="pct"/>
          </w:tcPr>
          <w:p w:rsidR="00D555F2" w:rsidRPr="00C60AD1" w:rsidRDefault="00D555F2" w:rsidP="00BB5A5A">
            <w:pPr>
              <w:spacing w:line="240" w:lineRule="auto"/>
              <w:ind w:right="-105"/>
              <w:jc w:val="center"/>
              <w:rPr>
                <w:rFonts w:cs="Arial"/>
              </w:rPr>
            </w:pPr>
            <w:r w:rsidRPr="00C60AD1">
              <w:rPr>
                <w:rFonts w:cs="Arial"/>
                <w:bCs/>
              </w:rPr>
              <w:t>0%</w:t>
            </w:r>
          </w:p>
        </w:tc>
        <w:tc>
          <w:tcPr>
            <w:tcW w:w="923" w:type="pct"/>
          </w:tcPr>
          <w:p w:rsidR="00D555F2" w:rsidRPr="00C60AD1" w:rsidRDefault="00D555F2" w:rsidP="00BB5A5A">
            <w:pPr>
              <w:spacing w:line="240" w:lineRule="auto"/>
              <w:ind w:right="-105"/>
              <w:jc w:val="center"/>
              <w:rPr>
                <w:rFonts w:cs="Arial"/>
              </w:rPr>
            </w:pPr>
            <w:r w:rsidRPr="00C60AD1">
              <w:rPr>
                <w:rFonts w:cs="Arial"/>
                <w:bCs/>
              </w:rPr>
              <w:t>0%</w:t>
            </w:r>
          </w:p>
        </w:tc>
        <w:tc>
          <w:tcPr>
            <w:tcW w:w="1091" w:type="pct"/>
          </w:tcPr>
          <w:p w:rsidR="00D555F2" w:rsidRPr="00C60AD1" w:rsidRDefault="00D555F2" w:rsidP="00BB5A5A">
            <w:pPr>
              <w:spacing w:line="240" w:lineRule="auto"/>
              <w:ind w:right="-105"/>
              <w:jc w:val="center"/>
              <w:rPr>
                <w:rFonts w:cs="Arial"/>
              </w:rPr>
            </w:pPr>
            <w:r w:rsidRPr="00C60AD1">
              <w:rPr>
                <w:rFonts w:cs="Arial"/>
                <w:bCs/>
              </w:rPr>
              <w:t>0%</w:t>
            </w:r>
          </w:p>
        </w:tc>
        <w:tc>
          <w:tcPr>
            <w:tcW w:w="1090" w:type="pct"/>
          </w:tcPr>
          <w:p w:rsidR="00D555F2" w:rsidRPr="00C60AD1" w:rsidRDefault="00D555F2" w:rsidP="00BB5A5A">
            <w:pPr>
              <w:spacing w:line="240" w:lineRule="auto"/>
              <w:ind w:right="-105"/>
              <w:jc w:val="center"/>
              <w:rPr>
                <w:rFonts w:cs="Arial"/>
              </w:rPr>
            </w:pPr>
            <w:r w:rsidRPr="00C60AD1">
              <w:rPr>
                <w:rFonts w:cs="Arial"/>
                <w:bCs/>
              </w:rPr>
              <w:t>0%</w:t>
            </w:r>
          </w:p>
        </w:tc>
      </w:tr>
      <w:tr w:rsidR="00D555F2" w:rsidRPr="00C60AD1" w:rsidTr="00BB5A5A">
        <w:tc>
          <w:tcPr>
            <w:tcW w:w="1057" w:type="pct"/>
          </w:tcPr>
          <w:p w:rsidR="00D555F2" w:rsidRPr="00C60AD1" w:rsidRDefault="00D555F2" w:rsidP="00BB5A5A">
            <w:pPr>
              <w:spacing w:line="240" w:lineRule="auto"/>
              <w:ind w:right="-105"/>
            </w:pPr>
            <w:r w:rsidRPr="00C60AD1">
              <w:rPr>
                <w:rFonts w:cs="Arial"/>
                <w:bCs/>
              </w:rPr>
              <w:t>17:00 hrs – 22:00 hrs</w:t>
            </w:r>
          </w:p>
        </w:tc>
        <w:tc>
          <w:tcPr>
            <w:tcW w:w="839" w:type="pct"/>
          </w:tcPr>
          <w:p w:rsidR="00D555F2" w:rsidRPr="00C60AD1" w:rsidRDefault="00D555F2" w:rsidP="00BB5A5A">
            <w:pPr>
              <w:spacing w:line="240" w:lineRule="auto"/>
              <w:ind w:right="-105"/>
              <w:jc w:val="center"/>
              <w:rPr>
                <w:rFonts w:cs="Arial"/>
              </w:rPr>
            </w:pPr>
            <w:r w:rsidRPr="00C60AD1">
              <w:rPr>
                <w:rFonts w:cs="Arial"/>
                <w:bCs/>
              </w:rPr>
              <w:t>(+) 15%</w:t>
            </w:r>
          </w:p>
        </w:tc>
        <w:tc>
          <w:tcPr>
            <w:tcW w:w="923" w:type="pct"/>
          </w:tcPr>
          <w:p w:rsidR="00D555F2" w:rsidRPr="00C60AD1" w:rsidRDefault="00D555F2" w:rsidP="00BB5A5A">
            <w:pPr>
              <w:spacing w:line="240" w:lineRule="auto"/>
              <w:ind w:right="-105"/>
              <w:jc w:val="center"/>
              <w:rPr>
                <w:rFonts w:cs="Arial"/>
              </w:rPr>
            </w:pPr>
            <w:r w:rsidRPr="00C60AD1">
              <w:rPr>
                <w:rFonts w:cs="Arial"/>
                <w:bCs/>
              </w:rPr>
              <w:t>(+) 15%</w:t>
            </w:r>
          </w:p>
        </w:tc>
        <w:tc>
          <w:tcPr>
            <w:tcW w:w="1091" w:type="pct"/>
          </w:tcPr>
          <w:p w:rsidR="00D555F2" w:rsidRPr="00C60AD1" w:rsidRDefault="00D555F2" w:rsidP="00BB5A5A">
            <w:pPr>
              <w:spacing w:line="240" w:lineRule="auto"/>
              <w:ind w:right="-105"/>
              <w:jc w:val="center"/>
              <w:rPr>
                <w:rFonts w:cs="Arial"/>
              </w:rPr>
            </w:pPr>
            <w:r w:rsidRPr="00C60AD1">
              <w:rPr>
                <w:rFonts w:cs="Arial"/>
                <w:bCs/>
              </w:rPr>
              <w:t>(+) 15%</w:t>
            </w:r>
          </w:p>
        </w:tc>
        <w:tc>
          <w:tcPr>
            <w:tcW w:w="1090" w:type="pct"/>
          </w:tcPr>
          <w:p w:rsidR="00D555F2" w:rsidRPr="00C60AD1" w:rsidRDefault="00D555F2" w:rsidP="00BB5A5A">
            <w:pPr>
              <w:spacing w:line="240" w:lineRule="auto"/>
              <w:ind w:right="-105"/>
              <w:jc w:val="center"/>
              <w:rPr>
                <w:rFonts w:cs="Arial"/>
              </w:rPr>
            </w:pPr>
            <w:r w:rsidRPr="00C60AD1">
              <w:rPr>
                <w:rFonts w:cs="Arial"/>
                <w:bCs/>
              </w:rPr>
              <w:t>(+) 15%</w:t>
            </w:r>
          </w:p>
        </w:tc>
      </w:tr>
    </w:tbl>
    <w:p w:rsidR="00D555F2" w:rsidRDefault="00D555F2" w:rsidP="00D555F2"/>
    <w:p w:rsidR="00D555F2" w:rsidRDefault="00D555F2" w:rsidP="00D555F2">
      <w:pPr>
        <w:ind w:left="720"/>
      </w:pPr>
      <w:r w:rsidRPr="00201853">
        <w:t>*Note: The T</w:t>
      </w:r>
      <w:r>
        <w:t>O</w:t>
      </w:r>
      <w:r w:rsidRPr="00201853">
        <w:t>D rate applicable to the Induction Furnaces / Arc Furnaces, Rolling / Re-Rolling Mill industrial consumers will be (-) 20% in place of (-) 7.5% for 22:00 hrs-06:00 hrs. time period.</w:t>
      </w:r>
    </w:p>
    <w:p w:rsidR="00D555F2" w:rsidRDefault="00D555F2" w:rsidP="00D555F2"/>
    <w:p w:rsidR="00D555F2" w:rsidRPr="00C60AD1" w:rsidRDefault="00D555F2" w:rsidP="00D555F2">
      <w:pPr>
        <w:rPr>
          <w:rFonts w:cs="Calibri"/>
          <w:u w:val="single"/>
        </w:rPr>
      </w:pPr>
      <w:r>
        <w:rPr>
          <w:rFonts w:cs="Calibri"/>
          <w:u w:val="single"/>
        </w:rPr>
        <w:t>Optional To</w:t>
      </w:r>
      <w:r w:rsidRPr="00C60AD1">
        <w:rPr>
          <w:rFonts w:cs="Calibri"/>
          <w:u w:val="single"/>
        </w:rPr>
        <w:t>D Structure</w:t>
      </w:r>
    </w:p>
    <w:p w:rsidR="00D555F2" w:rsidRPr="00C60AD1" w:rsidRDefault="00D555F2" w:rsidP="00D555F2">
      <w:pPr>
        <w:ind w:left="720"/>
        <w:rPr>
          <w:rFonts w:cs="Calibri"/>
        </w:rPr>
      </w:pPr>
      <w:r w:rsidRPr="00C60AD1">
        <w:rPr>
          <w:rFonts w:cs="Calibri"/>
        </w:rPr>
        <w:t>For all such consumers who want to operate at full potential only during the specified night hours with restricted consumption in remaining hours may opt for the new TOD structure as follows:</w:t>
      </w:r>
    </w:p>
    <w:p w:rsidR="00D555F2" w:rsidRPr="00C60AD1" w:rsidRDefault="00D555F2" w:rsidP="00D555F2">
      <w:pPr>
        <w:ind w:left="720"/>
        <w:rPr>
          <w:rFonts w:cs="Calibri"/>
        </w:rPr>
      </w:pPr>
      <w:r w:rsidRPr="00C60AD1">
        <w:rPr>
          <w:rFonts w:cs="Calibri"/>
        </w:rPr>
        <w:t>For all such consumers who opt for this structure, the rebate can be availed between 22.00 hrs to 06.00 hrs specifically by such consumers operating at its full potential during this period and for such consumers the load during other hours i.e. 06:00 to 22:00 hours, shall be restricted to 15% of its contracted load. The TOD structure for such consumers is as given below:</w:t>
      </w:r>
    </w:p>
    <w:p w:rsidR="00D555F2" w:rsidRPr="00C60AD1" w:rsidRDefault="00D555F2" w:rsidP="00D555F2">
      <w:pPr>
        <w:jc w:val="center"/>
        <w:rPr>
          <w:rFonts w:cs="Calibri"/>
        </w:rPr>
      </w:pPr>
      <w:r w:rsidRPr="00C60AD1">
        <w:rPr>
          <w:rFonts w:cs="Calibri"/>
          <w:b/>
        </w:rPr>
        <w:t>Optional TOD Structure for Specific Consumers</w:t>
      </w:r>
    </w:p>
    <w:tbl>
      <w:tblPr>
        <w:tblW w:w="484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14"/>
        <w:gridCol w:w="4387"/>
      </w:tblGrid>
      <w:tr w:rsidR="00D555F2" w:rsidRPr="00C60AD1" w:rsidTr="00BB5A5A">
        <w:trPr>
          <w:trHeight w:val="189"/>
          <w:tblHeader/>
        </w:trPr>
        <w:tc>
          <w:tcPr>
            <w:tcW w:w="2450" w:type="pct"/>
            <w:shd w:val="clear" w:color="auto" w:fill="DBE5F1" w:themeFill="accent1" w:themeFillTint="33"/>
            <w:tcMar>
              <w:top w:w="17" w:type="dxa"/>
              <w:left w:w="108" w:type="dxa"/>
              <w:bottom w:w="0" w:type="dxa"/>
              <w:right w:w="108" w:type="dxa"/>
            </w:tcMar>
            <w:vAlign w:val="center"/>
            <w:hideMark/>
          </w:tcPr>
          <w:p w:rsidR="00D555F2" w:rsidRPr="00C60AD1" w:rsidRDefault="00D555F2" w:rsidP="00BB5A5A">
            <w:pPr>
              <w:spacing w:line="240" w:lineRule="auto"/>
              <w:jc w:val="center"/>
              <w:rPr>
                <w:rFonts w:cs="Calibri"/>
              </w:rPr>
            </w:pPr>
            <w:r w:rsidRPr="00C60AD1">
              <w:rPr>
                <w:rFonts w:cs="Calibri"/>
                <w:b/>
                <w:bCs/>
              </w:rPr>
              <w:t>Hours</w:t>
            </w:r>
          </w:p>
        </w:tc>
        <w:tc>
          <w:tcPr>
            <w:tcW w:w="2550" w:type="pct"/>
            <w:shd w:val="clear" w:color="auto" w:fill="DBE5F1" w:themeFill="accent1" w:themeFillTint="33"/>
            <w:tcMar>
              <w:top w:w="17" w:type="dxa"/>
              <w:left w:w="108" w:type="dxa"/>
              <w:bottom w:w="0" w:type="dxa"/>
              <w:right w:w="108" w:type="dxa"/>
            </w:tcMar>
            <w:vAlign w:val="center"/>
            <w:hideMark/>
          </w:tcPr>
          <w:p w:rsidR="00D555F2" w:rsidRPr="00C60AD1" w:rsidRDefault="00D555F2" w:rsidP="00BB5A5A">
            <w:pPr>
              <w:spacing w:line="240" w:lineRule="auto"/>
              <w:jc w:val="center"/>
              <w:rPr>
                <w:rFonts w:cs="Calibri"/>
              </w:rPr>
            </w:pPr>
            <w:r w:rsidRPr="00C60AD1">
              <w:rPr>
                <w:rFonts w:cs="Calibri"/>
                <w:b/>
                <w:bCs/>
              </w:rPr>
              <w:t>TOD Rates</w:t>
            </w:r>
          </w:p>
        </w:tc>
      </w:tr>
      <w:tr w:rsidR="00D555F2" w:rsidRPr="00C60AD1" w:rsidTr="00BB5A5A">
        <w:trPr>
          <w:trHeight w:val="354"/>
        </w:trPr>
        <w:tc>
          <w:tcPr>
            <w:tcW w:w="2450" w:type="pct"/>
            <w:shd w:val="clear" w:color="auto" w:fill="auto"/>
            <w:tcMar>
              <w:top w:w="17" w:type="dxa"/>
              <w:left w:w="108" w:type="dxa"/>
              <w:bottom w:w="0" w:type="dxa"/>
              <w:right w:w="108" w:type="dxa"/>
            </w:tcMar>
            <w:vAlign w:val="center"/>
            <w:hideMark/>
          </w:tcPr>
          <w:p w:rsidR="00D555F2" w:rsidRPr="00C60AD1" w:rsidRDefault="00D555F2" w:rsidP="00BB5A5A">
            <w:pPr>
              <w:spacing w:line="240" w:lineRule="auto"/>
              <w:rPr>
                <w:rFonts w:cs="Calibri"/>
              </w:rPr>
            </w:pPr>
            <w:r w:rsidRPr="00C60AD1">
              <w:rPr>
                <w:rFonts w:cs="Calibri"/>
              </w:rPr>
              <w:lastRenderedPageBreak/>
              <w:t>06:00  hrs – 22:00 hrs</w:t>
            </w:r>
          </w:p>
        </w:tc>
        <w:tc>
          <w:tcPr>
            <w:tcW w:w="2550" w:type="pct"/>
            <w:shd w:val="clear" w:color="auto" w:fill="auto"/>
            <w:tcMar>
              <w:top w:w="17" w:type="dxa"/>
              <w:left w:w="108" w:type="dxa"/>
              <w:bottom w:w="0" w:type="dxa"/>
              <w:right w:w="108" w:type="dxa"/>
            </w:tcMar>
            <w:vAlign w:val="center"/>
            <w:hideMark/>
          </w:tcPr>
          <w:p w:rsidR="00D555F2" w:rsidRPr="00C60AD1" w:rsidRDefault="00D555F2" w:rsidP="00BB5A5A">
            <w:pPr>
              <w:spacing w:line="240" w:lineRule="auto"/>
              <w:jc w:val="center"/>
              <w:rPr>
                <w:rFonts w:cs="Calibri"/>
              </w:rPr>
            </w:pPr>
            <w:r w:rsidRPr="00C60AD1">
              <w:rPr>
                <w:rFonts w:cs="Calibri"/>
              </w:rPr>
              <w:t>Restricted Load as specified</w:t>
            </w:r>
          </w:p>
        </w:tc>
      </w:tr>
      <w:tr w:rsidR="00D555F2" w:rsidRPr="00C60AD1" w:rsidTr="00BB5A5A">
        <w:trPr>
          <w:trHeight w:val="262"/>
        </w:trPr>
        <w:tc>
          <w:tcPr>
            <w:tcW w:w="2450" w:type="pct"/>
            <w:shd w:val="clear" w:color="auto" w:fill="auto"/>
            <w:tcMar>
              <w:top w:w="17" w:type="dxa"/>
              <w:left w:w="108" w:type="dxa"/>
              <w:bottom w:w="0" w:type="dxa"/>
              <w:right w:w="108" w:type="dxa"/>
            </w:tcMar>
            <w:vAlign w:val="center"/>
            <w:hideMark/>
          </w:tcPr>
          <w:p w:rsidR="00D555F2" w:rsidRPr="00C60AD1" w:rsidRDefault="00D555F2" w:rsidP="00BB5A5A">
            <w:pPr>
              <w:spacing w:line="240" w:lineRule="auto"/>
              <w:rPr>
                <w:rFonts w:cs="Calibri"/>
              </w:rPr>
            </w:pPr>
            <w:r w:rsidRPr="00C60AD1">
              <w:rPr>
                <w:rFonts w:cs="Calibri"/>
              </w:rPr>
              <w:t>22:00 hrs – 06:00 hrs</w:t>
            </w:r>
          </w:p>
        </w:tc>
        <w:tc>
          <w:tcPr>
            <w:tcW w:w="2550" w:type="pct"/>
            <w:shd w:val="clear" w:color="auto" w:fill="auto"/>
            <w:tcMar>
              <w:top w:w="17" w:type="dxa"/>
              <w:left w:w="108" w:type="dxa"/>
              <w:bottom w:w="0" w:type="dxa"/>
              <w:right w:w="108" w:type="dxa"/>
            </w:tcMar>
            <w:vAlign w:val="center"/>
            <w:hideMark/>
          </w:tcPr>
          <w:p w:rsidR="00D555F2" w:rsidRPr="00C60AD1" w:rsidRDefault="00D555F2" w:rsidP="00BB5A5A">
            <w:pPr>
              <w:spacing w:line="240" w:lineRule="auto"/>
              <w:jc w:val="center"/>
              <w:rPr>
                <w:rFonts w:cs="Calibri"/>
              </w:rPr>
            </w:pPr>
            <w:r w:rsidRPr="00C60AD1">
              <w:rPr>
                <w:rFonts w:cs="Calibri"/>
              </w:rPr>
              <w:t>-15%</w:t>
            </w:r>
          </w:p>
        </w:tc>
      </w:tr>
    </w:tbl>
    <w:p w:rsidR="00D555F2" w:rsidRPr="00C60AD1" w:rsidRDefault="00D555F2" w:rsidP="00D555F2"/>
    <w:p w:rsidR="00D555F2" w:rsidRPr="00C60AD1" w:rsidRDefault="00D555F2" w:rsidP="00D555F2">
      <w:pPr>
        <w:ind w:left="720"/>
        <w:rPr>
          <w:rFonts w:cs="Calibri"/>
        </w:rPr>
      </w:pPr>
      <w:r w:rsidRPr="00C60AD1">
        <w:rPr>
          <w:rFonts w:cs="Calibri"/>
        </w:rPr>
        <w:t>Such consumers woul</w:t>
      </w:r>
      <w:r>
        <w:rPr>
          <w:rFonts w:cs="Calibri"/>
        </w:rPr>
        <w:t xml:space="preserve">d be required to ask for such </w:t>
      </w:r>
      <w:r w:rsidRPr="00C60AD1">
        <w:rPr>
          <w:rFonts w:cs="Calibri"/>
        </w:rPr>
        <w:t>ToD structure in advance. However, if the consum</w:t>
      </w:r>
      <w:r>
        <w:rPr>
          <w:rFonts w:cs="Calibri"/>
        </w:rPr>
        <w:t>er who has opted for optional To</w:t>
      </w:r>
      <w:r w:rsidRPr="00C60AD1">
        <w:rPr>
          <w:rFonts w:cs="Calibri"/>
        </w:rPr>
        <w:t xml:space="preserve">D structure, exceeds the restricted load as specified during the time slot of 06.00 </w:t>
      </w:r>
      <w:r>
        <w:rPr>
          <w:rFonts w:cs="Calibri"/>
        </w:rPr>
        <w:t>-  22.00</w:t>
      </w:r>
      <w:r w:rsidRPr="00C60AD1">
        <w:rPr>
          <w:rFonts w:cs="Calibri"/>
        </w:rPr>
        <w:t xml:space="preserve"> hours in any month, the TOD structure as applicable for HV-2 category (i.e. as per ToD Rates specified for all Consumers) will be applicable for such consumer for that particular month. </w:t>
      </w:r>
    </w:p>
    <w:p w:rsidR="00D555F2" w:rsidRDefault="00D555F2" w:rsidP="00D555F2">
      <w:pPr>
        <w:rPr>
          <w:b/>
          <w:bCs/>
        </w:rPr>
      </w:pPr>
    </w:p>
    <w:p w:rsidR="00D555F2" w:rsidRDefault="00D555F2" w:rsidP="00D555F2">
      <w:pPr>
        <w:ind w:firstLine="540"/>
        <w:rPr>
          <w:b/>
          <w:bCs/>
          <w:u w:val="single"/>
        </w:rPr>
      </w:pPr>
      <w:r w:rsidRPr="00C60AD1">
        <w:rPr>
          <w:b/>
          <w:bCs/>
        </w:rPr>
        <w:t>(B)  Rural Schedule:</w:t>
      </w:r>
    </w:p>
    <w:p w:rsidR="00D555F2" w:rsidRPr="00C60AD1" w:rsidRDefault="00D555F2" w:rsidP="00D555F2">
      <w:pPr>
        <w:tabs>
          <w:tab w:val="left" w:pos="540"/>
        </w:tabs>
        <w:ind w:left="720" w:right="29"/>
        <w:rPr>
          <w:bCs/>
        </w:rPr>
      </w:pPr>
      <w:r w:rsidRPr="00C60AD1">
        <w:rPr>
          <w:bCs/>
        </w:rPr>
        <w:t>This schedule shall be applicable only to consumers getting supply up to 11 kV as per ‘Rural Schedule’. The consumer under this category shall be entitled to a rebate of 7.5% on demand &amp; energy charges as given for 11 kV consumers under urban schedule without TOD rates.</w:t>
      </w:r>
    </w:p>
    <w:p w:rsidR="00D555F2" w:rsidRPr="00C60AD1" w:rsidRDefault="00D555F2" w:rsidP="00D555F2">
      <w:pPr>
        <w:tabs>
          <w:tab w:val="left" w:pos="540"/>
        </w:tabs>
        <w:ind w:left="540" w:right="29" w:hanging="540"/>
        <w:rPr>
          <w:b/>
          <w:bCs/>
          <w:i/>
          <w:iCs/>
        </w:rPr>
      </w:pPr>
      <w:r w:rsidRPr="00C60AD1" w:rsidDel="00A956BC">
        <w:rPr>
          <w:b/>
          <w:bCs/>
          <w:i/>
          <w:iCs/>
        </w:rPr>
        <w:t xml:space="preserve"> </w:t>
      </w:r>
    </w:p>
    <w:p w:rsidR="00D555F2" w:rsidRPr="00C60AD1" w:rsidRDefault="00D555F2" w:rsidP="00D555F2">
      <w:pPr>
        <w:tabs>
          <w:tab w:val="left" w:pos="540"/>
        </w:tabs>
        <w:ind w:left="1080" w:right="29" w:hanging="540"/>
        <w:rPr>
          <w:b/>
          <w:bCs/>
        </w:rPr>
      </w:pPr>
      <w:r w:rsidRPr="00C60AD1">
        <w:rPr>
          <w:b/>
          <w:bCs/>
        </w:rPr>
        <w:t>(C)</w:t>
      </w:r>
      <w:r w:rsidRPr="00C60AD1">
        <w:rPr>
          <w:b/>
          <w:bCs/>
        </w:rPr>
        <w:tab/>
        <w:t>Consumers already existing under HV-2 category with metering arrangement at low voltage:</w:t>
      </w:r>
    </w:p>
    <w:p w:rsidR="00D555F2" w:rsidRDefault="00D555F2" w:rsidP="00D555F2">
      <w:pPr>
        <w:tabs>
          <w:tab w:val="left" w:pos="540"/>
        </w:tabs>
        <w:ind w:left="720" w:right="29" w:hanging="540"/>
        <w:rPr>
          <w:rFonts w:cs="Arial"/>
        </w:rPr>
      </w:pPr>
      <w:r w:rsidRPr="00C60AD1">
        <w:rPr>
          <w:b/>
          <w:bCs/>
        </w:rPr>
        <w:tab/>
      </w:r>
      <w:r>
        <w:rPr>
          <w:b/>
          <w:bCs/>
        </w:rPr>
        <w:tab/>
      </w:r>
      <w:r w:rsidRPr="00C60AD1">
        <w:rPr>
          <w:rFonts w:cs="Arial"/>
        </w:rPr>
        <w:t xml:space="preserve">Existing consumer under HV-2 with metering at 0.4 kV shall be required to pay as per schedule applicable to 11 kV consumers under HV-2 category. </w:t>
      </w:r>
    </w:p>
    <w:p w:rsidR="00D555F2" w:rsidRPr="00C60AD1" w:rsidRDefault="00D555F2" w:rsidP="00D555F2">
      <w:pPr>
        <w:tabs>
          <w:tab w:val="left" w:pos="540"/>
        </w:tabs>
        <w:ind w:right="29"/>
        <w:rPr>
          <w:b/>
          <w:bCs/>
          <w:i/>
          <w:iCs/>
        </w:rPr>
      </w:pPr>
    </w:p>
    <w:p w:rsidR="00D555F2" w:rsidRPr="00C60AD1" w:rsidRDefault="00D555F2" w:rsidP="00D555F2">
      <w:pPr>
        <w:tabs>
          <w:tab w:val="left" w:pos="540"/>
        </w:tabs>
        <w:ind w:right="29"/>
        <w:rPr>
          <w:b/>
        </w:rPr>
      </w:pPr>
      <w:r w:rsidRPr="00C60AD1">
        <w:rPr>
          <w:b/>
        </w:rPr>
        <w:t>4.</w:t>
      </w:r>
      <w:r w:rsidRPr="00C60AD1">
        <w:rPr>
          <w:b/>
        </w:rPr>
        <w:tab/>
        <w:t xml:space="preserve">PROVISIONS RELATED TO SEASONAL INDUSTRIES: </w:t>
      </w:r>
    </w:p>
    <w:p w:rsidR="00D555F2" w:rsidRPr="00C60AD1" w:rsidRDefault="00D555F2" w:rsidP="00D555F2">
      <w:pPr>
        <w:spacing w:before="60"/>
        <w:ind w:left="540" w:right="29"/>
      </w:pPr>
      <w:r w:rsidRPr="00C60AD1">
        <w:t>Seasonal industries will be determined in accordance with the criteria laid down below. No exhaustive list can be provided but some examples of industries exhibiting such characteristics are sugar, ice, rice mill and cold storage. The industries which operate during certain period of the year, i.e. have seasonality of operation, can avail the benefits of seasonal industries provided:</w:t>
      </w:r>
    </w:p>
    <w:p w:rsidR="00D555F2" w:rsidRDefault="00D555F2" w:rsidP="00D555F2">
      <w:pPr>
        <w:numPr>
          <w:ilvl w:val="0"/>
          <w:numId w:val="90"/>
        </w:numPr>
        <w:spacing w:before="60" w:line="288" w:lineRule="auto"/>
        <w:ind w:right="29"/>
      </w:pPr>
      <w:r w:rsidRPr="00C60AD1">
        <w:t xml:space="preserve">The continuous period of operation of such industries shall be at least 4 (four) months but not more than 9 (nine) months in a financial year. </w:t>
      </w:r>
    </w:p>
    <w:p w:rsidR="00D555F2" w:rsidRDefault="00D555F2" w:rsidP="00D555F2">
      <w:pPr>
        <w:numPr>
          <w:ilvl w:val="0"/>
          <w:numId w:val="90"/>
        </w:numPr>
        <w:spacing w:before="60" w:line="288" w:lineRule="auto"/>
        <w:ind w:right="29"/>
      </w:pPr>
      <w:r w:rsidRPr="00C60AD1">
        <w:lastRenderedPageBreak/>
        <w:t xml:space="preserve">Any prospective consumer, desirous of availing the seasonal benefit, shall specifically declare his season at the time of submission of declaration / execution of agreement mentioning the period of operation unambiguously. </w:t>
      </w:r>
    </w:p>
    <w:p w:rsidR="00D555F2" w:rsidRDefault="00D555F2" w:rsidP="00D555F2">
      <w:pPr>
        <w:numPr>
          <w:ilvl w:val="0"/>
          <w:numId w:val="90"/>
        </w:numPr>
        <w:spacing w:before="60" w:line="288" w:lineRule="auto"/>
        <w:ind w:right="29"/>
      </w:pPr>
      <w:r w:rsidRPr="00C60AD1">
        <w:t>The seasonal period once notified cannot be reduced during the next consecutive 12 months. The off-season tariff is not applicable to composite units having seasonal and other category loads.</w:t>
      </w:r>
    </w:p>
    <w:p w:rsidR="00D555F2" w:rsidRDefault="00D555F2" w:rsidP="00D555F2">
      <w:pPr>
        <w:numPr>
          <w:ilvl w:val="0"/>
          <w:numId w:val="90"/>
        </w:numPr>
        <w:spacing w:before="60" w:line="288" w:lineRule="auto"/>
        <w:ind w:right="29"/>
      </w:pPr>
      <w:r w:rsidRPr="00C60AD1">
        <w:t xml:space="preserve">The off-season tariff is also not available to those units who have captive generation exclusively for process during season and who avail Licensees supply for miscellaneous loads and other non-process loads.  </w:t>
      </w:r>
    </w:p>
    <w:p w:rsidR="00D555F2" w:rsidRDefault="00D555F2" w:rsidP="00D555F2">
      <w:pPr>
        <w:numPr>
          <w:ilvl w:val="0"/>
          <w:numId w:val="90"/>
        </w:numPr>
        <w:spacing w:before="60" w:line="288" w:lineRule="auto"/>
        <w:ind w:right="29"/>
      </w:pPr>
      <w:r w:rsidRPr="00C60AD1">
        <w:t>The consumer opting for seasonal benefit has a flexibility to declare his off seasonal maximum demand subject to a maximum of 25% of the contracted demand.  The tariff rates (demand charge per kW / kVA and energy charge per kWh / kVAh) for such industries during off-season period will be the same as for normal period.  Further, during the off season fixed charges shall be levied on the basis of maximum demand recorded by the meter (not on normal billable demand or on percentage contracted demand). Rates for the energy charges shall however be the same as during the operational season.  Further, first violation in the season would attract full billable demand charges and energy charges calculated at the unit rate 50% higher than the applicable tariff during normal period but only for the month in which the consumer has defaulted. However, on second default the consumer will forfeit the benefit of seasonal rates for the entire season.</w:t>
      </w:r>
    </w:p>
    <w:p w:rsidR="00D555F2" w:rsidRDefault="00D555F2" w:rsidP="00D555F2">
      <w:pPr>
        <w:spacing w:line="240" w:lineRule="auto"/>
      </w:pPr>
    </w:p>
    <w:p w:rsidR="00D555F2" w:rsidRPr="00C60AD1" w:rsidRDefault="00D555F2" w:rsidP="00D555F2">
      <w:pPr>
        <w:tabs>
          <w:tab w:val="left" w:pos="540"/>
        </w:tabs>
        <w:ind w:right="29"/>
        <w:rPr>
          <w:b/>
        </w:rPr>
      </w:pPr>
      <w:r w:rsidRPr="00C60AD1">
        <w:rPr>
          <w:b/>
        </w:rPr>
        <w:t xml:space="preserve">5.  FACTORY LIGHTING: </w:t>
      </w:r>
    </w:p>
    <w:p w:rsidR="00D555F2" w:rsidRDefault="00D555F2" w:rsidP="00D555F2">
      <w:pPr>
        <w:ind w:left="720"/>
      </w:pPr>
      <w:r w:rsidRPr="00C60AD1">
        <w:t>The electrical energy supplied shall also be utilized in the factory premises for lights, fans, coolers, etc. which shall mean and include all energy consumed for factory lighting in the offices, the main factory building, stores, time keeper’s office, canteen, staff club, library, crèche, dispensary, staff welfare centres, compound lighting, etc. No separate connection for the same shall be provided.</w:t>
      </w:r>
    </w:p>
    <w:p w:rsidR="00D555F2" w:rsidRPr="00C60AD1" w:rsidRDefault="00D555F2" w:rsidP="00D555F2">
      <w:pPr>
        <w:tabs>
          <w:tab w:val="left" w:pos="360"/>
        </w:tabs>
        <w:spacing w:before="100" w:beforeAutospacing="1" w:after="100" w:afterAutospacing="1"/>
        <w:ind w:left="720" w:right="29"/>
      </w:pPr>
    </w:p>
    <w:p w:rsidR="00D555F2" w:rsidRPr="00C60AD1" w:rsidRDefault="00D555F2" w:rsidP="00D555F2">
      <w:pPr>
        <w:tabs>
          <w:tab w:val="left" w:pos="360"/>
        </w:tabs>
        <w:spacing w:before="100" w:beforeAutospacing="1" w:after="100" w:afterAutospacing="1"/>
        <w:ind w:left="720" w:right="29"/>
      </w:pPr>
    </w:p>
    <w:p w:rsidR="00D555F2" w:rsidRDefault="00D555F2" w:rsidP="00D555F2">
      <w:pPr>
        <w:spacing w:before="0" w:after="200"/>
        <w:jc w:val="center"/>
        <w:rPr>
          <w:b/>
          <w:bCs/>
          <w:u w:val="single"/>
        </w:rPr>
      </w:pPr>
      <w:r w:rsidRPr="00C60AD1">
        <w:br w:type="page"/>
      </w:r>
      <w:r w:rsidRPr="00C60AD1">
        <w:rPr>
          <w:b/>
          <w:bCs/>
          <w:u w:val="single"/>
        </w:rPr>
        <w:lastRenderedPageBreak/>
        <w:t>RATE SCHEDULE HV – 3:</w:t>
      </w:r>
    </w:p>
    <w:p w:rsidR="00D555F2" w:rsidRDefault="00D555F2" w:rsidP="00D555F2">
      <w:pPr>
        <w:spacing w:before="100" w:beforeAutospacing="1" w:after="100" w:afterAutospacing="1"/>
        <w:ind w:right="29"/>
        <w:jc w:val="left"/>
        <w:rPr>
          <w:rFonts w:cs="Arial"/>
          <w:b/>
        </w:rPr>
      </w:pPr>
      <w:r w:rsidRPr="00C60AD1">
        <w:rPr>
          <w:rFonts w:cs="Arial"/>
          <w:b/>
        </w:rPr>
        <w:t>A:  RAILWAY TRACTION:</w:t>
      </w:r>
    </w:p>
    <w:p w:rsidR="00D555F2" w:rsidRPr="00C60AD1" w:rsidRDefault="00D555F2" w:rsidP="00D555F2">
      <w:pPr>
        <w:tabs>
          <w:tab w:val="left" w:pos="360"/>
        </w:tabs>
        <w:spacing w:before="100" w:beforeAutospacing="1" w:after="100" w:afterAutospacing="1"/>
        <w:ind w:right="29"/>
        <w:rPr>
          <w:rFonts w:cs="Arial"/>
          <w:b/>
        </w:rPr>
      </w:pPr>
      <w:r w:rsidRPr="00C60AD1">
        <w:rPr>
          <w:rFonts w:cs="Arial"/>
          <w:b/>
        </w:rPr>
        <w:t>1.</w:t>
      </w:r>
      <w:r w:rsidRPr="00C60AD1">
        <w:rPr>
          <w:rFonts w:cs="Arial"/>
          <w:b/>
        </w:rPr>
        <w:tab/>
        <w:t>APPLICABILITY:</w:t>
      </w:r>
    </w:p>
    <w:p w:rsidR="00D555F2" w:rsidRPr="00C60AD1" w:rsidRDefault="00D555F2" w:rsidP="00D555F2">
      <w:pPr>
        <w:tabs>
          <w:tab w:val="left" w:pos="360"/>
        </w:tabs>
        <w:spacing w:before="100" w:beforeAutospacing="1"/>
        <w:ind w:left="360" w:right="11"/>
        <w:rPr>
          <w:rFonts w:cs="Arial"/>
        </w:rPr>
      </w:pPr>
      <w:r w:rsidRPr="00C60AD1">
        <w:rPr>
          <w:rFonts w:cs="Arial"/>
        </w:rPr>
        <w:t xml:space="preserve">This schedule shall apply to the Railways for Traction loads only. </w:t>
      </w:r>
    </w:p>
    <w:p w:rsidR="00D555F2" w:rsidRPr="00C60AD1" w:rsidRDefault="00D555F2" w:rsidP="00D555F2"/>
    <w:p w:rsidR="00D555F2" w:rsidRPr="00C60AD1" w:rsidRDefault="00D555F2" w:rsidP="00D555F2">
      <w:pPr>
        <w:pStyle w:val="BodyText"/>
        <w:tabs>
          <w:tab w:val="left" w:pos="360"/>
        </w:tabs>
        <w:spacing w:line="288" w:lineRule="auto"/>
      </w:pPr>
      <w:r w:rsidRPr="00C60AD1">
        <w:rPr>
          <w:b/>
          <w:snapToGrid w:val="0"/>
        </w:rPr>
        <w:t>2.</w:t>
      </w:r>
      <w:r w:rsidRPr="00C60AD1">
        <w:rPr>
          <w:b/>
          <w:snapToGrid w:val="0"/>
        </w:rPr>
        <w:tab/>
      </w:r>
      <w:r w:rsidRPr="00C60AD1">
        <w:rPr>
          <w:rFonts w:cs="Arial"/>
          <w:b/>
        </w:rPr>
        <w:t>CHARACTER OF SERVICE AND POINT OF SUPPLY:</w:t>
      </w:r>
    </w:p>
    <w:p w:rsidR="00D555F2" w:rsidRDefault="00D555F2" w:rsidP="00D555F2">
      <w:pPr>
        <w:tabs>
          <w:tab w:val="left" w:pos="360"/>
        </w:tabs>
        <w:spacing w:before="100"/>
        <w:ind w:left="360" w:right="11"/>
      </w:pPr>
      <w:r w:rsidRPr="00C60AD1">
        <w:t>Alternating Current, single phase, two phase or three phase, 50 cycles, 132 kV or below depending on the availability of voltage of supply and the sole discretion of the Licensee. The supply at each sub-station shall be separately metered and charged.</w:t>
      </w:r>
    </w:p>
    <w:p w:rsidR="00D555F2" w:rsidRDefault="00D555F2" w:rsidP="00D555F2">
      <w:pPr>
        <w:tabs>
          <w:tab w:val="left" w:pos="360"/>
        </w:tabs>
        <w:spacing w:before="0"/>
        <w:ind w:left="360" w:right="11"/>
      </w:pPr>
    </w:p>
    <w:p w:rsidR="00D555F2" w:rsidRPr="00C60AD1" w:rsidRDefault="00D555F2" w:rsidP="00D555F2">
      <w:pPr>
        <w:pStyle w:val="BodyText"/>
        <w:tabs>
          <w:tab w:val="left" w:pos="360"/>
        </w:tabs>
        <w:spacing w:before="100" w:beforeAutospacing="1" w:line="288" w:lineRule="auto"/>
        <w:ind w:right="29"/>
        <w:rPr>
          <w:rFonts w:cs="Arial"/>
          <w:b/>
        </w:rPr>
      </w:pPr>
      <w:r w:rsidRPr="00C60AD1">
        <w:rPr>
          <w:rFonts w:cs="Arial"/>
          <w:b/>
        </w:rPr>
        <w:t>3.</w:t>
      </w:r>
      <w:r w:rsidRPr="00C60AD1">
        <w:rPr>
          <w:rFonts w:cs="Arial"/>
          <w:b/>
        </w:rPr>
        <w:tab/>
        <w:t>RATE:</w:t>
      </w:r>
    </w:p>
    <w:p w:rsidR="00D555F2" w:rsidRPr="00C60AD1" w:rsidRDefault="00D555F2" w:rsidP="00D555F2">
      <w:pPr>
        <w:spacing w:before="100" w:beforeAutospacing="1" w:after="240"/>
        <w:ind w:left="360" w:right="14"/>
      </w:pPr>
      <w:r w:rsidRPr="00C60AD1">
        <w:t>Rate, gives the demand and energy charges at which the consumer shall be billed for consumption during the billing period applicable to the category:</w:t>
      </w:r>
    </w:p>
    <w:p w:rsidR="00D555F2" w:rsidRPr="00C60AD1" w:rsidRDefault="00D555F2" w:rsidP="00D555F2"/>
    <w:tbl>
      <w:tblPr>
        <w:tblW w:w="8067" w:type="dxa"/>
        <w:tblInd w:w="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097"/>
        <w:gridCol w:w="2970"/>
      </w:tblGrid>
      <w:tr w:rsidR="00D555F2" w:rsidRPr="00C60AD1" w:rsidTr="00BB5A5A">
        <w:tc>
          <w:tcPr>
            <w:tcW w:w="5097" w:type="dxa"/>
            <w:shd w:val="clear" w:color="auto" w:fill="DBE5F1" w:themeFill="accent1" w:themeFillTint="33"/>
          </w:tcPr>
          <w:p w:rsidR="00D555F2" w:rsidRPr="00C60AD1" w:rsidRDefault="00D555F2" w:rsidP="00BB5A5A">
            <w:pPr>
              <w:pStyle w:val="BodyText"/>
              <w:spacing w:line="288" w:lineRule="auto"/>
              <w:jc w:val="center"/>
              <w:rPr>
                <w:rFonts w:cs="Arial"/>
                <w:b/>
              </w:rPr>
            </w:pPr>
            <w:r w:rsidRPr="00C60AD1">
              <w:rPr>
                <w:rFonts w:cs="Arial"/>
                <w:b/>
              </w:rPr>
              <w:t>Description</w:t>
            </w:r>
          </w:p>
        </w:tc>
        <w:tc>
          <w:tcPr>
            <w:tcW w:w="2970" w:type="dxa"/>
            <w:shd w:val="clear" w:color="auto" w:fill="DBE5F1" w:themeFill="accent1" w:themeFillTint="33"/>
          </w:tcPr>
          <w:p w:rsidR="00D555F2" w:rsidRPr="00C60AD1" w:rsidRDefault="00D555F2" w:rsidP="00BB5A5A">
            <w:pPr>
              <w:pStyle w:val="BodyText"/>
              <w:spacing w:line="288" w:lineRule="auto"/>
              <w:jc w:val="center"/>
              <w:rPr>
                <w:rFonts w:cs="Arial"/>
                <w:b/>
                <w:bCs/>
              </w:rPr>
            </w:pPr>
            <w:r w:rsidRPr="00C60AD1">
              <w:rPr>
                <w:rFonts w:cs="Arial"/>
                <w:b/>
                <w:bCs/>
              </w:rPr>
              <w:t>Charges</w:t>
            </w:r>
          </w:p>
        </w:tc>
      </w:tr>
      <w:tr w:rsidR="00D555F2" w:rsidRPr="00C60AD1" w:rsidTr="00BB5A5A">
        <w:tc>
          <w:tcPr>
            <w:tcW w:w="5097" w:type="dxa"/>
          </w:tcPr>
          <w:p w:rsidR="00D555F2" w:rsidRPr="00C60AD1" w:rsidRDefault="00D555F2" w:rsidP="00BB5A5A">
            <w:pPr>
              <w:pStyle w:val="BodyText"/>
              <w:spacing w:line="288" w:lineRule="auto"/>
              <w:jc w:val="left"/>
              <w:rPr>
                <w:rFonts w:cs="Arial"/>
              </w:rPr>
            </w:pPr>
            <w:r w:rsidRPr="00C60AD1">
              <w:rPr>
                <w:rFonts w:cs="Arial"/>
                <w:b/>
              </w:rPr>
              <w:t>(a) Demand Charge</w:t>
            </w:r>
          </w:p>
          <w:p w:rsidR="00D555F2" w:rsidRPr="00C60AD1" w:rsidRDefault="00D555F2" w:rsidP="00BB5A5A">
            <w:pPr>
              <w:pStyle w:val="BodyText"/>
              <w:spacing w:line="288" w:lineRule="auto"/>
              <w:jc w:val="left"/>
              <w:rPr>
                <w:rFonts w:cs="Arial"/>
              </w:rPr>
            </w:pPr>
            <w:r w:rsidRPr="00C60AD1">
              <w:rPr>
                <w:rFonts w:cs="Arial"/>
              </w:rPr>
              <w:t xml:space="preserve">For supply at and above 132 kV </w:t>
            </w:r>
          </w:p>
          <w:p w:rsidR="00D555F2" w:rsidRPr="00C60AD1" w:rsidRDefault="00D555F2" w:rsidP="00BB5A5A">
            <w:pPr>
              <w:pStyle w:val="BodyText"/>
              <w:spacing w:line="288" w:lineRule="auto"/>
              <w:jc w:val="left"/>
              <w:rPr>
                <w:rFonts w:cs="Arial"/>
              </w:rPr>
            </w:pPr>
            <w:r w:rsidRPr="00C60AD1">
              <w:rPr>
                <w:rFonts w:cs="Arial"/>
              </w:rPr>
              <w:t>Below 132 kV</w:t>
            </w:r>
          </w:p>
        </w:tc>
        <w:tc>
          <w:tcPr>
            <w:tcW w:w="2970" w:type="dxa"/>
          </w:tcPr>
          <w:p w:rsidR="00D555F2" w:rsidRPr="00C60AD1" w:rsidRDefault="00D555F2" w:rsidP="00BB5A5A">
            <w:pPr>
              <w:pStyle w:val="BodyText"/>
              <w:spacing w:line="288" w:lineRule="auto"/>
              <w:jc w:val="left"/>
              <w:rPr>
                <w:rFonts w:cs="Arial"/>
              </w:rPr>
            </w:pPr>
          </w:p>
          <w:p w:rsidR="00D555F2" w:rsidRPr="00C60AD1" w:rsidRDefault="00D555F2" w:rsidP="00BB5A5A">
            <w:pPr>
              <w:pStyle w:val="BodyText"/>
              <w:spacing w:line="288" w:lineRule="auto"/>
              <w:jc w:val="left"/>
              <w:rPr>
                <w:rFonts w:cs="Arial"/>
              </w:rPr>
            </w:pPr>
            <w:r w:rsidRPr="00C60AD1">
              <w:rPr>
                <w:rFonts w:cs="Arial"/>
              </w:rPr>
              <w:t xml:space="preserve">Rs. </w:t>
            </w:r>
            <w:r>
              <w:rPr>
                <w:rFonts w:cs="Arial"/>
              </w:rPr>
              <w:t>340</w:t>
            </w:r>
            <w:r w:rsidRPr="00C60AD1">
              <w:rPr>
                <w:rFonts w:cs="Arial"/>
              </w:rPr>
              <w:t>.00 / kVA / month</w:t>
            </w:r>
          </w:p>
          <w:p w:rsidR="00D555F2" w:rsidRPr="00C60AD1" w:rsidRDefault="00D555F2" w:rsidP="00BB5A5A">
            <w:pPr>
              <w:pStyle w:val="BodyText"/>
              <w:spacing w:line="288" w:lineRule="auto"/>
              <w:jc w:val="left"/>
              <w:rPr>
                <w:rFonts w:cs="Arial"/>
              </w:rPr>
            </w:pPr>
            <w:r w:rsidRPr="00C60AD1">
              <w:rPr>
                <w:rFonts w:cs="Arial"/>
                <w:lang w:val="sv-SE"/>
              </w:rPr>
              <w:t xml:space="preserve">Rs. </w:t>
            </w:r>
            <w:r>
              <w:rPr>
                <w:rFonts w:cs="Arial"/>
              </w:rPr>
              <w:t>350</w:t>
            </w:r>
            <w:r w:rsidRPr="00C60AD1">
              <w:rPr>
                <w:rFonts w:cs="Arial"/>
              </w:rPr>
              <w:t>.00</w:t>
            </w:r>
            <w:r w:rsidRPr="00C60AD1">
              <w:rPr>
                <w:rFonts w:cs="Arial"/>
                <w:lang w:val="sv-SE"/>
              </w:rPr>
              <w:t xml:space="preserve"> / kVA / month</w:t>
            </w:r>
            <w:r w:rsidRPr="00C60AD1">
              <w:rPr>
                <w:rFonts w:cs="Arial"/>
              </w:rPr>
              <w:t xml:space="preserve"> </w:t>
            </w:r>
          </w:p>
        </w:tc>
      </w:tr>
      <w:tr w:rsidR="00D555F2" w:rsidRPr="00C60AD1" w:rsidTr="00BB5A5A">
        <w:tc>
          <w:tcPr>
            <w:tcW w:w="5097" w:type="dxa"/>
          </w:tcPr>
          <w:p w:rsidR="00D555F2" w:rsidRPr="00C60AD1" w:rsidRDefault="00D555F2" w:rsidP="00BB5A5A">
            <w:pPr>
              <w:pStyle w:val="BodyText"/>
              <w:spacing w:line="288" w:lineRule="auto"/>
              <w:jc w:val="left"/>
              <w:rPr>
                <w:rFonts w:cs="Arial"/>
              </w:rPr>
            </w:pPr>
            <w:r w:rsidRPr="00C60AD1">
              <w:rPr>
                <w:rFonts w:cs="Arial"/>
                <w:b/>
              </w:rPr>
              <w:t xml:space="preserve">(b) Energy Charge </w:t>
            </w:r>
            <w:r w:rsidRPr="00C60AD1">
              <w:rPr>
                <w:rFonts w:cs="Arial"/>
              </w:rPr>
              <w:t>(all consumption in a month)</w:t>
            </w:r>
          </w:p>
          <w:p w:rsidR="00D555F2" w:rsidRPr="00C60AD1" w:rsidRDefault="00D555F2" w:rsidP="00BB5A5A">
            <w:pPr>
              <w:pStyle w:val="BodyText"/>
              <w:spacing w:line="288" w:lineRule="auto"/>
              <w:jc w:val="left"/>
              <w:rPr>
                <w:rFonts w:cs="Arial"/>
              </w:rPr>
            </w:pPr>
            <w:r w:rsidRPr="00C60AD1">
              <w:rPr>
                <w:rFonts w:cs="Arial"/>
              </w:rPr>
              <w:t>For supply at and above 132 kV</w:t>
            </w:r>
          </w:p>
          <w:p w:rsidR="00D555F2" w:rsidRPr="00C60AD1" w:rsidRDefault="00D555F2" w:rsidP="00BB5A5A">
            <w:pPr>
              <w:pStyle w:val="BodyText"/>
              <w:spacing w:line="288" w:lineRule="auto"/>
              <w:jc w:val="left"/>
              <w:rPr>
                <w:rFonts w:cs="Arial"/>
              </w:rPr>
            </w:pPr>
            <w:r w:rsidRPr="00C60AD1">
              <w:rPr>
                <w:rFonts w:cs="Arial"/>
              </w:rPr>
              <w:t xml:space="preserve">Below 132 kV </w:t>
            </w:r>
          </w:p>
        </w:tc>
        <w:tc>
          <w:tcPr>
            <w:tcW w:w="2970" w:type="dxa"/>
          </w:tcPr>
          <w:p w:rsidR="00D555F2" w:rsidRPr="00C60AD1" w:rsidRDefault="00D555F2" w:rsidP="00BB5A5A">
            <w:pPr>
              <w:pStyle w:val="BodyText"/>
              <w:spacing w:line="288" w:lineRule="auto"/>
              <w:jc w:val="left"/>
              <w:rPr>
                <w:rFonts w:cs="Arial"/>
                <w:lang w:val="sv-SE"/>
              </w:rPr>
            </w:pPr>
          </w:p>
          <w:p w:rsidR="00D555F2" w:rsidRPr="00C60AD1" w:rsidRDefault="00D555F2" w:rsidP="00BB5A5A">
            <w:pPr>
              <w:pStyle w:val="BodyText"/>
              <w:spacing w:line="288" w:lineRule="auto"/>
              <w:jc w:val="left"/>
              <w:rPr>
                <w:rFonts w:cs="Arial"/>
                <w:lang w:val="sv-SE"/>
              </w:rPr>
            </w:pPr>
            <w:r w:rsidRPr="00C60AD1">
              <w:rPr>
                <w:rFonts w:cs="Arial"/>
              </w:rPr>
              <w:t>Rs. 6.</w:t>
            </w:r>
            <w:r>
              <w:rPr>
                <w:rFonts w:cs="Arial"/>
              </w:rPr>
              <w:t>95</w:t>
            </w:r>
            <w:r w:rsidRPr="00C60AD1">
              <w:rPr>
                <w:rFonts w:cs="Arial"/>
              </w:rPr>
              <w:t xml:space="preserve"> / kVAh</w:t>
            </w:r>
          </w:p>
          <w:p w:rsidR="00D555F2" w:rsidRPr="00C60AD1" w:rsidRDefault="00D555F2" w:rsidP="00BB5A5A">
            <w:pPr>
              <w:pStyle w:val="BodyText"/>
              <w:spacing w:line="288" w:lineRule="auto"/>
              <w:jc w:val="left"/>
              <w:rPr>
                <w:rFonts w:cs="Arial"/>
                <w:lang w:val="sv-SE"/>
              </w:rPr>
            </w:pPr>
            <w:r w:rsidRPr="00C60AD1">
              <w:rPr>
                <w:rFonts w:cs="Arial"/>
                <w:lang w:val="sv-SE"/>
              </w:rPr>
              <w:t xml:space="preserve">Rs. </w:t>
            </w:r>
            <w:r w:rsidRPr="00C60AD1">
              <w:rPr>
                <w:rFonts w:cs="Arial"/>
              </w:rPr>
              <w:t xml:space="preserve"> </w:t>
            </w:r>
            <w:r>
              <w:rPr>
                <w:rFonts w:cs="Arial"/>
              </w:rPr>
              <w:t>7.20</w:t>
            </w:r>
            <w:r w:rsidRPr="00C60AD1">
              <w:rPr>
                <w:rFonts w:cs="Arial"/>
                <w:lang w:val="sv-SE"/>
              </w:rPr>
              <w:t xml:space="preserve"> / kVAh</w:t>
            </w:r>
          </w:p>
        </w:tc>
      </w:tr>
    </w:tbl>
    <w:p w:rsidR="00D555F2" w:rsidRPr="00C60AD1" w:rsidRDefault="00D555F2" w:rsidP="00D555F2">
      <w:pPr>
        <w:tabs>
          <w:tab w:val="left" w:pos="720"/>
        </w:tabs>
        <w:spacing w:before="100" w:after="100"/>
        <w:ind w:right="29"/>
        <w:rPr>
          <w:i/>
          <w:sz w:val="22"/>
        </w:rPr>
      </w:pPr>
      <w:r w:rsidRPr="000873E5">
        <w:rPr>
          <w:b/>
          <w:i/>
          <w:sz w:val="22"/>
        </w:rPr>
        <w:t>Note:</w:t>
      </w:r>
      <w:r w:rsidRPr="000873E5">
        <w:rPr>
          <w:i/>
          <w:sz w:val="22"/>
        </w:rPr>
        <w:t xml:space="preserve"> Minimum bill payable by a consumer under this category shall be Rs. 725.00 / kVA / month.</w:t>
      </w:r>
    </w:p>
    <w:p w:rsidR="00D555F2" w:rsidRPr="00C60AD1" w:rsidRDefault="00D555F2" w:rsidP="00D555F2">
      <w:pPr>
        <w:tabs>
          <w:tab w:val="left" w:pos="720"/>
        </w:tabs>
        <w:spacing w:before="100" w:after="100"/>
        <w:ind w:right="29"/>
        <w:rPr>
          <w:rFonts w:cs="Arial"/>
        </w:rPr>
      </w:pPr>
    </w:p>
    <w:p w:rsidR="00D555F2" w:rsidRDefault="00D555F2" w:rsidP="00D555F2">
      <w:pPr>
        <w:numPr>
          <w:ilvl w:val="0"/>
          <w:numId w:val="91"/>
        </w:numPr>
        <w:spacing w:before="100"/>
        <w:ind w:right="29"/>
        <w:rPr>
          <w:b/>
        </w:rPr>
      </w:pPr>
      <w:r w:rsidRPr="00C60AD1">
        <w:rPr>
          <w:b/>
        </w:rPr>
        <w:t xml:space="preserve">DETERMINATION OF THE DEMAND: </w:t>
      </w:r>
    </w:p>
    <w:p w:rsidR="00D555F2" w:rsidRPr="00C60AD1" w:rsidRDefault="00D555F2" w:rsidP="00D555F2">
      <w:pPr>
        <w:pStyle w:val="BodyText"/>
        <w:tabs>
          <w:tab w:val="left" w:pos="720"/>
        </w:tabs>
        <w:spacing w:line="288" w:lineRule="auto"/>
        <w:ind w:left="720" w:right="11"/>
      </w:pPr>
      <w:r w:rsidRPr="00C60AD1">
        <w:lastRenderedPageBreak/>
        <w:t>Demand measurement at a particular time will be made on basis of simultaneous maximum demands recorded in summation kilovolt-ampere meter installed at contiguous substation serviced by same grid transformer.</w:t>
      </w:r>
    </w:p>
    <w:p w:rsidR="00D555F2" w:rsidRPr="000873E5" w:rsidRDefault="00D555F2" w:rsidP="00D555F2">
      <w:pPr>
        <w:pStyle w:val="BodyText"/>
        <w:tabs>
          <w:tab w:val="left" w:pos="720"/>
        </w:tabs>
        <w:spacing w:line="288" w:lineRule="auto"/>
        <w:ind w:left="720" w:right="11"/>
      </w:pPr>
      <w:r w:rsidRPr="00C60AD1">
        <w:t>The demand for any month shall be defined as the highest average load measured in Kilo Volt amperes during any fifteen consecutive minutes period of the month.</w:t>
      </w:r>
    </w:p>
    <w:p w:rsidR="00D555F2" w:rsidRDefault="00D555F2" w:rsidP="00D555F2">
      <w:pPr>
        <w:spacing w:line="240" w:lineRule="auto"/>
        <w:jc w:val="left"/>
        <w:rPr>
          <w:rFonts w:cs="Arial"/>
          <w:b/>
        </w:rPr>
      </w:pPr>
      <w:r w:rsidRPr="00C60AD1">
        <w:rPr>
          <w:rFonts w:cs="Arial"/>
          <w:b/>
        </w:rPr>
        <w:br w:type="page"/>
      </w:r>
      <w:r w:rsidRPr="00C60AD1">
        <w:rPr>
          <w:rFonts w:cs="Arial"/>
          <w:b/>
        </w:rPr>
        <w:lastRenderedPageBreak/>
        <w:t>B: METRO RAIL:</w:t>
      </w:r>
    </w:p>
    <w:p w:rsidR="00D555F2" w:rsidRPr="00C60AD1" w:rsidRDefault="00D555F2" w:rsidP="00D555F2">
      <w:pPr>
        <w:tabs>
          <w:tab w:val="left" w:pos="360"/>
        </w:tabs>
        <w:spacing w:before="100" w:beforeAutospacing="1" w:after="100" w:afterAutospacing="1"/>
        <w:ind w:right="29"/>
        <w:rPr>
          <w:rFonts w:cs="Arial"/>
          <w:b/>
        </w:rPr>
      </w:pPr>
      <w:r w:rsidRPr="00C60AD1">
        <w:rPr>
          <w:rFonts w:cs="Arial"/>
          <w:b/>
        </w:rPr>
        <w:t>1.   APPLICABILITY:</w:t>
      </w:r>
    </w:p>
    <w:p w:rsidR="00D555F2" w:rsidRPr="00C60AD1" w:rsidRDefault="00D555F2" w:rsidP="00D555F2">
      <w:pPr>
        <w:tabs>
          <w:tab w:val="left" w:pos="360"/>
        </w:tabs>
        <w:spacing w:before="100" w:beforeAutospacing="1"/>
        <w:ind w:left="360" w:right="11"/>
        <w:rPr>
          <w:rFonts w:cs="Arial"/>
        </w:rPr>
      </w:pPr>
      <w:r w:rsidRPr="00C60AD1">
        <w:rPr>
          <w:rFonts w:cs="Arial"/>
        </w:rPr>
        <w:t xml:space="preserve">This schedule shall apply to the Metro Rail Corporation. </w:t>
      </w:r>
    </w:p>
    <w:p w:rsidR="00D555F2" w:rsidRPr="00C60AD1" w:rsidRDefault="00D555F2" w:rsidP="00D555F2">
      <w:pPr>
        <w:tabs>
          <w:tab w:val="left" w:pos="1421"/>
        </w:tabs>
      </w:pPr>
      <w:r w:rsidRPr="00C60AD1">
        <w:tab/>
      </w:r>
    </w:p>
    <w:p w:rsidR="00D555F2" w:rsidRPr="00C60AD1" w:rsidRDefault="00D555F2" w:rsidP="00D555F2">
      <w:pPr>
        <w:pStyle w:val="BodyText"/>
        <w:tabs>
          <w:tab w:val="left" w:pos="360"/>
        </w:tabs>
        <w:spacing w:line="288" w:lineRule="auto"/>
      </w:pPr>
      <w:r w:rsidRPr="00C60AD1">
        <w:rPr>
          <w:b/>
          <w:snapToGrid w:val="0"/>
        </w:rPr>
        <w:t>2.</w:t>
      </w:r>
      <w:r w:rsidRPr="00C60AD1">
        <w:rPr>
          <w:b/>
          <w:snapToGrid w:val="0"/>
        </w:rPr>
        <w:tab/>
      </w:r>
      <w:r w:rsidRPr="00C60AD1">
        <w:rPr>
          <w:rFonts w:cs="Arial"/>
          <w:b/>
        </w:rPr>
        <w:t>CHARACTER OF SERVICE AND POINT OF SUPPLY:</w:t>
      </w:r>
    </w:p>
    <w:p w:rsidR="00D555F2" w:rsidRPr="00C60AD1" w:rsidRDefault="00D555F2" w:rsidP="00D555F2">
      <w:pPr>
        <w:tabs>
          <w:tab w:val="left" w:pos="360"/>
        </w:tabs>
        <w:spacing w:before="100"/>
        <w:ind w:left="360" w:right="11"/>
      </w:pPr>
      <w:r w:rsidRPr="00C60AD1">
        <w:t>Alternating Current, single phase, two phase or three phase, 50 cycles, 132 kV or below depending on the availability of voltage of supply and the sole discretion of the Licensee. The supply at each sub-station shall be separately metered and charged.</w:t>
      </w:r>
    </w:p>
    <w:p w:rsidR="00D555F2" w:rsidRPr="00C60AD1" w:rsidRDefault="00D555F2" w:rsidP="00D555F2"/>
    <w:p w:rsidR="00D555F2" w:rsidRPr="00C60AD1" w:rsidRDefault="00D555F2" w:rsidP="00D555F2">
      <w:pPr>
        <w:rPr>
          <w:b/>
        </w:rPr>
      </w:pPr>
      <w:r w:rsidRPr="00C60AD1">
        <w:rPr>
          <w:b/>
        </w:rPr>
        <w:t>3.   RATE:</w:t>
      </w:r>
    </w:p>
    <w:p w:rsidR="00D555F2" w:rsidRPr="00C60AD1" w:rsidRDefault="00D555F2" w:rsidP="00D555F2">
      <w:pPr>
        <w:spacing w:before="100" w:beforeAutospacing="1" w:after="240"/>
        <w:ind w:left="360" w:right="14"/>
      </w:pPr>
      <w:r w:rsidRPr="00C60AD1">
        <w:t>Rate, gives the energy charges at which the consumer shall be billed for consumption during the billing period applicable to the category:</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382"/>
      </w:tblGrid>
      <w:tr w:rsidR="00D555F2" w:rsidRPr="00C60AD1" w:rsidTr="00BB5A5A">
        <w:trPr>
          <w:jc w:val="center"/>
        </w:trPr>
        <w:tc>
          <w:tcPr>
            <w:tcW w:w="0" w:type="auto"/>
          </w:tcPr>
          <w:p w:rsidR="00D555F2" w:rsidRPr="00C60AD1" w:rsidRDefault="00D555F2" w:rsidP="00BB5A5A">
            <w:pPr>
              <w:spacing w:line="240" w:lineRule="auto"/>
              <w:rPr>
                <w:b/>
              </w:rPr>
            </w:pPr>
            <w:r w:rsidRPr="00C60AD1">
              <w:rPr>
                <w:b/>
              </w:rPr>
              <w:t>Demand Charges</w:t>
            </w:r>
          </w:p>
        </w:tc>
        <w:tc>
          <w:tcPr>
            <w:tcW w:w="0" w:type="auto"/>
          </w:tcPr>
          <w:p w:rsidR="00D555F2" w:rsidRPr="00C60AD1" w:rsidRDefault="00D555F2" w:rsidP="00BB5A5A">
            <w:pPr>
              <w:pStyle w:val="BodyText"/>
              <w:spacing w:line="240" w:lineRule="auto"/>
              <w:ind w:left="720"/>
            </w:pPr>
            <w:r w:rsidRPr="00C60AD1">
              <w:t xml:space="preserve">Rs. </w:t>
            </w:r>
            <w:r w:rsidRPr="00C60AD1">
              <w:rPr>
                <w:rFonts w:cs="Arial"/>
              </w:rPr>
              <w:t>12</w:t>
            </w:r>
            <w:r w:rsidRPr="00C60AD1">
              <w:t>5.00 / kVA / month</w:t>
            </w:r>
          </w:p>
        </w:tc>
      </w:tr>
      <w:tr w:rsidR="00D555F2" w:rsidRPr="00C60AD1" w:rsidTr="00BB5A5A">
        <w:trPr>
          <w:jc w:val="center"/>
        </w:trPr>
        <w:tc>
          <w:tcPr>
            <w:tcW w:w="0" w:type="auto"/>
          </w:tcPr>
          <w:p w:rsidR="00D555F2" w:rsidRPr="00C60AD1" w:rsidRDefault="00D555F2" w:rsidP="00BB5A5A">
            <w:pPr>
              <w:spacing w:line="240" w:lineRule="auto"/>
              <w:rPr>
                <w:b/>
              </w:rPr>
            </w:pPr>
            <w:r w:rsidRPr="00C60AD1">
              <w:rPr>
                <w:b/>
              </w:rPr>
              <w:t>Energy Charges</w:t>
            </w:r>
            <w:r w:rsidRPr="00C60AD1">
              <w:rPr>
                <w:b/>
              </w:rPr>
              <w:tab/>
              <w:t xml:space="preserve">                   </w:t>
            </w:r>
          </w:p>
        </w:tc>
        <w:tc>
          <w:tcPr>
            <w:tcW w:w="0" w:type="auto"/>
          </w:tcPr>
          <w:p w:rsidR="00D555F2" w:rsidRPr="00C60AD1" w:rsidRDefault="00D555F2" w:rsidP="00BB5A5A">
            <w:pPr>
              <w:pStyle w:val="BodyText"/>
              <w:spacing w:line="240" w:lineRule="auto"/>
              <w:ind w:left="720"/>
              <w:rPr>
                <w:lang w:val="en-US"/>
              </w:rPr>
            </w:pPr>
            <w:r w:rsidRPr="00C60AD1">
              <w:t>Rs. 5.</w:t>
            </w:r>
            <w:r w:rsidRPr="00C60AD1">
              <w:rPr>
                <w:rFonts w:cs="Arial"/>
              </w:rPr>
              <w:t>60</w:t>
            </w:r>
            <w:r w:rsidRPr="00C60AD1">
              <w:t xml:space="preserve"> / kVAh</w:t>
            </w:r>
          </w:p>
        </w:tc>
      </w:tr>
    </w:tbl>
    <w:p w:rsidR="00D555F2" w:rsidRPr="00C60AD1" w:rsidRDefault="00D555F2" w:rsidP="00D555F2">
      <w:pPr>
        <w:rPr>
          <w:i/>
          <w:sz w:val="22"/>
        </w:rPr>
      </w:pPr>
      <w:r w:rsidRPr="000873E5">
        <w:rPr>
          <w:b/>
          <w:i/>
          <w:sz w:val="22"/>
        </w:rPr>
        <w:t>Note:</w:t>
      </w:r>
      <w:r w:rsidRPr="000873E5">
        <w:rPr>
          <w:i/>
          <w:sz w:val="22"/>
        </w:rPr>
        <w:t xml:space="preserve"> Minimum bill payable by a consumer under this category shall be Rs. 600 / kVA / month.</w:t>
      </w:r>
    </w:p>
    <w:p w:rsidR="00D555F2" w:rsidRPr="00C60AD1" w:rsidRDefault="00D555F2" w:rsidP="00D555F2"/>
    <w:p w:rsidR="00D555F2" w:rsidRPr="00332FD1" w:rsidRDefault="00D555F2" w:rsidP="00D555F2">
      <w:pPr>
        <w:numPr>
          <w:ilvl w:val="0"/>
          <w:numId w:val="76"/>
        </w:numPr>
        <w:spacing w:before="0"/>
        <w:ind w:right="11"/>
        <w:jc w:val="left"/>
        <w:rPr>
          <w:b/>
        </w:rPr>
      </w:pPr>
      <w:r w:rsidRPr="00C60AD1">
        <w:t>Penalty @ Rs. 540 / kVA will be charged on excess demand, if demand exceeds contracted load.</w:t>
      </w:r>
      <w:r w:rsidRPr="00C60AD1" w:rsidDel="0048717E">
        <w:t xml:space="preserve"> </w:t>
      </w:r>
    </w:p>
    <w:p w:rsidR="00D555F2" w:rsidRDefault="00D555F2" w:rsidP="00D555F2">
      <w:pPr>
        <w:ind w:left="765" w:right="11"/>
        <w:jc w:val="left"/>
        <w:rPr>
          <w:b/>
        </w:rPr>
      </w:pPr>
    </w:p>
    <w:p w:rsidR="00D555F2" w:rsidRPr="00C60AD1" w:rsidRDefault="00D555F2" w:rsidP="00D555F2">
      <w:pPr>
        <w:spacing w:before="100"/>
        <w:ind w:right="29"/>
        <w:rPr>
          <w:b/>
        </w:rPr>
      </w:pPr>
      <w:r w:rsidRPr="00C60AD1">
        <w:rPr>
          <w:b/>
        </w:rPr>
        <w:t xml:space="preserve">4.    DETERMINATION OF THE DEMAND: </w:t>
      </w:r>
    </w:p>
    <w:p w:rsidR="00D555F2" w:rsidRPr="00C60AD1" w:rsidRDefault="00D555F2" w:rsidP="00D555F2">
      <w:pPr>
        <w:pStyle w:val="BodyText"/>
        <w:tabs>
          <w:tab w:val="left" w:pos="360"/>
          <w:tab w:val="left" w:pos="450"/>
        </w:tabs>
        <w:spacing w:line="288" w:lineRule="auto"/>
        <w:ind w:left="450" w:right="11"/>
      </w:pPr>
      <w:r w:rsidRPr="00C60AD1">
        <w:t>Demand measurement shall be made by suitable kilovolt ampere indicator at the point of delivery. The demand for any month shall be defined as the highest average load measured in Kilo Volt</w:t>
      </w:r>
      <w:r>
        <w:t xml:space="preserve"> </w:t>
      </w:r>
      <w:r w:rsidRPr="00C60AD1">
        <w:t>Amperes during any fifteen consecutive minutes period of the month.</w:t>
      </w:r>
    </w:p>
    <w:p w:rsidR="00D555F2" w:rsidRDefault="00D555F2" w:rsidP="00D555F2">
      <w:pPr>
        <w:ind w:right="11"/>
        <w:jc w:val="center"/>
        <w:rPr>
          <w:b/>
          <w:bCs/>
          <w:u w:val="single"/>
        </w:rPr>
      </w:pPr>
      <w:r w:rsidRPr="00C60AD1">
        <w:br w:type="page"/>
      </w:r>
      <w:r w:rsidRPr="00C60AD1">
        <w:rPr>
          <w:b/>
          <w:bCs/>
          <w:u w:val="single"/>
        </w:rPr>
        <w:lastRenderedPageBreak/>
        <w:t>RATE SCHEDULE HV – 4:</w:t>
      </w:r>
    </w:p>
    <w:p w:rsidR="00D555F2" w:rsidRPr="00C60AD1" w:rsidRDefault="00D555F2" w:rsidP="00D555F2">
      <w:pPr>
        <w:spacing w:before="0"/>
        <w:ind w:right="11"/>
        <w:jc w:val="center"/>
        <w:rPr>
          <w:b/>
          <w:bCs/>
          <w:u w:val="single"/>
        </w:rPr>
      </w:pPr>
    </w:p>
    <w:p w:rsidR="00D555F2" w:rsidRPr="00C60AD1" w:rsidRDefault="00D555F2" w:rsidP="00D555F2">
      <w:pPr>
        <w:spacing w:before="100" w:beforeAutospacing="1"/>
        <w:ind w:right="29"/>
        <w:jc w:val="center"/>
        <w:rPr>
          <w:rFonts w:cs="Arial"/>
          <w:b/>
        </w:rPr>
      </w:pPr>
      <w:r w:rsidRPr="00C60AD1">
        <w:rPr>
          <w:rFonts w:cs="Arial"/>
          <w:b/>
        </w:rPr>
        <w:t>LIFT IRRIGATION WORKS:</w:t>
      </w:r>
    </w:p>
    <w:p w:rsidR="00D555F2" w:rsidRDefault="00D555F2" w:rsidP="00D555F2">
      <w:pPr>
        <w:numPr>
          <w:ilvl w:val="0"/>
          <w:numId w:val="84"/>
        </w:numPr>
        <w:spacing w:before="100" w:beforeAutospacing="1" w:line="288" w:lineRule="auto"/>
        <w:ind w:right="29"/>
        <w:rPr>
          <w:rFonts w:cs="Arial"/>
          <w:b/>
        </w:rPr>
      </w:pPr>
      <w:r w:rsidRPr="00C60AD1">
        <w:rPr>
          <w:rFonts w:cs="Arial"/>
          <w:b/>
        </w:rPr>
        <w:t>APPLICABILITY:</w:t>
      </w:r>
    </w:p>
    <w:p w:rsidR="00D555F2" w:rsidRPr="00C60AD1" w:rsidRDefault="00D555F2" w:rsidP="00D555F2">
      <w:pPr>
        <w:tabs>
          <w:tab w:val="left" w:pos="360"/>
        </w:tabs>
        <w:ind w:left="360" w:right="29"/>
        <w:rPr>
          <w:rFonts w:cs="Arial"/>
        </w:rPr>
      </w:pPr>
      <w:r w:rsidRPr="00C60AD1">
        <w:rPr>
          <w:rFonts w:cs="Arial"/>
        </w:rPr>
        <w:t>This Rate Schedule shall apply to medium and large pumped canals having load of more than 100 BHP (75kW).</w:t>
      </w:r>
    </w:p>
    <w:p w:rsidR="00D555F2" w:rsidRPr="00C60AD1" w:rsidRDefault="00D555F2" w:rsidP="00D555F2">
      <w:pPr>
        <w:tabs>
          <w:tab w:val="left" w:pos="360"/>
        </w:tabs>
        <w:ind w:left="360" w:right="29"/>
        <w:rPr>
          <w:rFonts w:cs="Arial"/>
        </w:rPr>
      </w:pPr>
      <w:r w:rsidRPr="00C60AD1">
        <w:rPr>
          <w:rFonts w:cs="Arial"/>
        </w:rPr>
        <w:tab/>
      </w:r>
    </w:p>
    <w:p w:rsidR="00D555F2" w:rsidRDefault="00D555F2" w:rsidP="00D555F2">
      <w:pPr>
        <w:numPr>
          <w:ilvl w:val="0"/>
          <w:numId w:val="84"/>
        </w:numPr>
        <w:tabs>
          <w:tab w:val="clear" w:pos="360"/>
          <w:tab w:val="num" w:pos="450"/>
        </w:tabs>
        <w:spacing w:before="60" w:after="100" w:line="288" w:lineRule="auto"/>
        <w:ind w:left="720" w:right="28" w:hanging="720"/>
        <w:rPr>
          <w:b/>
        </w:rPr>
      </w:pPr>
      <w:r w:rsidRPr="00C60AD1">
        <w:rPr>
          <w:b/>
        </w:rPr>
        <w:t>CHARACTER OF SERVICE &amp; POINT OF SUPPLY:</w:t>
      </w:r>
    </w:p>
    <w:p w:rsidR="00D555F2" w:rsidRPr="00C60AD1" w:rsidRDefault="00D555F2" w:rsidP="00D555F2">
      <w:pPr>
        <w:spacing w:before="100" w:after="100"/>
        <w:ind w:left="360" w:right="29"/>
      </w:pPr>
      <w:r w:rsidRPr="00C60AD1">
        <w:t>As per applicable provisions of Electricity Supply Code.</w:t>
      </w:r>
    </w:p>
    <w:p w:rsidR="00D555F2" w:rsidRDefault="00D555F2" w:rsidP="00D555F2">
      <w:pPr>
        <w:spacing w:before="0"/>
        <w:ind w:left="357" w:right="28"/>
      </w:pPr>
    </w:p>
    <w:p w:rsidR="00D555F2" w:rsidRDefault="00D555F2" w:rsidP="00D555F2">
      <w:pPr>
        <w:numPr>
          <w:ilvl w:val="0"/>
          <w:numId w:val="84"/>
        </w:numPr>
        <w:spacing w:before="60" w:after="100" w:afterAutospacing="1" w:line="288" w:lineRule="auto"/>
        <w:ind w:left="357" w:right="28" w:hanging="357"/>
        <w:rPr>
          <w:rFonts w:cs="Arial"/>
          <w:b/>
        </w:rPr>
      </w:pPr>
      <w:r w:rsidRPr="00C60AD1">
        <w:rPr>
          <w:rFonts w:cs="Arial"/>
          <w:b/>
        </w:rPr>
        <w:t xml:space="preserve">RATE: </w:t>
      </w:r>
    </w:p>
    <w:p w:rsidR="00D555F2" w:rsidRPr="00C60AD1" w:rsidRDefault="00D555F2" w:rsidP="00D555F2">
      <w:pPr>
        <w:spacing w:before="100" w:beforeAutospacing="1" w:after="100" w:afterAutospacing="1"/>
        <w:ind w:left="360" w:right="29"/>
      </w:pPr>
      <w:r w:rsidRPr="00C60AD1">
        <w:t xml:space="preserve">Rate, gives the demand and energy charges at which the consumer shall be billed for his consumption during the billing period applicable to the category: </w:t>
      </w:r>
    </w:p>
    <w:p w:rsidR="00D555F2" w:rsidRPr="00C60AD1" w:rsidRDefault="00D555F2" w:rsidP="00D555F2">
      <w:pPr>
        <w:ind w:left="360" w:right="29"/>
        <w:rPr>
          <w:rFonts w:cs="Arial"/>
          <w:b/>
        </w:rPr>
      </w:pPr>
      <w:r w:rsidRPr="00C60AD1">
        <w:rPr>
          <w:rFonts w:cs="Arial"/>
          <w:b/>
        </w:rPr>
        <w:t>(a)</w:t>
      </w:r>
      <w:r w:rsidRPr="00C60AD1">
        <w:rPr>
          <w:rFonts w:cs="Arial"/>
          <w:b/>
        </w:rPr>
        <w:tab/>
        <w:t>Demand Charges:</w:t>
      </w:r>
    </w:p>
    <w:tbl>
      <w:tblPr>
        <w:tblpPr w:leftFromText="180" w:rightFromText="180" w:vertAnchor="text" w:horzAnchor="margin" w:tblpXSpec="center" w:tblpY="16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230"/>
        <w:gridCol w:w="3078"/>
      </w:tblGrid>
      <w:tr w:rsidR="00D555F2" w:rsidRPr="00C60AD1" w:rsidTr="00BB5A5A">
        <w:trPr>
          <w:trHeight w:val="225"/>
        </w:trPr>
        <w:tc>
          <w:tcPr>
            <w:tcW w:w="4230" w:type="dxa"/>
            <w:tcBorders>
              <w:bottom w:val="single" w:sz="4" w:space="0" w:color="auto"/>
            </w:tcBorders>
            <w:shd w:val="clear" w:color="auto" w:fill="DBE5F1" w:themeFill="accent1" w:themeFillTint="33"/>
          </w:tcPr>
          <w:p w:rsidR="00D555F2" w:rsidRPr="00C60AD1" w:rsidRDefault="00D555F2" w:rsidP="00BB5A5A">
            <w:pPr>
              <w:pStyle w:val="BodyText"/>
              <w:spacing w:line="288" w:lineRule="auto"/>
              <w:jc w:val="center"/>
              <w:rPr>
                <w:rFonts w:cs="Arial"/>
                <w:b/>
                <w:bCs/>
              </w:rPr>
            </w:pPr>
            <w:r w:rsidRPr="00C60AD1">
              <w:rPr>
                <w:rFonts w:cs="Arial"/>
                <w:b/>
                <w:bCs/>
              </w:rPr>
              <w:t>Voltage Level</w:t>
            </w:r>
          </w:p>
        </w:tc>
        <w:tc>
          <w:tcPr>
            <w:tcW w:w="3078" w:type="dxa"/>
            <w:tcBorders>
              <w:bottom w:val="single" w:sz="4" w:space="0" w:color="auto"/>
            </w:tcBorders>
            <w:shd w:val="clear" w:color="auto" w:fill="DBE5F1" w:themeFill="accent1" w:themeFillTint="33"/>
          </w:tcPr>
          <w:p w:rsidR="00D555F2" w:rsidRPr="00C60AD1" w:rsidRDefault="00D555F2" w:rsidP="00BB5A5A">
            <w:pPr>
              <w:pStyle w:val="BodyText"/>
              <w:spacing w:line="288" w:lineRule="auto"/>
              <w:jc w:val="center"/>
              <w:rPr>
                <w:rFonts w:cs="Arial"/>
                <w:b/>
                <w:bCs/>
              </w:rPr>
            </w:pPr>
            <w:r w:rsidRPr="00C60AD1">
              <w:rPr>
                <w:rFonts w:cs="Arial"/>
                <w:b/>
                <w:bCs/>
              </w:rPr>
              <w:t>Rate of Charge</w:t>
            </w:r>
          </w:p>
        </w:tc>
      </w:tr>
      <w:tr w:rsidR="00D555F2" w:rsidRPr="00C60AD1" w:rsidTr="00BB5A5A">
        <w:trPr>
          <w:trHeight w:val="893"/>
        </w:trPr>
        <w:tc>
          <w:tcPr>
            <w:tcW w:w="4230" w:type="dxa"/>
            <w:tcBorders>
              <w:top w:val="single" w:sz="4" w:space="0" w:color="auto"/>
            </w:tcBorders>
          </w:tcPr>
          <w:p w:rsidR="00D555F2" w:rsidRPr="00C60AD1" w:rsidRDefault="00D555F2" w:rsidP="00BB5A5A">
            <w:pPr>
              <w:pStyle w:val="BodyText"/>
              <w:spacing w:line="288" w:lineRule="auto"/>
              <w:jc w:val="left"/>
              <w:rPr>
                <w:rFonts w:cs="Arial"/>
              </w:rPr>
            </w:pPr>
            <w:r w:rsidRPr="00C60AD1">
              <w:rPr>
                <w:rFonts w:cs="Arial"/>
              </w:rPr>
              <w:t xml:space="preserve">For supply at 11 kV </w:t>
            </w:r>
          </w:p>
          <w:p w:rsidR="00D555F2" w:rsidRPr="00C60AD1" w:rsidRDefault="00D555F2" w:rsidP="00BB5A5A">
            <w:pPr>
              <w:pStyle w:val="BodyText"/>
              <w:spacing w:line="288" w:lineRule="auto"/>
              <w:jc w:val="left"/>
              <w:rPr>
                <w:rFonts w:cs="Arial"/>
              </w:rPr>
            </w:pPr>
            <w:r w:rsidRPr="00C60AD1">
              <w:rPr>
                <w:rFonts w:cs="Arial"/>
              </w:rPr>
              <w:t xml:space="preserve">For supply at 33 kV and 66 kV </w:t>
            </w:r>
          </w:p>
          <w:p w:rsidR="00D555F2" w:rsidRPr="00C60AD1" w:rsidRDefault="00D555F2" w:rsidP="00BB5A5A">
            <w:pPr>
              <w:pStyle w:val="BodyText"/>
              <w:spacing w:line="288" w:lineRule="auto"/>
              <w:jc w:val="left"/>
              <w:rPr>
                <w:rFonts w:cs="Arial"/>
                <w:b/>
              </w:rPr>
            </w:pPr>
            <w:r w:rsidRPr="00C60AD1">
              <w:rPr>
                <w:rFonts w:cs="Arial"/>
              </w:rPr>
              <w:t>For supply at  132 kV</w:t>
            </w:r>
          </w:p>
        </w:tc>
        <w:tc>
          <w:tcPr>
            <w:tcW w:w="3078" w:type="dxa"/>
            <w:tcBorders>
              <w:top w:val="single" w:sz="4" w:space="0" w:color="auto"/>
            </w:tcBorders>
          </w:tcPr>
          <w:p w:rsidR="00D555F2" w:rsidRPr="00C60AD1" w:rsidRDefault="00D555F2" w:rsidP="00BB5A5A">
            <w:pPr>
              <w:pStyle w:val="BodyText"/>
              <w:spacing w:line="288" w:lineRule="auto"/>
              <w:jc w:val="center"/>
              <w:rPr>
                <w:rFonts w:cs="Arial"/>
              </w:rPr>
            </w:pPr>
            <w:r w:rsidRPr="00C60AD1">
              <w:rPr>
                <w:rFonts w:cs="Arial"/>
              </w:rPr>
              <w:t>Rs. 2</w:t>
            </w:r>
            <w:r>
              <w:t>9</w:t>
            </w:r>
            <w:r w:rsidRPr="00C60AD1">
              <w:t xml:space="preserve">0.00 </w:t>
            </w:r>
            <w:r w:rsidRPr="00C60AD1">
              <w:rPr>
                <w:rFonts w:cs="Arial"/>
              </w:rPr>
              <w:t>/ kVA / month</w:t>
            </w:r>
          </w:p>
          <w:p w:rsidR="00D555F2" w:rsidRPr="00C60AD1" w:rsidRDefault="00D555F2" w:rsidP="00BB5A5A">
            <w:pPr>
              <w:pStyle w:val="BodyText"/>
              <w:spacing w:line="288" w:lineRule="auto"/>
              <w:jc w:val="center"/>
              <w:rPr>
                <w:rFonts w:cs="Arial"/>
              </w:rPr>
            </w:pPr>
            <w:r w:rsidRPr="00C60AD1">
              <w:rPr>
                <w:rFonts w:cs="Arial"/>
              </w:rPr>
              <w:t>Rs. 2</w:t>
            </w:r>
            <w:r>
              <w:rPr>
                <w:rFonts w:cs="Arial"/>
              </w:rPr>
              <w:t>8</w:t>
            </w:r>
            <w:r w:rsidRPr="00C60AD1">
              <w:rPr>
                <w:rFonts w:cs="Arial"/>
              </w:rPr>
              <w:t>0.00 / kVA / month</w:t>
            </w:r>
          </w:p>
          <w:p w:rsidR="00D555F2" w:rsidRPr="00C60AD1" w:rsidRDefault="00D555F2" w:rsidP="00BB5A5A">
            <w:pPr>
              <w:pStyle w:val="BodyText"/>
              <w:spacing w:line="288" w:lineRule="auto"/>
              <w:jc w:val="center"/>
              <w:rPr>
                <w:rFonts w:cs="Arial"/>
              </w:rPr>
            </w:pPr>
            <w:r w:rsidRPr="00C60AD1">
              <w:rPr>
                <w:rFonts w:cs="Arial"/>
              </w:rPr>
              <w:t>Rs.  2</w:t>
            </w:r>
            <w:r>
              <w:rPr>
                <w:rFonts w:cs="Arial"/>
              </w:rPr>
              <w:t>7</w:t>
            </w:r>
            <w:r w:rsidRPr="00C60AD1">
              <w:rPr>
                <w:rFonts w:cs="Arial"/>
              </w:rPr>
              <w:t>0.00 / kVA / month</w:t>
            </w:r>
          </w:p>
        </w:tc>
      </w:tr>
    </w:tbl>
    <w:p w:rsidR="00D555F2" w:rsidRPr="00C60AD1" w:rsidRDefault="00D555F2" w:rsidP="00D555F2">
      <w:pPr>
        <w:pStyle w:val="BodyText"/>
        <w:spacing w:line="288" w:lineRule="auto"/>
        <w:jc w:val="left"/>
      </w:pPr>
      <w:r w:rsidRPr="00C60AD1">
        <w:tab/>
      </w:r>
    </w:p>
    <w:p w:rsidR="00D555F2" w:rsidRPr="00C60AD1" w:rsidRDefault="00D555F2" w:rsidP="00D555F2">
      <w:pPr>
        <w:pStyle w:val="BodyText"/>
        <w:spacing w:before="100" w:beforeAutospacing="1" w:after="100" w:afterAutospacing="1" w:line="288" w:lineRule="auto"/>
        <w:ind w:left="720" w:hanging="360"/>
        <w:jc w:val="left"/>
        <w:rPr>
          <w:b/>
        </w:rPr>
      </w:pPr>
    </w:p>
    <w:p w:rsidR="00D555F2" w:rsidRPr="00C60AD1" w:rsidRDefault="00D555F2" w:rsidP="00D555F2">
      <w:pPr>
        <w:pStyle w:val="BodyText"/>
        <w:spacing w:before="100" w:beforeAutospacing="1" w:after="100" w:afterAutospacing="1" w:line="288" w:lineRule="auto"/>
        <w:ind w:left="720" w:hanging="360"/>
        <w:jc w:val="left"/>
        <w:rPr>
          <w:b/>
        </w:rPr>
      </w:pPr>
    </w:p>
    <w:p w:rsidR="00D555F2" w:rsidRPr="00C60AD1" w:rsidRDefault="00D555F2" w:rsidP="00D555F2">
      <w:pPr>
        <w:pStyle w:val="BodyText"/>
        <w:numPr>
          <w:ilvl w:val="0"/>
          <w:numId w:val="87"/>
        </w:numPr>
        <w:spacing w:before="100" w:beforeAutospacing="1" w:line="288" w:lineRule="auto"/>
        <w:ind w:left="714" w:hanging="357"/>
        <w:jc w:val="left"/>
      </w:pPr>
      <w:r w:rsidRPr="00C60AD1">
        <w:rPr>
          <w:b/>
        </w:rPr>
        <w:t>Energy Charges</w:t>
      </w:r>
      <w:r w:rsidRPr="00C60AD1">
        <w:t>:</w:t>
      </w:r>
    </w:p>
    <w:tbl>
      <w:tblPr>
        <w:tblpPr w:leftFromText="180" w:rightFromText="180" w:vertAnchor="text" w:horzAnchor="margin" w:tblpXSpec="center" w:tblpY="9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230"/>
        <w:gridCol w:w="3078"/>
      </w:tblGrid>
      <w:tr w:rsidR="00D555F2" w:rsidRPr="00C60AD1" w:rsidTr="00BB5A5A">
        <w:trPr>
          <w:trHeight w:val="252"/>
        </w:trPr>
        <w:tc>
          <w:tcPr>
            <w:tcW w:w="4230" w:type="dxa"/>
            <w:tcBorders>
              <w:bottom w:val="single" w:sz="4" w:space="0" w:color="auto"/>
            </w:tcBorders>
            <w:shd w:val="clear" w:color="auto" w:fill="DBE5F1" w:themeFill="accent1" w:themeFillTint="33"/>
          </w:tcPr>
          <w:p w:rsidR="00D555F2" w:rsidRPr="00C60AD1" w:rsidRDefault="00D555F2" w:rsidP="00BB5A5A">
            <w:pPr>
              <w:pStyle w:val="BodyText"/>
              <w:spacing w:line="288" w:lineRule="auto"/>
              <w:jc w:val="center"/>
              <w:rPr>
                <w:rFonts w:cs="Arial"/>
                <w:b/>
                <w:bCs/>
              </w:rPr>
            </w:pPr>
            <w:r w:rsidRPr="00C60AD1">
              <w:rPr>
                <w:rFonts w:cs="Arial"/>
                <w:b/>
                <w:bCs/>
              </w:rPr>
              <w:t>Voltage Level</w:t>
            </w:r>
          </w:p>
        </w:tc>
        <w:tc>
          <w:tcPr>
            <w:tcW w:w="3078" w:type="dxa"/>
            <w:tcBorders>
              <w:bottom w:val="single" w:sz="4" w:space="0" w:color="auto"/>
            </w:tcBorders>
            <w:shd w:val="clear" w:color="auto" w:fill="DBE5F1" w:themeFill="accent1" w:themeFillTint="33"/>
          </w:tcPr>
          <w:p w:rsidR="00D555F2" w:rsidRPr="00C60AD1" w:rsidRDefault="00D555F2" w:rsidP="00BB5A5A">
            <w:pPr>
              <w:pStyle w:val="BodyText"/>
              <w:spacing w:line="288" w:lineRule="auto"/>
              <w:jc w:val="center"/>
              <w:rPr>
                <w:rFonts w:cs="Arial"/>
                <w:b/>
                <w:bCs/>
              </w:rPr>
            </w:pPr>
            <w:r w:rsidRPr="00C60AD1">
              <w:rPr>
                <w:rFonts w:cs="Arial"/>
                <w:b/>
                <w:bCs/>
              </w:rPr>
              <w:t>Rate of Charge</w:t>
            </w:r>
          </w:p>
        </w:tc>
      </w:tr>
      <w:tr w:rsidR="00D555F2" w:rsidRPr="00C60AD1" w:rsidTr="00BB5A5A">
        <w:trPr>
          <w:trHeight w:val="887"/>
        </w:trPr>
        <w:tc>
          <w:tcPr>
            <w:tcW w:w="4230" w:type="dxa"/>
            <w:tcBorders>
              <w:top w:val="single" w:sz="4" w:space="0" w:color="auto"/>
              <w:bottom w:val="single" w:sz="4" w:space="0" w:color="auto"/>
            </w:tcBorders>
          </w:tcPr>
          <w:p w:rsidR="00D555F2" w:rsidRPr="00C60AD1" w:rsidRDefault="00D555F2" w:rsidP="00BB5A5A">
            <w:pPr>
              <w:pStyle w:val="BodyText"/>
              <w:spacing w:line="288" w:lineRule="auto"/>
              <w:jc w:val="left"/>
              <w:rPr>
                <w:rFonts w:cs="Arial"/>
              </w:rPr>
            </w:pPr>
            <w:r w:rsidRPr="00C60AD1">
              <w:rPr>
                <w:rFonts w:cs="Arial"/>
              </w:rPr>
              <w:t xml:space="preserve">For supply at 11 kV </w:t>
            </w:r>
          </w:p>
          <w:p w:rsidR="00D555F2" w:rsidRPr="00C60AD1" w:rsidRDefault="00D555F2" w:rsidP="00BB5A5A">
            <w:pPr>
              <w:pStyle w:val="BodyText"/>
              <w:spacing w:line="288" w:lineRule="auto"/>
              <w:jc w:val="left"/>
              <w:rPr>
                <w:rFonts w:cs="Arial"/>
              </w:rPr>
            </w:pPr>
            <w:r w:rsidRPr="00C60AD1">
              <w:rPr>
                <w:rFonts w:cs="Arial"/>
              </w:rPr>
              <w:t xml:space="preserve">For supply at 33 kV and 66 kV </w:t>
            </w:r>
          </w:p>
          <w:p w:rsidR="00D555F2" w:rsidRPr="00C60AD1" w:rsidRDefault="00D555F2" w:rsidP="00BB5A5A">
            <w:pPr>
              <w:pStyle w:val="BodyText"/>
              <w:spacing w:line="288" w:lineRule="auto"/>
              <w:jc w:val="left"/>
              <w:rPr>
                <w:rFonts w:cs="Arial"/>
              </w:rPr>
            </w:pPr>
            <w:r w:rsidRPr="00C60AD1">
              <w:rPr>
                <w:rFonts w:cs="Arial"/>
              </w:rPr>
              <w:t>For supply at 132 kV</w:t>
            </w:r>
          </w:p>
        </w:tc>
        <w:tc>
          <w:tcPr>
            <w:tcW w:w="3078" w:type="dxa"/>
            <w:tcBorders>
              <w:top w:val="single" w:sz="4" w:space="0" w:color="auto"/>
              <w:bottom w:val="single" w:sz="4" w:space="0" w:color="auto"/>
            </w:tcBorders>
          </w:tcPr>
          <w:p w:rsidR="00D555F2" w:rsidRPr="00C60AD1" w:rsidRDefault="00D555F2" w:rsidP="00BB5A5A">
            <w:pPr>
              <w:pStyle w:val="BodyText"/>
              <w:spacing w:line="288" w:lineRule="auto"/>
              <w:jc w:val="center"/>
              <w:rPr>
                <w:rFonts w:cs="Arial"/>
                <w:lang w:val="sv-SE"/>
              </w:rPr>
            </w:pPr>
            <w:r w:rsidRPr="00C60AD1">
              <w:rPr>
                <w:rFonts w:cs="Arial"/>
                <w:lang w:val="sv-SE"/>
              </w:rPr>
              <w:t xml:space="preserve">Rs. </w:t>
            </w:r>
            <w:r>
              <w:rPr>
                <w:rFonts w:cs="Arial"/>
                <w:lang w:val="sv-SE"/>
              </w:rPr>
              <w:t>7.40</w:t>
            </w:r>
            <w:r w:rsidRPr="00C60AD1">
              <w:rPr>
                <w:rFonts w:cs="Arial"/>
                <w:lang w:val="sv-SE"/>
              </w:rPr>
              <w:t xml:space="preserve"> / kVAh</w:t>
            </w:r>
          </w:p>
          <w:p w:rsidR="00D555F2" w:rsidRPr="00C60AD1" w:rsidRDefault="00D555F2" w:rsidP="00BB5A5A">
            <w:pPr>
              <w:pStyle w:val="BodyText"/>
              <w:spacing w:line="288" w:lineRule="auto"/>
              <w:jc w:val="center"/>
              <w:rPr>
                <w:rFonts w:cs="Arial"/>
                <w:lang w:val="sv-SE"/>
              </w:rPr>
            </w:pPr>
            <w:r w:rsidRPr="00C60AD1">
              <w:rPr>
                <w:rFonts w:cs="Arial"/>
                <w:lang w:val="sv-SE"/>
              </w:rPr>
              <w:t xml:space="preserve">Rs. </w:t>
            </w:r>
            <w:r>
              <w:rPr>
                <w:rFonts w:cs="Arial"/>
              </w:rPr>
              <w:t>7.25</w:t>
            </w:r>
            <w:r w:rsidRPr="00C60AD1">
              <w:rPr>
                <w:rFonts w:cs="Arial"/>
                <w:lang w:val="sv-SE"/>
              </w:rPr>
              <w:t xml:space="preserve"> / kVAh</w:t>
            </w:r>
          </w:p>
          <w:p w:rsidR="00D555F2" w:rsidRPr="00C60AD1" w:rsidRDefault="00D555F2" w:rsidP="00BB5A5A">
            <w:pPr>
              <w:pStyle w:val="BodyText"/>
              <w:spacing w:line="288" w:lineRule="auto"/>
              <w:jc w:val="center"/>
              <w:rPr>
                <w:rFonts w:cs="Arial"/>
                <w:lang w:val="sv-SE"/>
              </w:rPr>
            </w:pPr>
            <w:r w:rsidRPr="00C60AD1">
              <w:rPr>
                <w:rFonts w:cs="Arial"/>
                <w:lang w:val="sv-SE"/>
              </w:rPr>
              <w:t xml:space="preserve">Rs. </w:t>
            </w:r>
            <w:r>
              <w:rPr>
                <w:rFonts w:cs="Arial"/>
                <w:lang w:val="sv-SE"/>
              </w:rPr>
              <w:t>7.05</w:t>
            </w:r>
            <w:r w:rsidRPr="00C60AD1">
              <w:rPr>
                <w:rFonts w:cs="Arial"/>
                <w:lang w:val="sv-SE"/>
              </w:rPr>
              <w:t xml:space="preserve"> / kVAh</w:t>
            </w:r>
          </w:p>
        </w:tc>
      </w:tr>
    </w:tbl>
    <w:p w:rsidR="00D555F2" w:rsidRPr="00C60AD1" w:rsidRDefault="00D555F2" w:rsidP="00D555F2">
      <w:pPr>
        <w:pStyle w:val="BodyText"/>
        <w:spacing w:before="100" w:beforeAutospacing="1" w:after="100" w:afterAutospacing="1" w:line="288" w:lineRule="auto"/>
        <w:jc w:val="left"/>
        <w:rPr>
          <w:lang w:val="sv-SE"/>
        </w:rPr>
      </w:pPr>
    </w:p>
    <w:p w:rsidR="00D555F2" w:rsidRPr="00C60AD1" w:rsidRDefault="00D555F2" w:rsidP="00D555F2">
      <w:pPr>
        <w:pStyle w:val="BodyText"/>
        <w:spacing w:before="100" w:beforeAutospacing="1" w:after="100" w:afterAutospacing="1" w:line="288" w:lineRule="auto"/>
        <w:jc w:val="left"/>
        <w:rPr>
          <w:lang w:val="sv-SE"/>
        </w:rPr>
      </w:pPr>
    </w:p>
    <w:p w:rsidR="00D555F2" w:rsidRPr="00C60AD1" w:rsidRDefault="00D555F2" w:rsidP="00D555F2">
      <w:pPr>
        <w:ind w:left="720" w:hanging="360"/>
        <w:rPr>
          <w:rFonts w:cs="Arial"/>
          <w:b/>
          <w:lang w:val="sv-SE"/>
        </w:rPr>
      </w:pPr>
    </w:p>
    <w:p w:rsidR="00D555F2" w:rsidRDefault="00D555F2" w:rsidP="00D555F2">
      <w:pPr>
        <w:ind w:left="360"/>
        <w:jc w:val="left"/>
        <w:rPr>
          <w:rFonts w:cs="Arial"/>
          <w:b/>
          <w:lang w:val="sv-SE"/>
        </w:rPr>
      </w:pPr>
    </w:p>
    <w:p w:rsidR="00D555F2" w:rsidRPr="00C60AD1" w:rsidRDefault="00D555F2" w:rsidP="00D555F2">
      <w:pPr>
        <w:ind w:left="360"/>
      </w:pPr>
    </w:p>
    <w:p w:rsidR="00D555F2" w:rsidRPr="00C60AD1" w:rsidRDefault="00D555F2" w:rsidP="00D555F2">
      <w:pPr>
        <w:pStyle w:val="ListParagraph"/>
        <w:numPr>
          <w:ilvl w:val="0"/>
          <w:numId w:val="86"/>
        </w:numPr>
        <w:spacing w:before="0" w:line="240" w:lineRule="auto"/>
        <w:jc w:val="left"/>
        <w:rPr>
          <w:b/>
        </w:rPr>
      </w:pPr>
      <w:r w:rsidRPr="00C60AD1">
        <w:rPr>
          <w:b/>
        </w:rPr>
        <w:t>Minimum Charges:</w:t>
      </w:r>
    </w:p>
    <w:p w:rsidR="00D555F2" w:rsidRDefault="00D555F2" w:rsidP="00D555F2">
      <w:pPr>
        <w:pStyle w:val="ListParagraph"/>
        <w:spacing w:line="240" w:lineRule="auto"/>
        <w:jc w:val="left"/>
      </w:pPr>
      <w:r w:rsidRPr="00C60AD1">
        <w:lastRenderedPageBreak/>
        <w:t>Minimum bill payable by a consumer under this category shall be Rs. 800.00 / kVA / month irrespective of supply voltage</w:t>
      </w:r>
    </w:p>
    <w:p w:rsidR="00D555F2" w:rsidRDefault="00D555F2" w:rsidP="00D555F2">
      <w:pPr>
        <w:pStyle w:val="ListParagraph"/>
        <w:spacing w:after="240" w:line="240" w:lineRule="auto"/>
        <w:jc w:val="left"/>
        <w:rPr>
          <w:b/>
        </w:rPr>
      </w:pPr>
    </w:p>
    <w:p w:rsidR="00D555F2" w:rsidRPr="00C60AD1" w:rsidRDefault="00D555F2" w:rsidP="00D555F2">
      <w:pPr>
        <w:tabs>
          <w:tab w:val="left" w:pos="360"/>
          <w:tab w:val="left" w:pos="900"/>
        </w:tabs>
        <w:spacing w:before="100" w:after="100"/>
        <w:ind w:right="29"/>
        <w:rPr>
          <w:b/>
        </w:rPr>
      </w:pPr>
      <w:r w:rsidRPr="00C60AD1">
        <w:rPr>
          <w:b/>
        </w:rPr>
        <w:t>4.</w:t>
      </w:r>
      <w:r w:rsidRPr="00C60AD1">
        <w:rPr>
          <w:b/>
        </w:rPr>
        <w:tab/>
        <w:t xml:space="preserve">DETERMINATION OF THE DEMAND: </w:t>
      </w:r>
    </w:p>
    <w:p w:rsidR="00D555F2" w:rsidRPr="00C60AD1" w:rsidRDefault="00D555F2" w:rsidP="00D555F2">
      <w:pPr>
        <w:tabs>
          <w:tab w:val="left" w:pos="360"/>
        </w:tabs>
        <w:ind w:left="360" w:right="29"/>
      </w:pPr>
      <w:r w:rsidRPr="00C60AD1">
        <w:t xml:space="preserve">Demand measurement shall be made by suitable kilovolt ampere indicator at the point of supply. In the absence of suitable demand indicator, the demand as assessed by the Licensee shall be final and binding. If, however, the number of circuits is more than one, demand and energy measurement will be done on the principle of current transformer summation metering. </w:t>
      </w:r>
    </w:p>
    <w:p w:rsidR="00D555F2" w:rsidRDefault="00D555F2" w:rsidP="00D555F2">
      <w:pPr>
        <w:spacing w:line="240" w:lineRule="auto"/>
        <w:jc w:val="left"/>
        <w:rPr>
          <w:b/>
          <w:u w:val="single"/>
        </w:rPr>
      </w:pPr>
    </w:p>
    <w:p w:rsidR="00D555F2" w:rsidRDefault="00D555F2" w:rsidP="00D555F2">
      <w:pPr>
        <w:spacing w:before="0" w:line="240" w:lineRule="auto"/>
        <w:jc w:val="left"/>
        <w:rPr>
          <w:rFonts w:cs="Arial"/>
          <w:b/>
          <w:bCs/>
          <w:szCs w:val="26"/>
        </w:rPr>
      </w:pPr>
      <w:r w:rsidRPr="00C60AD1">
        <w:rPr>
          <w:b/>
        </w:rPr>
        <w:br w:type="page"/>
      </w:r>
    </w:p>
    <w:p w:rsidR="00D555F2" w:rsidRPr="00C60AD1" w:rsidRDefault="00D555F2" w:rsidP="00D555F2">
      <w:pPr>
        <w:pStyle w:val="Heading3"/>
        <w:numPr>
          <w:ilvl w:val="2"/>
          <w:numId w:val="5"/>
        </w:numPr>
        <w:tabs>
          <w:tab w:val="clear" w:pos="1929"/>
          <w:tab w:val="num" w:pos="720"/>
          <w:tab w:val="num" w:pos="1296"/>
          <w:tab w:val="num" w:pos="1646"/>
        </w:tabs>
        <w:spacing w:before="0"/>
        <w:ind w:left="810" w:hanging="810"/>
        <w:rPr>
          <w:rFonts w:cs="Calibri"/>
          <w:b/>
          <w:szCs w:val="24"/>
        </w:rPr>
      </w:pPr>
      <w:r w:rsidRPr="00C60AD1">
        <w:rPr>
          <w:rFonts w:cs="Calibri"/>
          <w:b/>
          <w:szCs w:val="24"/>
        </w:rPr>
        <w:lastRenderedPageBreak/>
        <w:t>PUBLIC LAMPS:</w:t>
      </w:r>
    </w:p>
    <w:p w:rsidR="00D555F2" w:rsidRPr="00C60AD1" w:rsidRDefault="00D555F2" w:rsidP="00D555F2">
      <w:pPr>
        <w:rPr>
          <w:b/>
        </w:rPr>
      </w:pPr>
      <w:r w:rsidRPr="00C60AD1">
        <w:rPr>
          <w:b/>
          <w:lang w:val="fr-FR"/>
        </w:rPr>
        <w:t>1.</w:t>
      </w:r>
      <w:r w:rsidRPr="00C60AD1">
        <w:rPr>
          <w:b/>
          <w:lang w:val="fr-FR"/>
        </w:rPr>
        <w:tab/>
      </w:r>
      <w:r w:rsidRPr="00C60AD1">
        <w:rPr>
          <w:b/>
        </w:rPr>
        <w:t>MAINTENANCE CHARGE:</w:t>
      </w:r>
    </w:p>
    <w:p w:rsidR="00D555F2" w:rsidRPr="00C60AD1" w:rsidRDefault="00D555F2" w:rsidP="00D555F2">
      <w:pPr>
        <w:spacing w:before="100"/>
        <w:ind w:left="720" w:right="29"/>
      </w:pPr>
      <w:r w:rsidRPr="00C60AD1">
        <w:t>In addition to the “Rate of Charge” mentioned above, a sum of Rs. 10.00 per light point per month will be charged for operation and maintenance of street lights. This Maintenance Charge will cover only labour charges, where all required materials are supplied by the local bodies.  However, the local bodies will have an option to operate and maintain the public lamps themselves and in such case, no maintenance charge shall be recovered. This charge shall not apply to the consumers with metered supply.</w:t>
      </w:r>
    </w:p>
    <w:p w:rsidR="00D555F2" w:rsidRPr="00C60AD1" w:rsidRDefault="00D555F2" w:rsidP="00D555F2">
      <w:pPr>
        <w:spacing w:before="100"/>
        <w:ind w:left="720" w:right="29"/>
      </w:pPr>
      <w:r w:rsidRPr="00C60AD1">
        <w:t xml:space="preserve">     </w:t>
      </w:r>
    </w:p>
    <w:p w:rsidR="00D555F2" w:rsidRPr="00C60AD1" w:rsidRDefault="00D555F2" w:rsidP="00D555F2">
      <w:pPr>
        <w:spacing w:before="100"/>
        <w:ind w:right="29"/>
      </w:pPr>
      <w:r w:rsidRPr="00C60AD1">
        <w:rPr>
          <w:b/>
        </w:rPr>
        <w:t xml:space="preserve">   2.</w:t>
      </w:r>
      <w:r w:rsidRPr="00C60AD1">
        <w:tab/>
      </w:r>
      <w:r w:rsidRPr="00C60AD1">
        <w:rPr>
          <w:rFonts w:cs="Arial"/>
          <w:b/>
          <w:bCs/>
          <w:iCs/>
        </w:rPr>
        <w:t>PROVISION OF LAMPS:</w:t>
      </w:r>
    </w:p>
    <w:p w:rsidR="00D555F2" w:rsidRPr="00C60AD1" w:rsidRDefault="00D555F2" w:rsidP="00D555F2">
      <w:pPr>
        <w:tabs>
          <w:tab w:val="left" w:pos="360"/>
        </w:tabs>
        <w:spacing w:before="100"/>
        <w:ind w:left="720" w:right="29"/>
      </w:pPr>
      <w:r w:rsidRPr="00C60AD1">
        <w:t>Streets where distribution mains already exist, the Licensee will provide a separate single-phase, 2-wire system for the street lights including light fitting and incandescent lamps of rating not exceeding 100 Watts each.  In case the above maintenance charge is being levied, the labour involved in replacements or renewal of lamps shall be provided by the Licensee. However, all the required materials shall be provided by the local bodies. The cost of all other types of street light fittings shall be paid by the local bodies.</w:t>
      </w:r>
    </w:p>
    <w:p w:rsidR="00D555F2" w:rsidRDefault="00D555F2" w:rsidP="00D555F2">
      <w:pPr>
        <w:spacing w:before="100"/>
        <w:ind w:left="720" w:right="29"/>
      </w:pPr>
      <w:r w:rsidRPr="00C60AD1">
        <w:t>The cost involved in extension of street light mains (including cost of sub -stations, if any) in areas where distribution mains of the Licensee have not been laid, will be paid for by the local bodies.</w:t>
      </w:r>
    </w:p>
    <w:p w:rsidR="00D555F2" w:rsidRPr="00C60AD1" w:rsidRDefault="00D555F2" w:rsidP="00D555F2">
      <w:pPr>
        <w:spacing w:before="100"/>
        <w:ind w:left="720" w:right="29"/>
      </w:pPr>
    </w:p>
    <w:p w:rsidR="00D555F2" w:rsidRPr="00C60AD1" w:rsidRDefault="00D555F2" w:rsidP="00D555F2">
      <w:pPr>
        <w:rPr>
          <w:b/>
        </w:rPr>
      </w:pPr>
      <w:r w:rsidRPr="00C60AD1">
        <w:rPr>
          <w:b/>
        </w:rPr>
        <w:t xml:space="preserve">3. </w:t>
      </w:r>
      <w:r w:rsidRPr="00C60AD1">
        <w:rPr>
          <w:b/>
        </w:rPr>
        <w:tab/>
        <w:t>VERIFICATION OF LOAD:</w:t>
      </w:r>
    </w:p>
    <w:p w:rsidR="00D555F2" w:rsidRPr="00C60AD1" w:rsidRDefault="00D555F2" w:rsidP="00D555F2">
      <w:pPr>
        <w:tabs>
          <w:tab w:val="left" w:pos="360"/>
        </w:tabs>
        <w:spacing w:before="100"/>
        <w:ind w:left="720" w:right="29"/>
      </w:pPr>
      <w:r w:rsidRPr="00C60AD1">
        <w:t>The number of light points including that of traffic signals together with their wattage will be verified jointly by the representatives of Licensee and Town Area / Municipal Board / Corporation at least once in a year.  However, additions will be intimated by the Town Area / Municipal Board / Corporation on monthly basis.  The Licensee will carry out the checking of such statements to satisfy themselves of the correctness of the same.  The monthly bills shall be issued on the basis of verified number of points at the beginning of the year and additions, if any, during the months as intimated above. The difference, if any, detected during joint verification in the following year shall be reconciled and supplementary bills shall be issued.</w:t>
      </w:r>
    </w:p>
    <w:p w:rsidR="00D555F2" w:rsidRDefault="00D555F2" w:rsidP="00D555F2">
      <w:pPr>
        <w:tabs>
          <w:tab w:val="left" w:pos="360"/>
        </w:tabs>
        <w:spacing w:before="60" w:after="120"/>
        <w:ind w:left="720" w:right="29"/>
      </w:pPr>
      <w:r w:rsidRPr="00C60AD1">
        <w:lastRenderedPageBreak/>
        <w:t>Further, if the authorized representative of concerned local body does not participate in the work of verification of light points, a notice will be sent by concerned Executive Engineer in writing to such local bodies for deputing representative on specific date(s), failing which the verification of the light points shall be done by the concerned representative of Licensee which shall be final and binding upon such local body.</w:t>
      </w:r>
    </w:p>
    <w:p w:rsidR="00D555F2" w:rsidRPr="00C60AD1" w:rsidRDefault="00D555F2" w:rsidP="00D555F2">
      <w:pPr>
        <w:tabs>
          <w:tab w:val="left" w:pos="360"/>
        </w:tabs>
        <w:spacing w:before="60" w:after="120"/>
        <w:ind w:left="720" w:right="29"/>
      </w:pPr>
    </w:p>
    <w:p w:rsidR="00D555F2" w:rsidRPr="00C60AD1" w:rsidRDefault="00D555F2" w:rsidP="00D555F2">
      <w:pPr>
        <w:pStyle w:val="Heading3"/>
        <w:numPr>
          <w:ilvl w:val="2"/>
          <w:numId w:val="5"/>
        </w:numPr>
        <w:tabs>
          <w:tab w:val="clear" w:pos="1929"/>
          <w:tab w:val="num" w:pos="720"/>
          <w:tab w:val="num" w:pos="1296"/>
          <w:tab w:val="num" w:pos="1646"/>
        </w:tabs>
        <w:spacing w:before="0"/>
        <w:ind w:left="810" w:hanging="810"/>
        <w:rPr>
          <w:rFonts w:cs="Calibri"/>
          <w:b/>
          <w:szCs w:val="24"/>
        </w:rPr>
      </w:pPr>
      <w:r w:rsidRPr="00C60AD1">
        <w:rPr>
          <w:rFonts w:cs="Calibri"/>
          <w:b/>
          <w:szCs w:val="24"/>
        </w:rPr>
        <w:t>STATE TUBE-WELLS</w:t>
      </w:r>
    </w:p>
    <w:p w:rsidR="00D555F2" w:rsidRPr="00C60AD1" w:rsidRDefault="00D555F2" w:rsidP="00D555F2">
      <w:pPr>
        <w:tabs>
          <w:tab w:val="left" w:pos="8730"/>
        </w:tabs>
        <w:spacing w:before="100"/>
        <w:ind w:right="11"/>
        <w:jc w:val="center"/>
        <w:rPr>
          <w:b/>
          <w:u w:val="single"/>
        </w:rPr>
      </w:pPr>
      <w:r w:rsidRPr="00C60AD1">
        <w:rPr>
          <w:b/>
          <w:u w:val="single"/>
        </w:rPr>
        <w:t>NET LOAD:</w:t>
      </w:r>
    </w:p>
    <w:p w:rsidR="00D555F2" w:rsidRDefault="00D555F2" w:rsidP="00D555F2">
      <w:pPr>
        <w:numPr>
          <w:ilvl w:val="0"/>
          <w:numId w:val="94"/>
        </w:numPr>
        <w:tabs>
          <w:tab w:val="clear" w:pos="1080"/>
          <w:tab w:val="num" w:pos="720"/>
          <w:tab w:val="num" w:pos="2880"/>
        </w:tabs>
        <w:spacing w:line="288" w:lineRule="auto"/>
        <w:ind w:right="11" w:hanging="720"/>
      </w:pPr>
      <w:r w:rsidRPr="00C60AD1">
        <w:t>Net load hereinafter shall mean the total load connected during the quarter less the load of failed and abandoned tube-wells accounted for during that quarter.</w:t>
      </w:r>
    </w:p>
    <w:p w:rsidR="00D555F2" w:rsidRDefault="00D555F2" w:rsidP="00D555F2">
      <w:pPr>
        <w:numPr>
          <w:ilvl w:val="0"/>
          <w:numId w:val="94"/>
        </w:numPr>
        <w:tabs>
          <w:tab w:val="clear" w:pos="1080"/>
          <w:tab w:val="left" w:pos="0"/>
          <w:tab w:val="num" w:pos="720"/>
          <w:tab w:val="num" w:pos="2880"/>
        </w:tabs>
        <w:spacing w:before="100" w:line="288" w:lineRule="auto"/>
        <w:ind w:right="28" w:hanging="720"/>
      </w:pPr>
      <w:r w:rsidRPr="00C60AD1">
        <w:t>The connected load as on 31</w:t>
      </w:r>
      <w:r w:rsidRPr="00C60AD1">
        <w:rPr>
          <w:vertAlign w:val="superscript"/>
        </w:rPr>
        <w:t>st</w:t>
      </w:r>
      <w:r w:rsidRPr="00C60AD1">
        <w:t xml:space="preserve"> March  of the preceding year will be worked out on the basis of ‘Net load’ reported by the Executive Engineers of concerned Divisions after joint inspection and verification of the same by the concerned officers of the State Government / Panchayat, joint meter reading shall also be taken during the inspection on quarterly basis.  The monthly bills for three months of the first quarter will be issued on the connected load worked out as such at the above rates. The same process shall be repeated for subsequent quarters.</w:t>
      </w:r>
    </w:p>
    <w:p w:rsidR="00D555F2" w:rsidRDefault="00D555F2">
      <w:pPr>
        <w:spacing w:before="0" w:line="240" w:lineRule="auto"/>
        <w:jc w:val="left"/>
      </w:pPr>
      <w:r>
        <w:br w:type="page"/>
      </w:r>
    </w:p>
    <w:p w:rsidR="00D555F2" w:rsidRPr="00C60AD1" w:rsidRDefault="00D555F2" w:rsidP="00D555F2">
      <w:pPr>
        <w:pStyle w:val="Heading2"/>
        <w:numPr>
          <w:ilvl w:val="1"/>
          <w:numId w:val="29"/>
        </w:numPr>
      </w:pPr>
      <w:bookmarkStart w:id="1902" w:name="_Toc457603987"/>
      <w:r>
        <w:lastRenderedPageBreak/>
        <w:t>SCHEDULE OF MISCELLANEOUS CHARGES</w:t>
      </w:r>
      <w:bookmarkEnd w:id="1902"/>
    </w:p>
    <w:p w:rsidR="00D555F2" w:rsidRPr="00C60AD1" w:rsidRDefault="00D555F2" w:rsidP="00D555F2">
      <w:pPr>
        <w:rPr>
          <w:rStyle w:val="Emphasis"/>
          <w:b/>
          <w:i w:val="0"/>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5198"/>
        <w:gridCol w:w="1764"/>
        <w:gridCol w:w="2031"/>
      </w:tblGrid>
      <w:tr w:rsidR="00D555F2" w:rsidRPr="00C60AD1" w:rsidTr="00BB5A5A">
        <w:trPr>
          <w:trHeight w:val="285"/>
          <w:tblHeader/>
          <w:jc w:val="center"/>
        </w:trPr>
        <w:tc>
          <w:tcPr>
            <w:tcW w:w="935" w:type="dxa"/>
            <w:shd w:val="clear" w:color="auto" w:fill="DBE5F1" w:themeFill="accent1" w:themeFillTint="33"/>
          </w:tcPr>
          <w:p w:rsidR="00D555F2" w:rsidRDefault="00D555F2" w:rsidP="00BB5A5A">
            <w:pPr>
              <w:spacing w:before="0" w:line="240" w:lineRule="auto"/>
              <w:jc w:val="center"/>
              <w:rPr>
                <w:b/>
              </w:rPr>
            </w:pPr>
            <w:r w:rsidRPr="00C60AD1">
              <w:rPr>
                <w:b/>
              </w:rPr>
              <w:t>Sl. No.</w:t>
            </w:r>
          </w:p>
        </w:tc>
        <w:tc>
          <w:tcPr>
            <w:tcW w:w="5198" w:type="dxa"/>
            <w:shd w:val="clear" w:color="auto" w:fill="DBE5F1" w:themeFill="accent1" w:themeFillTint="33"/>
          </w:tcPr>
          <w:p w:rsidR="00D555F2" w:rsidRDefault="00D555F2" w:rsidP="00BB5A5A">
            <w:pPr>
              <w:spacing w:before="0" w:line="240" w:lineRule="auto"/>
              <w:jc w:val="center"/>
              <w:rPr>
                <w:b/>
              </w:rPr>
            </w:pPr>
            <w:r w:rsidRPr="00C60AD1">
              <w:rPr>
                <w:b/>
              </w:rPr>
              <w:t>NATURE OF CHARGES</w:t>
            </w:r>
          </w:p>
        </w:tc>
        <w:tc>
          <w:tcPr>
            <w:tcW w:w="1764" w:type="dxa"/>
            <w:shd w:val="clear" w:color="auto" w:fill="DBE5F1" w:themeFill="accent1" w:themeFillTint="33"/>
          </w:tcPr>
          <w:p w:rsidR="00D555F2" w:rsidRDefault="00D555F2" w:rsidP="00BB5A5A">
            <w:pPr>
              <w:spacing w:before="0" w:line="240" w:lineRule="auto"/>
              <w:jc w:val="center"/>
              <w:rPr>
                <w:b/>
              </w:rPr>
            </w:pPr>
            <w:r w:rsidRPr="00C60AD1">
              <w:rPr>
                <w:b/>
              </w:rPr>
              <w:t>UNIT</w:t>
            </w:r>
          </w:p>
        </w:tc>
        <w:tc>
          <w:tcPr>
            <w:tcW w:w="2031" w:type="dxa"/>
            <w:shd w:val="clear" w:color="auto" w:fill="DBE5F1" w:themeFill="accent1" w:themeFillTint="33"/>
          </w:tcPr>
          <w:p w:rsidR="00D555F2" w:rsidRDefault="00D555F2" w:rsidP="00BB5A5A">
            <w:pPr>
              <w:spacing w:before="0" w:line="240" w:lineRule="auto"/>
              <w:jc w:val="center"/>
              <w:rPr>
                <w:b/>
              </w:rPr>
            </w:pPr>
            <w:r w:rsidRPr="00C60AD1">
              <w:rPr>
                <w:b/>
              </w:rPr>
              <w:t>RATES (</w:t>
            </w:r>
            <w:r>
              <w:rPr>
                <w:b/>
                <w:noProof/>
                <w:lang w:val="en-IN" w:eastAsia="en-IN"/>
              </w:rPr>
              <w:drawing>
                <wp:inline distT="0" distB="0" distL="0" distR="0">
                  <wp:extent cx="86360" cy="120650"/>
                  <wp:effectExtent l="19050" t="0" r="8890" b="0"/>
                  <wp:docPr id="2" name="Picture 8" descr="Rupee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pee Symbol.jpg"/>
                          <pic:cNvPicPr>
                            <a:picLocks noChangeAspect="1" noChangeArrowheads="1"/>
                          </pic:cNvPicPr>
                        </pic:nvPicPr>
                        <pic:blipFill>
                          <a:blip r:embed="rId16" cstate="print"/>
                          <a:srcRect/>
                          <a:stretch>
                            <a:fillRect/>
                          </a:stretch>
                        </pic:blipFill>
                        <pic:spPr bwMode="auto">
                          <a:xfrm>
                            <a:off x="0" y="0"/>
                            <a:ext cx="86360" cy="120650"/>
                          </a:xfrm>
                          <a:prstGeom prst="rect">
                            <a:avLst/>
                          </a:prstGeom>
                          <a:noFill/>
                          <a:ln w="9525">
                            <a:noFill/>
                            <a:miter lim="800000"/>
                            <a:headEnd/>
                            <a:tailEnd/>
                          </a:ln>
                        </pic:spPr>
                      </pic:pic>
                    </a:graphicData>
                  </a:graphic>
                </wp:inline>
              </w:drawing>
            </w:r>
            <w:r w:rsidRPr="00C60AD1">
              <w:rPr>
                <w:b/>
              </w:rPr>
              <w:t>)</w:t>
            </w:r>
          </w:p>
        </w:tc>
      </w:tr>
      <w:tr w:rsidR="00D555F2" w:rsidRPr="00C60AD1" w:rsidTr="00BB5A5A">
        <w:trPr>
          <w:trHeight w:val="57"/>
          <w:jc w:val="center"/>
        </w:trPr>
        <w:tc>
          <w:tcPr>
            <w:tcW w:w="935" w:type="dxa"/>
          </w:tcPr>
          <w:p w:rsidR="00D555F2" w:rsidRDefault="00D555F2" w:rsidP="00BB5A5A">
            <w:pPr>
              <w:spacing w:before="0" w:line="240" w:lineRule="auto"/>
            </w:pPr>
            <w:r w:rsidRPr="00C60AD1">
              <w:t>1.</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2.</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3.</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4.</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5.</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6.</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tc>
        <w:tc>
          <w:tcPr>
            <w:tcW w:w="5198" w:type="dxa"/>
          </w:tcPr>
          <w:p w:rsidR="00D555F2" w:rsidRDefault="00D555F2" w:rsidP="00BB5A5A">
            <w:pPr>
              <w:spacing w:before="0" w:line="240" w:lineRule="auto"/>
            </w:pPr>
            <w:r w:rsidRPr="00C60AD1">
              <w:lastRenderedPageBreak/>
              <w:t>Checking and Testing of Meters:</w:t>
            </w:r>
          </w:p>
          <w:p w:rsidR="00D555F2" w:rsidRDefault="00D555F2" w:rsidP="00BB5A5A">
            <w:pPr>
              <w:spacing w:before="0" w:line="240" w:lineRule="auto"/>
              <w:rPr>
                <w:bCs/>
                <w:szCs w:val="26"/>
              </w:rPr>
            </w:pPr>
          </w:p>
          <w:p w:rsidR="00D555F2" w:rsidRDefault="00D555F2" w:rsidP="00BB5A5A">
            <w:pPr>
              <w:spacing w:before="0" w:line="240" w:lineRule="auto"/>
            </w:pPr>
            <w:r w:rsidRPr="00C60AD1">
              <w:t>a.  Single Phase Meters</w:t>
            </w:r>
          </w:p>
          <w:p w:rsidR="00D555F2" w:rsidRDefault="00D555F2" w:rsidP="00BB5A5A">
            <w:pPr>
              <w:spacing w:before="0" w:line="240" w:lineRule="auto"/>
            </w:pPr>
            <w:r w:rsidRPr="00C60AD1">
              <w:t>b.  Three Phase Meters</w:t>
            </w:r>
          </w:p>
          <w:p w:rsidR="00D555F2" w:rsidRDefault="00D555F2" w:rsidP="00BB5A5A">
            <w:pPr>
              <w:spacing w:before="0" w:line="240" w:lineRule="auto"/>
            </w:pPr>
            <w:r w:rsidRPr="00C60AD1">
              <w:t>c.  Recording Type Watt-hour Meters / Prepaid Meters</w:t>
            </w:r>
          </w:p>
          <w:p w:rsidR="00D555F2" w:rsidRDefault="00D555F2" w:rsidP="00BB5A5A">
            <w:pPr>
              <w:spacing w:before="0" w:line="240" w:lineRule="auto"/>
            </w:pPr>
            <w:r w:rsidRPr="00C60AD1">
              <w:t>d.  Maximum Demand Indicator</w:t>
            </w:r>
          </w:p>
          <w:p w:rsidR="00D555F2" w:rsidRDefault="00D555F2" w:rsidP="00BB5A5A">
            <w:pPr>
              <w:spacing w:before="0" w:line="240" w:lineRule="auto"/>
            </w:pPr>
            <w:r w:rsidRPr="00C60AD1">
              <w:t>e.  Tri-vector Meters</w:t>
            </w:r>
          </w:p>
          <w:p w:rsidR="00D555F2" w:rsidRDefault="00D555F2" w:rsidP="00BB5A5A">
            <w:pPr>
              <w:spacing w:before="0" w:line="240" w:lineRule="auto"/>
            </w:pPr>
            <w:r w:rsidRPr="00C60AD1">
              <w:t>f.  Ammeters and Volt Meters</w:t>
            </w:r>
          </w:p>
          <w:p w:rsidR="00D555F2" w:rsidRDefault="00D555F2" w:rsidP="00BB5A5A">
            <w:pPr>
              <w:spacing w:before="0" w:line="240" w:lineRule="auto"/>
            </w:pPr>
            <w:r w:rsidRPr="00C60AD1">
              <w:t>g.  Special Meters / Net Meters</w:t>
            </w:r>
          </w:p>
          <w:p w:rsidR="00D555F2" w:rsidRDefault="00D555F2" w:rsidP="00BB5A5A">
            <w:pPr>
              <w:spacing w:before="0" w:line="240" w:lineRule="auto"/>
            </w:pPr>
            <w:r w:rsidRPr="00C60AD1">
              <w:t xml:space="preserve">h.  Initial Testing of Meters </w:t>
            </w:r>
          </w:p>
          <w:p w:rsidR="00D555F2" w:rsidRDefault="00D555F2" w:rsidP="00BB5A5A">
            <w:pPr>
              <w:spacing w:before="0" w:line="240" w:lineRule="auto"/>
              <w:rPr>
                <w:bCs/>
                <w:szCs w:val="26"/>
              </w:rPr>
            </w:pPr>
          </w:p>
          <w:p w:rsidR="00D555F2" w:rsidRDefault="00D555F2" w:rsidP="00BB5A5A">
            <w:pPr>
              <w:spacing w:before="0" w:line="240" w:lineRule="auto"/>
            </w:pPr>
            <w:r w:rsidRPr="00C60AD1">
              <w:t>Disconnection and Reconnection of supply for any reason whatsoever (Disconnection &amp; Reconnection to be separately treated as single job)</w:t>
            </w:r>
          </w:p>
          <w:p w:rsidR="00D555F2" w:rsidRDefault="00D555F2" w:rsidP="00BB5A5A">
            <w:pPr>
              <w:spacing w:before="0" w:line="240" w:lineRule="auto"/>
              <w:ind w:left="229" w:hanging="229"/>
              <w:rPr>
                <w:bCs/>
                <w:szCs w:val="26"/>
              </w:rPr>
            </w:pPr>
          </w:p>
          <w:p w:rsidR="00D555F2" w:rsidRDefault="00D555F2" w:rsidP="00BB5A5A">
            <w:pPr>
              <w:spacing w:before="0" w:line="240" w:lineRule="auto"/>
              <w:ind w:left="229" w:hanging="229"/>
            </w:pPr>
            <w:r w:rsidRPr="00C60AD1">
              <w:t>a. Consumer having load above 100 BHP/75kW</w:t>
            </w:r>
          </w:p>
          <w:p w:rsidR="00D555F2" w:rsidRDefault="00D555F2" w:rsidP="00BB5A5A">
            <w:pPr>
              <w:spacing w:before="0" w:line="240" w:lineRule="auto"/>
            </w:pPr>
            <w:r w:rsidRPr="00C60AD1">
              <w:t>b. Power consumers up to 100BHP/75kW</w:t>
            </w:r>
          </w:p>
          <w:p w:rsidR="00D555F2" w:rsidRDefault="00D555F2" w:rsidP="00BB5A5A">
            <w:pPr>
              <w:spacing w:before="0" w:line="240" w:lineRule="auto"/>
            </w:pPr>
            <w:r w:rsidRPr="00C60AD1">
              <w:t>c. All other categories of consumers.</w:t>
            </w:r>
          </w:p>
          <w:p w:rsidR="00D555F2" w:rsidRDefault="00D555F2" w:rsidP="00BB5A5A">
            <w:pPr>
              <w:spacing w:before="0" w:line="240" w:lineRule="auto"/>
              <w:rPr>
                <w:bCs/>
                <w:szCs w:val="26"/>
              </w:rPr>
            </w:pPr>
          </w:p>
          <w:p w:rsidR="00D555F2" w:rsidRDefault="00D555F2" w:rsidP="00BB5A5A">
            <w:pPr>
              <w:spacing w:before="0" w:line="240" w:lineRule="auto"/>
            </w:pPr>
            <w:r w:rsidRPr="00C60AD1">
              <w:t>Replacement of Meters:</w:t>
            </w:r>
          </w:p>
          <w:p w:rsidR="00D555F2" w:rsidRDefault="00D555F2" w:rsidP="00BB5A5A">
            <w:pPr>
              <w:spacing w:before="0" w:line="240" w:lineRule="auto"/>
              <w:rPr>
                <w:bCs/>
                <w:szCs w:val="26"/>
              </w:rPr>
            </w:pPr>
          </w:p>
          <w:p w:rsidR="00D555F2" w:rsidRDefault="00D555F2" w:rsidP="00BB5A5A">
            <w:pPr>
              <w:spacing w:before="0" w:line="240" w:lineRule="auto"/>
            </w:pPr>
            <w:r w:rsidRPr="00C60AD1">
              <w:t>a. By higher capacity Meter</w:t>
            </w:r>
          </w:p>
          <w:p w:rsidR="00D555F2" w:rsidRDefault="00D555F2" w:rsidP="00BB5A5A">
            <w:pPr>
              <w:spacing w:before="0" w:line="240" w:lineRule="auto"/>
            </w:pPr>
            <w:r w:rsidRPr="00C60AD1">
              <w:t>b. Installation of Meter and its subsequent</w:t>
            </w:r>
          </w:p>
          <w:p w:rsidR="00D555F2" w:rsidRDefault="00D555F2" w:rsidP="00BB5A5A">
            <w:pPr>
              <w:spacing w:before="0" w:line="240" w:lineRule="auto"/>
            </w:pPr>
            <w:r w:rsidRPr="00C60AD1">
              <w:t>removal in case of Temporary     Connections</w:t>
            </w:r>
          </w:p>
          <w:p w:rsidR="00D555F2" w:rsidRDefault="00D555F2" w:rsidP="00BB5A5A">
            <w:pPr>
              <w:spacing w:before="0" w:line="240" w:lineRule="auto"/>
            </w:pPr>
            <w:r w:rsidRPr="00C60AD1">
              <w:t>c. Changing of position of Meter Board at the   consumer's request</w:t>
            </w:r>
          </w:p>
          <w:p w:rsidR="00D555F2" w:rsidRDefault="00D555F2" w:rsidP="00BB5A5A">
            <w:pPr>
              <w:spacing w:before="0" w:line="240" w:lineRule="auto"/>
              <w:rPr>
                <w:bCs/>
                <w:szCs w:val="26"/>
              </w:rPr>
            </w:pPr>
          </w:p>
          <w:p w:rsidR="00D555F2" w:rsidRDefault="00D555F2" w:rsidP="00BB5A5A">
            <w:pPr>
              <w:spacing w:before="0" w:line="240" w:lineRule="auto"/>
            </w:pPr>
            <w:r w:rsidRPr="00C60AD1">
              <w:t>Service of Wireman :</w:t>
            </w:r>
          </w:p>
          <w:p w:rsidR="00D555F2" w:rsidRDefault="00D555F2" w:rsidP="00BB5A5A">
            <w:pPr>
              <w:spacing w:before="0" w:line="240" w:lineRule="auto"/>
              <w:rPr>
                <w:bCs/>
                <w:szCs w:val="26"/>
              </w:rPr>
            </w:pPr>
          </w:p>
          <w:p w:rsidR="00D555F2" w:rsidRDefault="00D555F2" w:rsidP="00BB5A5A">
            <w:pPr>
              <w:spacing w:before="0" w:line="240" w:lineRule="auto"/>
            </w:pPr>
            <w:r w:rsidRPr="00C60AD1">
              <w:t>a. Replacement of Fuse</w:t>
            </w:r>
          </w:p>
          <w:p w:rsidR="00D555F2" w:rsidRDefault="00D555F2" w:rsidP="00BB5A5A">
            <w:pPr>
              <w:spacing w:before="0" w:line="240" w:lineRule="auto"/>
            </w:pPr>
            <w:r w:rsidRPr="00C60AD1">
              <w:t>b. Inserting and Removal of Fuse in respect   of night loads.</w:t>
            </w:r>
          </w:p>
          <w:p w:rsidR="00D555F2" w:rsidRDefault="00D555F2" w:rsidP="00BB5A5A">
            <w:pPr>
              <w:spacing w:before="0" w:line="240" w:lineRule="auto"/>
            </w:pPr>
            <w:r w:rsidRPr="00C60AD1">
              <w:t>c. Hiring of services by the consumer during     temporary supply or otherwise.</w:t>
            </w:r>
          </w:p>
          <w:p w:rsidR="00D555F2" w:rsidRDefault="00D555F2" w:rsidP="00BB5A5A">
            <w:pPr>
              <w:spacing w:before="0" w:line="240" w:lineRule="auto"/>
              <w:rPr>
                <w:bCs/>
                <w:szCs w:val="26"/>
              </w:rPr>
            </w:pPr>
          </w:p>
          <w:p w:rsidR="00D555F2" w:rsidRDefault="00D555F2" w:rsidP="00BB5A5A">
            <w:pPr>
              <w:spacing w:before="0" w:line="240" w:lineRule="auto"/>
            </w:pPr>
            <w:r w:rsidRPr="00C60AD1">
              <w:t xml:space="preserve">Resealing of Meters on account of any reason in addition to other charges payable in terms of </w:t>
            </w:r>
            <w:r w:rsidRPr="00C60AD1">
              <w:lastRenderedPageBreak/>
              <w:t>other provision of charging of penalties, etc.)</w:t>
            </w:r>
          </w:p>
          <w:p w:rsidR="00D555F2" w:rsidRDefault="00D555F2" w:rsidP="00BB5A5A">
            <w:pPr>
              <w:spacing w:before="0" w:line="240" w:lineRule="auto"/>
              <w:rPr>
                <w:bCs/>
                <w:szCs w:val="26"/>
              </w:rPr>
            </w:pPr>
          </w:p>
          <w:p w:rsidR="00D555F2" w:rsidRDefault="00D555F2" w:rsidP="00BB5A5A">
            <w:pPr>
              <w:spacing w:before="0" w:line="240" w:lineRule="auto"/>
            </w:pPr>
            <w:r w:rsidRPr="00C60AD1">
              <w:t>Checking of Capacitors (other than initial checking) on consumer's request:</w:t>
            </w:r>
          </w:p>
          <w:p w:rsidR="00D555F2" w:rsidRDefault="00D555F2" w:rsidP="00BB5A5A">
            <w:pPr>
              <w:spacing w:before="0" w:line="240" w:lineRule="auto"/>
            </w:pPr>
            <w:r w:rsidRPr="00C60AD1">
              <w:t>a. At 400 V / 230 V</w:t>
            </w:r>
          </w:p>
          <w:p w:rsidR="00D555F2" w:rsidRDefault="00D555F2" w:rsidP="00BB5A5A">
            <w:pPr>
              <w:spacing w:before="0" w:line="240" w:lineRule="auto"/>
            </w:pPr>
            <w:r w:rsidRPr="00C60AD1">
              <w:t>b. At 11 kV and above.</w:t>
            </w:r>
          </w:p>
        </w:tc>
        <w:tc>
          <w:tcPr>
            <w:tcW w:w="1764" w:type="dxa"/>
          </w:tcPr>
          <w:p w:rsidR="00D555F2" w:rsidRDefault="00D555F2" w:rsidP="00BB5A5A">
            <w:pPr>
              <w:spacing w:before="0" w:line="240" w:lineRule="auto"/>
              <w:rPr>
                <w:bCs/>
                <w:szCs w:val="26"/>
              </w:rPr>
            </w:pPr>
          </w:p>
          <w:p w:rsidR="00D555F2" w:rsidRDefault="00D555F2" w:rsidP="00BB5A5A">
            <w:pPr>
              <w:spacing w:before="0" w:line="240" w:lineRule="auto"/>
              <w:rPr>
                <w:bCs/>
                <w:szCs w:val="26"/>
                <w:lang w:val="sv-SE"/>
              </w:rPr>
            </w:pPr>
          </w:p>
          <w:p w:rsidR="00D555F2" w:rsidRDefault="00D555F2" w:rsidP="00BB5A5A">
            <w:pPr>
              <w:spacing w:before="0" w:line="240" w:lineRule="auto"/>
              <w:rPr>
                <w:lang w:val="sv-SE"/>
              </w:rPr>
            </w:pPr>
            <w:r w:rsidRPr="00C60AD1">
              <w:rPr>
                <w:lang w:val="sv-SE"/>
              </w:rPr>
              <w:t>Per Meter</w:t>
            </w:r>
          </w:p>
          <w:p w:rsidR="00D555F2" w:rsidRDefault="00D555F2" w:rsidP="00BB5A5A">
            <w:pPr>
              <w:spacing w:before="0" w:line="240" w:lineRule="auto"/>
              <w:rPr>
                <w:lang w:val="sv-SE"/>
              </w:rPr>
            </w:pPr>
            <w:r w:rsidRPr="00C60AD1">
              <w:rPr>
                <w:lang w:val="sv-SE"/>
              </w:rPr>
              <w:t>Per Meter</w:t>
            </w:r>
          </w:p>
          <w:p w:rsidR="00D555F2" w:rsidRDefault="00D555F2" w:rsidP="00BB5A5A">
            <w:pPr>
              <w:spacing w:before="0" w:line="240" w:lineRule="auto"/>
              <w:rPr>
                <w:lang w:val="sv-SE"/>
              </w:rPr>
            </w:pPr>
            <w:r w:rsidRPr="00C60AD1">
              <w:rPr>
                <w:lang w:val="sv-SE"/>
              </w:rPr>
              <w:t>Per Meter</w:t>
            </w:r>
          </w:p>
          <w:p w:rsidR="00D555F2" w:rsidRDefault="00D555F2" w:rsidP="00BB5A5A">
            <w:pPr>
              <w:spacing w:before="0" w:line="240" w:lineRule="auto"/>
              <w:rPr>
                <w:bCs/>
                <w:szCs w:val="26"/>
                <w:lang w:val="sv-SE"/>
              </w:rPr>
            </w:pPr>
          </w:p>
          <w:p w:rsidR="00D555F2" w:rsidRDefault="00D555F2" w:rsidP="00BB5A5A">
            <w:pPr>
              <w:spacing w:before="0" w:line="240" w:lineRule="auto"/>
              <w:rPr>
                <w:lang w:val="sv-SE"/>
              </w:rPr>
            </w:pPr>
            <w:r w:rsidRPr="00C60AD1">
              <w:rPr>
                <w:lang w:val="sv-SE"/>
              </w:rPr>
              <w:t>Per Meter</w:t>
            </w:r>
          </w:p>
          <w:p w:rsidR="00D555F2" w:rsidRDefault="00D555F2" w:rsidP="00BB5A5A">
            <w:pPr>
              <w:spacing w:before="0" w:line="240" w:lineRule="auto"/>
              <w:rPr>
                <w:lang w:val="sv-SE"/>
              </w:rPr>
            </w:pPr>
            <w:r w:rsidRPr="00C60AD1">
              <w:rPr>
                <w:lang w:val="sv-SE"/>
              </w:rPr>
              <w:t>Per Meter</w:t>
            </w:r>
          </w:p>
          <w:p w:rsidR="00D555F2" w:rsidRDefault="00D555F2" w:rsidP="00BB5A5A">
            <w:pPr>
              <w:spacing w:before="0" w:line="240" w:lineRule="auto"/>
              <w:rPr>
                <w:lang w:val="sv-SE"/>
              </w:rPr>
            </w:pPr>
            <w:r w:rsidRPr="00C60AD1">
              <w:rPr>
                <w:lang w:val="sv-SE"/>
              </w:rPr>
              <w:t>Per Meter</w:t>
            </w:r>
          </w:p>
          <w:p w:rsidR="00D555F2" w:rsidRDefault="00D555F2" w:rsidP="00BB5A5A">
            <w:pPr>
              <w:spacing w:before="0" w:line="240" w:lineRule="auto"/>
              <w:rPr>
                <w:lang w:val="sv-SE"/>
              </w:rPr>
            </w:pPr>
            <w:r w:rsidRPr="00C60AD1">
              <w:rPr>
                <w:lang w:val="sv-SE"/>
              </w:rPr>
              <w:t>Per Meter</w:t>
            </w:r>
          </w:p>
          <w:p w:rsidR="00D555F2" w:rsidRDefault="00D555F2" w:rsidP="00BB5A5A">
            <w:pPr>
              <w:spacing w:before="0" w:line="240" w:lineRule="auto"/>
              <w:rPr>
                <w:lang w:val="sv-SE"/>
              </w:rPr>
            </w:pPr>
            <w:r w:rsidRPr="00C60AD1">
              <w:rPr>
                <w:lang w:val="sv-SE"/>
              </w:rPr>
              <w:t>Per Meter</w:t>
            </w:r>
          </w:p>
          <w:p w:rsidR="00D555F2" w:rsidRDefault="00D555F2" w:rsidP="00BB5A5A">
            <w:pPr>
              <w:spacing w:before="0" w:line="240" w:lineRule="auto"/>
              <w:rPr>
                <w:bCs/>
                <w:szCs w:val="26"/>
                <w:lang w:val="sv-SE"/>
              </w:rPr>
            </w:pPr>
          </w:p>
          <w:p w:rsidR="00D555F2" w:rsidRDefault="00D555F2" w:rsidP="00BB5A5A">
            <w:pPr>
              <w:spacing w:before="0" w:line="240" w:lineRule="auto"/>
              <w:rPr>
                <w:bCs/>
                <w:szCs w:val="26"/>
                <w:lang w:val="sv-SE"/>
              </w:rPr>
            </w:pPr>
          </w:p>
          <w:p w:rsidR="00D555F2" w:rsidRDefault="00D555F2" w:rsidP="00BB5A5A">
            <w:pPr>
              <w:spacing w:before="0" w:line="240" w:lineRule="auto"/>
              <w:rPr>
                <w:bCs/>
                <w:szCs w:val="26"/>
                <w:lang w:val="sv-SE"/>
              </w:rPr>
            </w:pPr>
          </w:p>
          <w:p w:rsidR="00D555F2" w:rsidRDefault="00D555F2" w:rsidP="00BB5A5A">
            <w:pPr>
              <w:spacing w:before="0" w:line="240" w:lineRule="auto"/>
              <w:rPr>
                <w:bCs/>
                <w:szCs w:val="26"/>
                <w:lang w:val="sv-SE"/>
              </w:rPr>
            </w:pPr>
          </w:p>
          <w:p w:rsidR="00D555F2" w:rsidRDefault="00D555F2" w:rsidP="00BB5A5A">
            <w:pPr>
              <w:spacing w:before="0" w:line="240" w:lineRule="auto"/>
              <w:rPr>
                <w:bCs/>
                <w:szCs w:val="26"/>
                <w:lang w:val="sv-SE"/>
              </w:rPr>
            </w:pPr>
          </w:p>
          <w:p w:rsidR="00D555F2" w:rsidRDefault="00D555F2" w:rsidP="00BB5A5A">
            <w:pPr>
              <w:spacing w:before="0" w:line="240" w:lineRule="auto"/>
              <w:rPr>
                <w:bCs/>
                <w:szCs w:val="26"/>
                <w:lang w:val="sv-SE"/>
              </w:rPr>
            </w:pPr>
          </w:p>
          <w:p w:rsidR="00D555F2" w:rsidRDefault="00D555F2" w:rsidP="00BB5A5A">
            <w:pPr>
              <w:spacing w:before="0" w:line="240" w:lineRule="auto"/>
              <w:rPr>
                <w:lang w:val="sv-SE"/>
              </w:rPr>
            </w:pPr>
            <w:r w:rsidRPr="00C60AD1">
              <w:rPr>
                <w:lang w:val="sv-SE"/>
              </w:rPr>
              <w:t>Per Job</w:t>
            </w:r>
          </w:p>
          <w:p w:rsidR="00D555F2" w:rsidRDefault="00D555F2" w:rsidP="00BB5A5A">
            <w:pPr>
              <w:spacing w:before="0" w:line="240" w:lineRule="auto"/>
            </w:pPr>
            <w:r w:rsidRPr="00C60AD1">
              <w:t>Per Job</w:t>
            </w:r>
          </w:p>
          <w:p w:rsidR="00D555F2" w:rsidRDefault="00D555F2" w:rsidP="00BB5A5A">
            <w:pPr>
              <w:spacing w:before="0" w:line="240" w:lineRule="auto"/>
            </w:pPr>
            <w:r w:rsidRPr="00C60AD1">
              <w:t>Per Job</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Per Job</w:t>
            </w:r>
          </w:p>
          <w:p w:rsidR="00D555F2" w:rsidRDefault="00D555F2" w:rsidP="00BB5A5A">
            <w:pPr>
              <w:spacing w:before="0" w:line="240" w:lineRule="auto"/>
            </w:pPr>
            <w:r w:rsidRPr="00C60AD1">
              <w:t>Per Job</w:t>
            </w:r>
          </w:p>
          <w:p w:rsidR="00D555F2" w:rsidRDefault="00D555F2" w:rsidP="00BB5A5A">
            <w:pPr>
              <w:spacing w:before="0" w:line="240" w:lineRule="auto"/>
              <w:rPr>
                <w:bCs/>
                <w:szCs w:val="26"/>
              </w:rPr>
            </w:pPr>
          </w:p>
          <w:p w:rsidR="00D555F2" w:rsidRDefault="00D555F2" w:rsidP="00BB5A5A">
            <w:pPr>
              <w:spacing w:before="0" w:line="240" w:lineRule="auto"/>
            </w:pPr>
            <w:r w:rsidRPr="00C60AD1">
              <w:t>Per Job</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Per Job</w:t>
            </w:r>
          </w:p>
          <w:p w:rsidR="00D555F2" w:rsidRDefault="00D555F2" w:rsidP="00BB5A5A">
            <w:pPr>
              <w:spacing w:before="0" w:line="240" w:lineRule="auto"/>
            </w:pPr>
            <w:r w:rsidRPr="00C60AD1">
              <w:t>Per Job</w:t>
            </w:r>
          </w:p>
          <w:p w:rsidR="00D555F2" w:rsidRDefault="00D555F2" w:rsidP="00BB5A5A">
            <w:pPr>
              <w:spacing w:before="0" w:line="240" w:lineRule="auto"/>
              <w:rPr>
                <w:bCs/>
                <w:szCs w:val="26"/>
              </w:rPr>
            </w:pPr>
          </w:p>
          <w:p w:rsidR="00D555F2" w:rsidRDefault="00D555F2" w:rsidP="00BB5A5A">
            <w:pPr>
              <w:spacing w:before="0" w:line="240" w:lineRule="auto"/>
            </w:pPr>
            <w:r w:rsidRPr="00C60AD1">
              <w:t xml:space="preserve">Per wireman /day of 6 Hrs. </w:t>
            </w:r>
          </w:p>
          <w:p w:rsidR="00D555F2" w:rsidRDefault="00D555F2" w:rsidP="00BB5A5A">
            <w:pPr>
              <w:spacing w:before="0" w:line="240" w:lineRule="auto"/>
            </w:pPr>
            <w:r w:rsidRPr="00C60AD1">
              <w:t>Per Meter</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Per Job</w:t>
            </w:r>
          </w:p>
          <w:p w:rsidR="00D555F2" w:rsidRDefault="00D555F2" w:rsidP="00BB5A5A">
            <w:pPr>
              <w:spacing w:before="0" w:line="240" w:lineRule="auto"/>
            </w:pPr>
            <w:r w:rsidRPr="00C60AD1">
              <w:t>Per Job</w:t>
            </w:r>
          </w:p>
        </w:tc>
        <w:tc>
          <w:tcPr>
            <w:tcW w:w="2031" w:type="dxa"/>
          </w:tcPr>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50.00</w:t>
            </w:r>
          </w:p>
          <w:p w:rsidR="00D555F2" w:rsidRDefault="00D555F2" w:rsidP="00BB5A5A">
            <w:pPr>
              <w:spacing w:before="0" w:line="240" w:lineRule="auto"/>
            </w:pPr>
            <w:r w:rsidRPr="00C60AD1">
              <w:t>50.00</w:t>
            </w:r>
          </w:p>
          <w:p w:rsidR="00D555F2" w:rsidRDefault="00D555F2" w:rsidP="00BB5A5A">
            <w:pPr>
              <w:spacing w:before="0" w:line="240" w:lineRule="auto"/>
            </w:pPr>
            <w:r w:rsidRPr="00C60AD1">
              <w:t>175.00</w:t>
            </w:r>
          </w:p>
          <w:p w:rsidR="00D555F2" w:rsidRDefault="00D555F2" w:rsidP="00BB5A5A">
            <w:pPr>
              <w:spacing w:before="0" w:line="240" w:lineRule="auto"/>
              <w:rPr>
                <w:bCs/>
                <w:szCs w:val="26"/>
              </w:rPr>
            </w:pPr>
          </w:p>
          <w:p w:rsidR="00D555F2" w:rsidRDefault="00D555F2" w:rsidP="00BB5A5A">
            <w:pPr>
              <w:spacing w:before="0" w:line="240" w:lineRule="auto"/>
            </w:pPr>
            <w:r w:rsidRPr="00C60AD1">
              <w:t>350.00</w:t>
            </w:r>
          </w:p>
          <w:p w:rsidR="00D555F2" w:rsidRDefault="00D555F2" w:rsidP="00BB5A5A">
            <w:pPr>
              <w:spacing w:before="0" w:line="240" w:lineRule="auto"/>
            </w:pPr>
            <w:r w:rsidRPr="00C60AD1">
              <w:t>1000.00</w:t>
            </w:r>
          </w:p>
          <w:p w:rsidR="00D555F2" w:rsidRDefault="00D555F2" w:rsidP="00BB5A5A">
            <w:pPr>
              <w:spacing w:before="0" w:line="240" w:lineRule="auto"/>
            </w:pPr>
            <w:r w:rsidRPr="00C60AD1">
              <w:t>50.00</w:t>
            </w:r>
          </w:p>
          <w:p w:rsidR="00D555F2" w:rsidRDefault="00D555F2" w:rsidP="00BB5A5A">
            <w:pPr>
              <w:spacing w:before="0" w:line="240" w:lineRule="auto"/>
            </w:pPr>
            <w:r w:rsidRPr="00C60AD1">
              <w:t>400.00</w:t>
            </w:r>
          </w:p>
          <w:p w:rsidR="00D555F2" w:rsidRDefault="00D555F2" w:rsidP="00BB5A5A">
            <w:pPr>
              <w:spacing w:before="0" w:line="240" w:lineRule="auto"/>
            </w:pPr>
            <w:r w:rsidRPr="00C60AD1">
              <w:t>Nil</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500.00</w:t>
            </w:r>
          </w:p>
          <w:p w:rsidR="00D555F2" w:rsidRDefault="00D555F2" w:rsidP="00BB5A5A">
            <w:pPr>
              <w:spacing w:before="0" w:line="240" w:lineRule="auto"/>
            </w:pPr>
            <w:r w:rsidRPr="00C60AD1">
              <w:t>275.00</w:t>
            </w:r>
          </w:p>
          <w:p w:rsidR="00D555F2" w:rsidRDefault="00D555F2" w:rsidP="00BB5A5A">
            <w:pPr>
              <w:spacing w:before="0" w:line="240" w:lineRule="auto"/>
            </w:pPr>
            <w:r w:rsidRPr="00C60AD1">
              <w:t>150.00</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50.00</w:t>
            </w:r>
          </w:p>
          <w:p w:rsidR="00D555F2" w:rsidRDefault="00D555F2" w:rsidP="00BB5A5A">
            <w:pPr>
              <w:spacing w:before="0" w:line="240" w:lineRule="auto"/>
            </w:pPr>
            <w:r w:rsidRPr="00C60AD1">
              <w:t>75.00</w:t>
            </w:r>
          </w:p>
          <w:p w:rsidR="00D555F2" w:rsidRDefault="00D555F2" w:rsidP="00BB5A5A">
            <w:pPr>
              <w:spacing w:before="0" w:line="240" w:lineRule="auto"/>
              <w:rPr>
                <w:bCs/>
                <w:szCs w:val="26"/>
              </w:rPr>
            </w:pPr>
          </w:p>
          <w:p w:rsidR="00D555F2" w:rsidRDefault="00D555F2" w:rsidP="00BB5A5A">
            <w:pPr>
              <w:spacing w:before="0" w:line="240" w:lineRule="auto"/>
            </w:pPr>
            <w:r w:rsidRPr="00C60AD1">
              <w:t>100.00</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20.00</w:t>
            </w:r>
          </w:p>
          <w:p w:rsidR="00D555F2" w:rsidRDefault="00D555F2" w:rsidP="00BB5A5A">
            <w:pPr>
              <w:spacing w:before="0" w:line="240" w:lineRule="auto"/>
            </w:pPr>
            <w:r w:rsidRPr="00C60AD1">
              <w:t>25.00</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r w:rsidRPr="00C60AD1">
              <w:t>60.00</w:t>
            </w:r>
          </w:p>
          <w:p w:rsidR="00D555F2" w:rsidRDefault="00D555F2" w:rsidP="00BB5A5A">
            <w:pPr>
              <w:tabs>
                <w:tab w:val="left" w:pos="720"/>
              </w:tabs>
              <w:spacing w:before="0" w:line="240" w:lineRule="auto"/>
              <w:outlineLvl w:val="2"/>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100.00</w:t>
            </w: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rPr>
                <w:bCs/>
                <w:szCs w:val="26"/>
              </w:rPr>
            </w:pPr>
          </w:p>
          <w:p w:rsidR="00D555F2" w:rsidRDefault="00D555F2" w:rsidP="00BB5A5A">
            <w:pPr>
              <w:spacing w:before="0" w:line="240" w:lineRule="auto"/>
            </w:pPr>
            <w:r w:rsidRPr="00C60AD1">
              <w:t>100.00</w:t>
            </w:r>
          </w:p>
          <w:p w:rsidR="00D555F2" w:rsidRDefault="00D555F2" w:rsidP="00BB5A5A">
            <w:pPr>
              <w:spacing w:before="0" w:line="240" w:lineRule="auto"/>
            </w:pPr>
            <w:r w:rsidRPr="00C60AD1">
              <w:t>200.00</w:t>
            </w:r>
          </w:p>
        </w:tc>
      </w:tr>
    </w:tbl>
    <w:p w:rsidR="00905390" w:rsidRDefault="00905390" w:rsidP="00905390">
      <w:pPr>
        <w:spacing w:before="100" w:after="100"/>
        <w:rPr>
          <w:rFonts w:cstheme="minorHAnsi"/>
          <w:b/>
          <w:lang w:val="en-US"/>
        </w:rPr>
      </w:pPr>
    </w:p>
    <w:p w:rsidR="00D555F2" w:rsidRDefault="00D555F2">
      <w:pPr>
        <w:spacing w:before="0" w:line="240" w:lineRule="auto"/>
        <w:jc w:val="left"/>
        <w:rPr>
          <w:b/>
          <w:u w:val="single"/>
        </w:rPr>
      </w:pPr>
      <w:r>
        <w:rPr>
          <w:b/>
          <w:u w:val="single"/>
        </w:rPr>
        <w:br w:type="page"/>
      </w:r>
    </w:p>
    <w:p w:rsidR="00733B2E" w:rsidRDefault="00733B2E" w:rsidP="00733B2E">
      <w:pPr>
        <w:pStyle w:val="Heading2"/>
        <w:numPr>
          <w:ilvl w:val="1"/>
          <w:numId w:val="29"/>
        </w:numPr>
      </w:pPr>
      <w:bookmarkStart w:id="1903" w:name="_Toc338336087"/>
      <w:bookmarkStart w:id="1904" w:name="_Toc357345060"/>
      <w:bookmarkStart w:id="1905" w:name="_Toc357714436"/>
      <w:bookmarkStart w:id="1906" w:name="_Toc357720912"/>
      <w:bookmarkStart w:id="1907" w:name="_Toc399320617"/>
      <w:bookmarkStart w:id="1908" w:name="_Ref399326723"/>
      <w:bookmarkStart w:id="1909" w:name="_Toc399623773"/>
      <w:bookmarkStart w:id="1910" w:name="_Toc422310099"/>
      <w:bookmarkStart w:id="1911" w:name="_Toc457603988"/>
      <w:r w:rsidRPr="00C60AD1">
        <w:lastRenderedPageBreak/>
        <w:t>LIST OF POWER FACTOR APPARATUS</w:t>
      </w:r>
      <w:bookmarkEnd w:id="1903"/>
      <w:bookmarkEnd w:id="1904"/>
      <w:bookmarkEnd w:id="1905"/>
      <w:bookmarkEnd w:id="1906"/>
      <w:bookmarkEnd w:id="1907"/>
      <w:bookmarkEnd w:id="1908"/>
      <w:bookmarkEnd w:id="1909"/>
      <w:bookmarkEnd w:id="1910"/>
      <w:bookmarkEnd w:id="1911"/>
    </w:p>
    <w:p w:rsidR="00D555F2" w:rsidRPr="00C60AD1" w:rsidRDefault="00D555F2" w:rsidP="00D555F2">
      <w:pPr>
        <w:pStyle w:val="Heading2"/>
        <w:numPr>
          <w:ilvl w:val="0"/>
          <w:numId w:val="0"/>
        </w:numPr>
        <w:ind w:left="780"/>
      </w:pPr>
    </w:p>
    <w:p w:rsidR="00D555F2" w:rsidRPr="00C60AD1" w:rsidRDefault="00D555F2" w:rsidP="00D555F2">
      <w:pPr>
        <w:ind w:left="360"/>
        <w:rPr>
          <w:b/>
          <w:u w:val="single"/>
        </w:rPr>
      </w:pPr>
      <w:r w:rsidRPr="00C60AD1">
        <w:rPr>
          <w:b/>
          <w:u w:val="single"/>
        </w:rPr>
        <w:t>FOR MOTORS:</w:t>
      </w:r>
    </w:p>
    <w:p w:rsidR="00D555F2" w:rsidRPr="00C60AD1" w:rsidRDefault="00D555F2" w:rsidP="00D555F2">
      <w:pPr>
        <w:ind w:left="360"/>
        <w:rPr>
          <w:b/>
          <w:u w:val="singl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38"/>
        <w:gridCol w:w="2104"/>
        <w:gridCol w:w="1350"/>
        <w:gridCol w:w="1350"/>
        <w:gridCol w:w="1260"/>
        <w:gridCol w:w="1482"/>
      </w:tblGrid>
      <w:tr w:rsidR="00D555F2" w:rsidRPr="00C60AD1" w:rsidTr="00BB5A5A">
        <w:trPr>
          <w:cantSplit/>
          <w:tblHeader/>
          <w:jc w:val="center"/>
        </w:trPr>
        <w:tc>
          <w:tcPr>
            <w:tcW w:w="1038" w:type="dxa"/>
            <w:vMerge w:val="restart"/>
            <w:shd w:val="clear" w:color="000000" w:fill="DBE5F1"/>
          </w:tcPr>
          <w:p w:rsidR="00D555F2" w:rsidRPr="00C60AD1" w:rsidRDefault="00D555F2" w:rsidP="00BB5A5A">
            <w:pPr>
              <w:spacing w:before="0"/>
              <w:jc w:val="center"/>
            </w:pPr>
            <w:r w:rsidRPr="00C60AD1">
              <w:rPr>
                <w:b/>
              </w:rPr>
              <w:t>Sl. No.</w:t>
            </w:r>
          </w:p>
        </w:tc>
        <w:tc>
          <w:tcPr>
            <w:tcW w:w="2104" w:type="dxa"/>
            <w:vMerge w:val="restart"/>
            <w:shd w:val="clear" w:color="000000" w:fill="DBE5F1"/>
          </w:tcPr>
          <w:p w:rsidR="00D555F2" w:rsidRPr="00C60AD1" w:rsidRDefault="00D555F2" w:rsidP="00BB5A5A">
            <w:pPr>
              <w:spacing w:before="0"/>
              <w:jc w:val="center"/>
            </w:pPr>
            <w:r w:rsidRPr="00C60AD1">
              <w:rPr>
                <w:b/>
              </w:rPr>
              <w:t>Rating of Individual Motor</w:t>
            </w:r>
          </w:p>
        </w:tc>
        <w:tc>
          <w:tcPr>
            <w:tcW w:w="5442" w:type="dxa"/>
            <w:gridSpan w:val="4"/>
            <w:tcBorders>
              <w:bottom w:val="dotted" w:sz="4" w:space="0" w:color="auto"/>
            </w:tcBorders>
            <w:shd w:val="clear" w:color="000000" w:fill="DBE5F1"/>
          </w:tcPr>
          <w:p w:rsidR="00D555F2" w:rsidRPr="00C60AD1" w:rsidRDefault="00D555F2" w:rsidP="00BB5A5A">
            <w:pPr>
              <w:spacing w:before="0"/>
              <w:jc w:val="center"/>
              <w:rPr>
                <w:b/>
              </w:rPr>
            </w:pPr>
            <w:r w:rsidRPr="00C60AD1">
              <w:rPr>
                <w:b/>
              </w:rPr>
              <w:t>KVAR Rating of Capacitor</w:t>
            </w:r>
          </w:p>
        </w:tc>
      </w:tr>
      <w:tr w:rsidR="00D555F2" w:rsidRPr="00C60AD1" w:rsidTr="00BB5A5A">
        <w:trPr>
          <w:cantSplit/>
          <w:tblHeader/>
          <w:jc w:val="center"/>
        </w:trPr>
        <w:tc>
          <w:tcPr>
            <w:tcW w:w="1038" w:type="dxa"/>
            <w:vMerge/>
          </w:tcPr>
          <w:p w:rsidR="00D555F2" w:rsidRPr="00C60AD1" w:rsidRDefault="00D555F2" w:rsidP="00BB5A5A">
            <w:pPr>
              <w:spacing w:before="0"/>
              <w:jc w:val="center"/>
              <w:rPr>
                <w:rFonts w:cs="Arial"/>
                <w:b/>
                <w:bCs/>
                <w:caps/>
                <w:kern w:val="32"/>
                <w:szCs w:val="32"/>
              </w:rPr>
            </w:pPr>
          </w:p>
        </w:tc>
        <w:tc>
          <w:tcPr>
            <w:tcW w:w="2104" w:type="dxa"/>
            <w:vMerge/>
          </w:tcPr>
          <w:p w:rsidR="00D555F2" w:rsidRPr="00C60AD1" w:rsidRDefault="00D555F2" w:rsidP="00BB5A5A">
            <w:pPr>
              <w:spacing w:before="0"/>
              <w:jc w:val="center"/>
              <w:rPr>
                <w:rFonts w:cs="Arial"/>
                <w:b/>
                <w:bCs/>
                <w:caps/>
                <w:kern w:val="32"/>
                <w:szCs w:val="32"/>
              </w:rPr>
            </w:pPr>
          </w:p>
        </w:tc>
        <w:tc>
          <w:tcPr>
            <w:tcW w:w="1350" w:type="dxa"/>
            <w:shd w:val="clear" w:color="auto" w:fill="DBE5F1"/>
          </w:tcPr>
          <w:p w:rsidR="00D555F2" w:rsidRPr="00C60AD1" w:rsidRDefault="00D555F2" w:rsidP="00BB5A5A">
            <w:pPr>
              <w:spacing w:before="0"/>
              <w:jc w:val="center"/>
              <w:rPr>
                <w:b/>
              </w:rPr>
            </w:pPr>
            <w:r w:rsidRPr="00C60AD1">
              <w:rPr>
                <w:b/>
              </w:rPr>
              <w:t>750 RPM</w:t>
            </w:r>
          </w:p>
        </w:tc>
        <w:tc>
          <w:tcPr>
            <w:tcW w:w="1350" w:type="dxa"/>
            <w:shd w:val="clear" w:color="auto" w:fill="DBE5F1"/>
          </w:tcPr>
          <w:p w:rsidR="00D555F2" w:rsidRPr="00C60AD1" w:rsidRDefault="00D555F2" w:rsidP="00BB5A5A">
            <w:pPr>
              <w:spacing w:before="0"/>
              <w:jc w:val="center"/>
              <w:rPr>
                <w:b/>
              </w:rPr>
            </w:pPr>
            <w:r w:rsidRPr="00C60AD1">
              <w:rPr>
                <w:b/>
              </w:rPr>
              <w:t>1000 RPM</w:t>
            </w:r>
          </w:p>
        </w:tc>
        <w:tc>
          <w:tcPr>
            <w:tcW w:w="1260" w:type="dxa"/>
            <w:shd w:val="clear" w:color="auto" w:fill="DBE5F1"/>
          </w:tcPr>
          <w:p w:rsidR="00D555F2" w:rsidRPr="00C60AD1" w:rsidRDefault="00D555F2" w:rsidP="00BB5A5A">
            <w:pPr>
              <w:spacing w:before="0"/>
              <w:jc w:val="center"/>
              <w:rPr>
                <w:b/>
              </w:rPr>
            </w:pPr>
            <w:r w:rsidRPr="00C60AD1">
              <w:rPr>
                <w:b/>
              </w:rPr>
              <w:t>1500 RPM</w:t>
            </w:r>
          </w:p>
        </w:tc>
        <w:tc>
          <w:tcPr>
            <w:tcW w:w="1482" w:type="dxa"/>
            <w:shd w:val="clear" w:color="auto" w:fill="DBE5F1"/>
          </w:tcPr>
          <w:p w:rsidR="00D555F2" w:rsidRPr="00C60AD1" w:rsidRDefault="00D555F2" w:rsidP="00BB5A5A">
            <w:pPr>
              <w:spacing w:before="0"/>
              <w:jc w:val="center"/>
              <w:rPr>
                <w:b/>
              </w:rPr>
            </w:pPr>
            <w:r w:rsidRPr="00C60AD1">
              <w:rPr>
                <w:b/>
              </w:rPr>
              <w:t>3000 RPM</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1.</w:t>
            </w:r>
          </w:p>
        </w:tc>
        <w:tc>
          <w:tcPr>
            <w:tcW w:w="2104" w:type="dxa"/>
          </w:tcPr>
          <w:p w:rsidR="00D555F2" w:rsidRPr="00C60AD1" w:rsidRDefault="00D555F2" w:rsidP="00BB5A5A">
            <w:pPr>
              <w:spacing w:before="0"/>
              <w:jc w:val="center"/>
            </w:pPr>
            <w:r w:rsidRPr="00C60AD1">
              <w:t>Up to 3 HP</w:t>
            </w:r>
          </w:p>
        </w:tc>
        <w:tc>
          <w:tcPr>
            <w:tcW w:w="1350" w:type="dxa"/>
          </w:tcPr>
          <w:p w:rsidR="00D555F2" w:rsidRPr="00C60AD1" w:rsidRDefault="00D555F2" w:rsidP="00BB5A5A">
            <w:pPr>
              <w:spacing w:before="0"/>
              <w:jc w:val="center"/>
            </w:pPr>
            <w:r w:rsidRPr="00C60AD1">
              <w:t>1</w:t>
            </w:r>
          </w:p>
        </w:tc>
        <w:tc>
          <w:tcPr>
            <w:tcW w:w="1350" w:type="dxa"/>
          </w:tcPr>
          <w:p w:rsidR="00D555F2" w:rsidRPr="00C60AD1" w:rsidRDefault="00D555F2" w:rsidP="00BB5A5A">
            <w:pPr>
              <w:spacing w:before="0"/>
              <w:jc w:val="center"/>
            </w:pPr>
            <w:r w:rsidRPr="00C60AD1">
              <w:t>1</w:t>
            </w:r>
          </w:p>
        </w:tc>
        <w:tc>
          <w:tcPr>
            <w:tcW w:w="1260" w:type="dxa"/>
          </w:tcPr>
          <w:p w:rsidR="00D555F2" w:rsidRPr="00C60AD1" w:rsidRDefault="00D555F2" w:rsidP="00BB5A5A">
            <w:pPr>
              <w:spacing w:before="0"/>
              <w:jc w:val="center"/>
            </w:pPr>
            <w:r w:rsidRPr="00C60AD1">
              <w:t>1</w:t>
            </w:r>
          </w:p>
        </w:tc>
        <w:tc>
          <w:tcPr>
            <w:tcW w:w="1482" w:type="dxa"/>
          </w:tcPr>
          <w:p w:rsidR="00D555F2" w:rsidRPr="00C60AD1" w:rsidRDefault="00D555F2" w:rsidP="00BB5A5A">
            <w:pPr>
              <w:spacing w:before="0"/>
              <w:jc w:val="center"/>
            </w:pPr>
            <w:r w:rsidRPr="00C60AD1">
              <w:t>1</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2.</w:t>
            </w:r>
          </w:p>
        </w:tc>
        <w:tc>
          <w:tcPr>
            <w:tcW w:w="2104" w:type="dxa"/>
          </w:tcPr>
          <w:p w:rsidR="00D555F2" w:rsidRPr="00C60AD1" w:rsidRDefault="00D555F2" w:rsidP="00BB5A5A">
            <w:pPr>
              <w:spacing w:before="0"/>
              <w:jc w:val="center"/>
            </w:pPr>
            <w:r w:rsidRPr="00C60AD1">
              <w:t>5 HP</w:t>
            </w:r>
          </w:p>
        </w:tc>
        <w:tc>
          <w:tcPr>
            <w:tcW w:w="1350" w:type="dxa"/>
          </w:tcPr>
          <w:p w:rsidR="00D555F2" w:rsidRPr="00C60AD1" w:rsidRDefault="00D555F2" w:rsidP="00BB5A5A">
            <w:pPr>
              <w:spacing w:before="0"/>
              <w:jc w:val="center"/>
            </w:pPr>
            <w:r w:rsidRPr="00C60AD1">
              <w:t>2</w:t>
            </w:r>
          </w:p>
        </w:tc>
        <w:tc>
          <w:tcPr>
            <w:tcW w:w="1350" w:type="dxa"/>
          </w:tcPr>
          <w:p w:rsidR="00D555F2" w:rsidRPr="00C60AD1" w:rsidRDefault="00D555F2" w:rsidP="00BB5A5A">
            <w:pPr>
              <w:spacing w:before="0"/>
              <w:jc w:val="center"/>
            </w:pPr>
            <w:r w:rsidRPr="00C60AD1">
              <w:t>2</w:t>
            </w:r>
          </w:p>
        </w:tc>
        <w:tc>
          <w:tcPr>
            <w:tcW w:w="1260" w:type="dxa"/>
          </w:tcPr>
          <w:p w:rsidR="00D555F2" w:rsidRPr="00C60AD1" w:rsidRDefault="00D555F2" w:rsidP="00BB5A5A">
            <w:pPr>
              <w:spacing w:before="0"/>
              <w:jc w:val="center"/>
            </w:pPr>
            <w:r w:rsidRPr="00C60AD1">
              <w:t>2</w:t>
            </w:r>
          </w:p>
        </w:tc>
        <w:tc>
          <w:tcPr>
            <w:tcW w:w="1482" w:type="dxa"/>
          </w:tcPr>
          <w:p w:rsidR="00D555F2" w:rsidRPr="00C60AD1" w:rsidRDefault="00D555F2" w:rsidP="00BB5A5A">
            <w:pPr>
              <w:spacing w:before="0"/>
              <w:jc w:val="center"/>
            </w:pPr>
            <w:r w:rsidRPr="00C60AD1">
              <w:t>2</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3.</w:t>
            </w:r>
          </w:p>
        </w:tc>
        <w:tc>
          <w:tcPr>
            <w:tcW w:w="2104" w:type="dxa"/>
          </w:tcPr>
          <w:p w:rsidR="00D555F2" w:rsidRPr="00C60AD1" w:rsidRDefault="00D555F2" w:rsidP="00BB5A5A">
            <w:pPr>
              <w:spacing w:before="0"/>
              <w:jc w:val="center"/>
            </w:pPr>
            <w:r w:rsidRPr="00C60AD1">
              <w:t>7.5 HP</w:t>
            </w:r>
          </w:p>
        </w:tc>
        <w:tc>
          <w:tcPr>
            <w:tcW w:w="1350" w:type="dxa"/>
          </w:tcPr>
          <w:p w:rsidR="00D555F2" w:rsidRPr="00C60AD1" w:rsidRDefault="00D555F2" w:rsidP="00BB5A5A">
            <w:pPr>
              <w:spacing w:before="0"/>
              <w:jc w:val="center"/>
            </w:pPr>
            <w:r w:rsidRPr="00C60AD1">
              <w:t>3</w:t>
            </w:r>
          </w:p>
        </w:tc>
        <w:tc>
          <w:tcPr>
            <w:tcW w:w="1350" w:type="dxa"/>
          </w:tcPr>
          <w:p w:rsidR="00D555F2" w:rsidRPr="00C60AD1" w:rsidRDefault="00D555F2" w:rsidP="00BB5A5A">
            <w:pPr>
              <w:spacing w:before="0"/>
              <w:jc w:val="center"/>
            </w:pPr>
            <w:r w:rsidRPr="00C60AD1">
              <w:t>3</w:t>
            </w:r>
          </w:p>
        </w:tc>
        <w:tc>
          <w:tcPr>
            <w:tcW w:w="1260" w:type="dxa"/>
          </w:tcPr>
          <w:p w:rsidR="00D555F2" w:rsidRPr="00C60AD1" w:rsidRDefault="00D555F2" w:rsidP="00BB5A5A">
            <w:pPr>
              <w:spacing w:before="0"/>
              <w:jc w:val="center"/>
            </w:pPr>
            <w:r w:rsidRPr="00C60AD1">
              <w:t>3</w:t>
            </w:r>
          </w:p>
        </w:tc>
        <w:tc>
          <w:tcPr>
            <w:tcW w:w="1482" w:type="dxa"/>
          </w:tcPr>
          <w:p w:rsidR="00D555F2" w:rsidRPr="00C60AD1" w:rsidRDefault="00D555F2" w:rsidP="00BB5A5A">
            <w:pPr>
              <w:spacing w:before="0"/>
              <w:jc w:val="center"/>
            </w:pPr>
            <w:r w:rsidRPr="00C60AD1">
              <w:t>3</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4.</w:t>
            </w:r>
          </w:p>
        </w:tc>
        <w:tc>
          <w:tcPr>
            <w:tcW w:w="2104" w:type="dxa"/>
          </w:tcPr>
          <w:p w:rsidR="00D555F2" w:rsidRPr="00C60AD1" w:rsidRDefault="00D555F2" w:rsidP="00BB5A5A">
            <w:pPr>
              <w:spacing w:before="0"/>
              <w:jc w:val="center"/>
            </w:pPr>
            <w:r w:rsidRPr="00C60AD1">
              <w:t>10 HP</w:t>
            </w:r>
          </w:p>
        </w:tc>
        <w:tc>
          <w:tcPr>
            <w:tcW w:w="1350" w:type="dxa"/>
          </w:tcPr>
          <w:p w:rsidR="00D555F2" w:rsidRPr="00C60AD1" w:rsidRDefault="00D555F2" w:rsidP="00BB5A5A">
            <w:pPr>
              <w:spacing w:before="0"/>
              <w:jc w:val="center"/>
            </w:pPr>
            <w:r w:rsidRPr="00C60AD1">
              <w:t>4</w:t>
            </w:r>
          </w:p>
        </w:tc>
        <w:tc>
          <w:tcPr>
            <w:tcW w:w="1350" w:type="dxa"/>
          </w:tcPr>
          <w:p w:rsidR="00D555F2" w:rsidRPr="00C60AD1" w:rsidRDefault="00D555F2" w:rsidP="00BB5A5A">
            <w:pPr>
              <w:spacing w:before="0"/>
              <w:jc w:val="center"/>
            </w:pPr>
            <w:r w:rsidRPr="00C60AD1">
              <w:t>4</w:t>
            </w:r>
          </w:p>
        </w:tc>
        <w:tc>
          <w:tcPr>
            <w:tcW w:w="1260" w:type="dxa"/>
          </w:tcPr>
          <w:p w:rsidR="00D555F2" w:rsidRPr="00C60AD1" w:rsidRDefault="00D555F2" w:rsidP="00BB5A5A">
            <w:pPr>
              <w:spacing w:before="0"/>
              <w:jc w:val="center"/>
            </w:pPr>
            <w:r w:rsidRPr="00C60AD1">
              <w:t>4</w:t>
            </w:r>
          </w:p>
        </w:tc>
        <w:tc>
          <w:tcPr>
            <w:tcW w:w="1482" w:type="dxa"/>
          </w:tcPr>
          <w:p w:rsidR="00D555F2" w:rsidRPr="00C60AD1" w:rsidRDefault="00D555F2" w:rsidP="00BB5A5A">
            <w:pPr>
              <w:spacing w:before="0"/>
              <w:jc w:val="center"/>
            </w:pPr>
            <w:r w:rsidRPr="00C60AD1">
              <w:t>3</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5.</w:t>
            </w:r>
          </w:p>
        </w:tc>
        <w:tc>
          <w:tcPr>
            <w:tcW w:w="2104" w:type="dxa"/>
          </w:tcPr>
          <w:p w:rsidR="00D555F2" w:rsidRPr="00C60AD1" w:rsidRDefault="00D555F2" w:rsidP="00BB5A5A">
            <w:pPr>
              <w:spacing w:before="0"/>
              <w:jc w:val="center"/>
            </w:pPr>
            <w:r w:rsidRPr="00C60AD1">
              <w:t>15 HP</w:t>
            </w:r>
          </w:p>
        </w:tc>
        <w:tc>
          <w:tcPr>
            <w:tcW w:w="1350" w:type="dxa"/>
          </w:tcPr>
          <w:p w:rsidR="00D555F2" w:rsidRPr="00C60AD1" w:rsidRDefault="00D555F2" w:rsidP="00BB5A5A">
            <w:pPr>
              <w:spacing w:before="0"/>
              <w:jc w:val="center"/>
            </w:pPr>
            <w:r w:rsidRPr="00C60AD1">
              <w:t>6</w:t>
            </w:r>
          </w:p>
        </w:tc>
        <w:tc>
          <w:tcPr>
            <w:tcW w:w="1350" w:type="dxa"/>
          </w:tcPr>
          <w:p w:rsidR="00D555F2" w:rsidRPr="00C60AD1" w:rsidRDefault="00D555F2" w:rsidP="00BB5A5A">
            <w:pPr>
              <w:spacing w:before="0"/>
              <w:jc w:val="center"/>
            </w:pPr>
            <w:r w:rsidRPr="00C60AD1">
              <w:t>5</w:t>
            </w:r>
          </w:p>
        </w:tc>
        <w:tc>
          <w:tcPr>
            <w:tcW w:w="1260" w:type="dxa"/>
          </w:tcPr>
          <w:p w:rsidR="00D555F2" w:rsidRPr="00C60AD1" w:rsidRDefault="00D555F2" w:rsidP="00BB5A5A">
            <w:pPr>
              <w:spacing w:before="0"/>
              <w:jc w:val="center"/>
            </w:pPr>
            <w:r w:rsidRPr="00C60AD1">
              <w:t>5</w:t>
            </w:r>
          </w:p>
        </w:tc>
        <w:tc>
          <w:tcPr>
            <w:tcW w:w="1482" w:type="dxa"/>
          </w:tcPr>
          <w:p w:rsidR="00D555F2" w:rsidRPr="00C60AD1" w:rsidRDefault="00D555F2" w:rsidP="00BB5A5A">
            <w:pPr>
              <w:spacing w:before="0"/>
              <w:jc w:val="center"/>
            </w:pPr>
            <w:r w:rsidRPr="00C60AD1">
              <w:t>4</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6.</w:t>
            </w:r>
          </w:p>
        </w:tc>
        <w:tc>
          <w:tcPr>
            <w:tcW w:w="2104" w:type="dxa"/>
          </w:tcPr>
          <w:p w:rsidR="00D555F2" w:rsidRPr="00C60AD1" w:rsidRDefault="00D555F2" w:rsidP="00BB5A5A">
            <w:pPr>
              <w:spacing w:before="0"/>
              <w:jc w:val="center"/>
            </w:pPr>
            <w:r w:rsidRPr="00C60AD1">
              <w:t>20 HP</w:t>
            </w:r>
          </w:p>
        </w:tc>
        <w:tc>
          <w:tcPr>
            <w:tcW w:w="1350" w:type="dxa"/>
          </w:tcPr>
          <w:p w:rsidR="00D555F2" w:rsidRPr="00C60AD1" w:rsidRDefault="00D555F2" w:rsidP="00BB5A5A">
            <w:pPr>
              <w:spacing w:before="0"/>
              <w:jc w:val="center"/>
            </w:pPr>
            <w:r w:rsidRPr="00C60AD1">
              <w:t>8</w:t>
            </w:r>
          </w:p>
        </w:tc>
        <w:tc>
          <w:tcPr>
            <w:tcW w:w="1350" w:type="dxa"/>
          </w:tcPr>
          <w:p w:rsidR="00D555F2" w:rsidRPr="00C60AD1" w:rsidRDefault="00D555F2" w:rsidP="00BB5A5A">
            <w:pPr>
              <w:spacing w:before="0"/>
              <w:jc w:val="center"/>
            </w:pPr>
            <w:r w:rsidRPr="00C60AD1">
              <w:t>7</w:t>
            </w:r>
          </w:p>
        </w:tc>
        <w:tc>
          <w:tcPr>
            <w:tcW w:w="1260" w:type="dxa"/>
          </w:tcPr>
          <w:p w:rsidR="00D555F2" w:rsidRPr="00C60AD1" w:rsidRDefault="00D555F2" w:rsidP="00BB5A5A">
            <w:pPr>
              <w:spacing w:before="0"/>
              <w:jc w:val="center"/>
            </w:pPr>
            <w:r w:rsidRPr="00C60AD1">
              <w:t>6</w:t>
            </w:r>
          </w:p>
        </w:tc>
        <w:tc>
          <w:tcPr>
            <w:tcW w:w="1482" w:type="dxa"/>
          </w:tcPr>
          <w:p w:rsidR="00D555F2" w:rsidRPr="00C60AD1" w:rsidRDefault="00D555F2" w:rsidP="00BB5A5A">
            <w:pPr>
              <w:spacing w:before="0"/>
              <w:jc w:val="center"/>
            </w:pPr>
            <w:r w:rsidRPr="00C60AD1">
              <w:t>5</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7.</w:t>
            </w:r>
          </w:p>
        </w:tc>
        <w:tc>
          <w:tcPr>
            <w:tcW w:w="2104" w:type="dxa"/>
          </w:tcPr>
          <w:p w:rsidR="00D555F2" w:rsidRPr="00C60AD1" w:rsidRDefault="00D555F2" w:rsidP="00BB5A5A">
            <w:pPr>
              <w:spacing w:before="0"/>
              <w:jc w:val="center"/>
            </w:pPr>
            <w:r w:rsidRPr="00C60AD1">
              <w:t>25 HP</w:t>
            </w:r>
          </w:p>
        </w:tc>
        <w:tc>
          <w:tcPr>
            <w:tcW w:w="1350" w:type="dxa"/>
          </w:tcPr>
          <w:p w:rsidR="00D555F2" w:rsidRPr="00C60AD1" w:rsidRDefault="00D555F2" w:rsidP="00BB5A5A">
            <w:pPr>
              <w:spacing w:before="0"/>
              <w:jc w:val="center"/>
            </w:pPr>
            <w:r w:rsidRPr="00C60AD1">
              <w:t>9</w:t>
            </w:r>
          </w:p>
        </w:tc>
        <w:tc>
          <w:tcPr>
            <w:tcW w:w="1350" w:type="dxa"/>
          </w:tcPr>
          <w:p w:rsidR="00D555F2" w:rsidRPr="00C60AD1" w:rsidRDefault="00D555F2" w:rsidP="00BB5A5A">
            <w:pPr>
              <w:spacing w:before="0"/>
              <w:jc w:val="center"/>
            </w:pPr>
            <w:r w:rsidRPr="00C60AD1">
              <w:t>8</w:t>
            </w:r>
          </w:p>
        </w:tc>
        <w:tc>
          <w:tcPr>
            <w:tcW w:w="1260" w:type="dxa"/>
          </w:tcPr>
          <w:p w:rsidR="00D555F2" w:rsidRPr="00C60AD1" w:rsidRDefault="00D555F2" w:rsidP="00BB5A5A">
            <w:pPr>
              <w:spacing w:before="0"/>
              <w:jc w:val="center"/>
            </w:pPr>
            <w:r w:rsidRPr="00C60AD1">
              <w:t>7</w:t>
            </w:r>
          </w:p>
        </w:tc>
        <w:tc>
          <w:tcPr>
            <w:tcW w:w="1482" w:type="dxa"/>
          </w:tcPr>
          <w:p w:rsidR="00D555F2" w:rsidRPr="00C60AD1" w:rsidRDefault="00D555F2" w:rsidP="00BB5A5A">
            <w:pPr>
              <w:spacing w:before="0"/>
              <w:jc w:val="center"/>
            </w:pPr>
            <w:r w:rsidRPr="00C60AD1">
              <w:t>6</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8.</w:t>
            </w:r>
          </w:p>
        </w:tc>
        <w:tc>
          <w:tcPr>
            <w:tcW w:w="2104" w:type="dxa"/>
          </w:tcPr>
          <w:p w:rsidR="00D555F2" w:rsidRPr="00C60AD1" w:rsidRDefault="00D555F2" w:rsidP="00BB5A5A">
            <w:pPr>
              <w:spacing w:before="0"/>
              <w:jc w:val="center"/>
            </w:pPr>
            <w:r w:rsidRPr="00C60AD1">
              <w:t>30 HP</w:t>
            </w:r>
          </w:p>
        </w:tc>
        <w:tc>
          <w:tcPr>
            <w:tcW w:w="1350" w:type="dxa"/>
          </w:tcPr>
          <w:p w:rsidR="00D555F2" w:rsidRPr="00C60AD1" w:rsidRDefault="00D555F2" w:rsidP="00BB5A5A">
            <w:pPr>
              <w:spacing w:before="0"/>
              <w:jc w:val="center"/>
            </w:pPr>
            <w:r w:rsidRPr="00C60AD1">
              <w:t>10</w:t>
            </w:r>
          </w:p>
        </w:tc>
        <w:tc>
          <w:tcPr>
            <w:tcW w:w="1350" w:type="dxa"/>
          </w:tcPr>
          <w:p w:rsidR="00D555F2" w:rsidRPr="00C60AD1" w:rsidRDefault="00D555F2" w:rsidP="00BB5A5A">
            <w:pPr>
              <w:spacing w:before="0"/>
              <w:jc w:val="center"/>
            </w:pPr>
            <w:r w:rsidRPr="00C60AD1">
              <w:t>9</w:t>
            </w:r>
          </w:p>
        </w:tc>
        <w:tc>
          <w:tcPr>
            <w:tcW w:w="1260" w:type="dxa"/>
          </w:tcPr>
          <w:p w:rsidR="00D555F2" w:rsidRPr="00C60AD1" w:rsidRDefault="00D555F2" w:rsidP="00BB5A5A">
            <w:pPr>
              <w:spacing w:before="0"/>
              <w:jc w:val="center"/>
            </w:pPr>
            <w:r w:rsidRPr="00C60AD1">
              <w:t>8</w:t>
            </w:r>
          </w:p>
        </w:tc>
        <w:tc>
          <w:tcPr>
            <w:tcW w:w="1482" w:type="dxa"/>
          </w:tcPr>
          <w:p w:rsidR="00D555F2" w:rsidRPr="00C60AD1" w:rsidRDefault="00D555F2" w:rsidP="00BB5A5A">
            <w:pPr>
              <w:spacing w:before="0"/>
              <w:jc w:val="center"/>
            </w:pPr>
            <w:r w:rsidRPr="00C60AD1">
              <w:t>7</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9.</w:t>
            </w:r>
          </w:p>
        </w:tc>
        <w:tc>
          <w:tcPr>
            <w:tcW w:w="2104" w:type="dxa"/>
          </w:tcPr>
          <w:p w:rsidR="00D555F2" w:rsidRPr="00C60AD1" w:rsidRDefault="00D555F2" w:rsidP="00BB5A5A">
            <w:pPr>
              <w:spacing w:before="0"/>
              <w:jc w:val="center"/>
            </w:pPr>
            <w:r w:rsidRPr="00C60AD1">
              <w:t>40 HP</w:t>
            </w:r>
          </w:p>
        </w:tc>
        <w:tc>
          <w:tcPr>
            <w:tcW w:w="1350" w:type="dxa"/>
          </w:tcPr>
          <w:p w:rsidR="00D555F2" w:rsidRPr="00C60AD1" w:rsidRDefault="00D555F2" w:rsidP="00BB5A5A">
            <w:pPr>
              <w:spacing w:before="0"/>
              <w:jc w:val="center"/>
            </w:pPr>
            <w:r w:rsidRPr="00C60AD1">
              <w:t>13</w:t>
            </w:r>
          </w:p>
        </w:tc>
        <w:tc>
          <w:tcPr>
            <w:tcW w:w="1350" w:type="dxa"/>
          </w:tcPr>
          <w:p w:rsidR="00D555F2" w:rsidRPr="00C60AD1" w:rsidRDefault="00D555F2" w:rsidP="00BB5A5A">
            <w:pPr>
              <w:spacing w:before="0"/>
              <w:jc w:val="center"/>
            </w:pPr>
            <w:r w:rsidRPr="00C60AD1">
              <w:t>11</w:t>
            </w:r>
          </w:p>
        </w:tc>
        <w:tc>
          <w:tcPr>
            <w:tcW w:w="1260" w:type="dxa"/>
          </w:tcPr>
          <w:p w:rsidR="00D555F2" w:rsidRPr="00C60AD1" w:rsidRDefault="00D555F2" w:rsidP="00BB5A5A">
            <w:pPr>
              <w:spacing w:before="0"/>
              <w:jc w:val="center"/>
            </w:pPr>
            <w:r w:rsidRPr="00C60AD1">
              <w:t>10</w:t>
            </w:r>
          </w:p>
        </w:tc>
        <w:tc>
          <w:tcPr>
            <w:tcW w:w="1482" w:type="dxa"/>
          </w:tcPr>
          <w:p w:rsidR="00D555F2" w:rsidRPr="00C60AD1" w:rsidRDefault="00D555F2" w:rsidP="00BB5A5A">
            <w:pPr>
              <w:spacing w:before="0"/>
              <w:jc w:val="center"/>
            </w:pPr>
            <w:r w:rsidRPr="00C60AD1">
              <w:t>9</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10.</w:t>
            </w:r>
          </w:p>
        </w:tc>
        <w:tc>
          <w:tcPr>
            <w:tcW w:w="2104" w:type="dxa"/>
          </w:tcPr>
          <w:p w:rsidR="00D555F2" w:rsidRPr="00C60AD1" w:rsidRDefault="00D555F2" w:rsidP="00BB5A5A">
            <w:pPr>
              <w:spacing w:before="0"/>
              <w:jc w:val="center"/>
            </w:pPr>
            <w:r w:rsidRPr="00C60AD1">
              <w:t>50 HP</w:t>
            </w:r>
          </w:p>
        </w:tc>
        <w:tc>
          <w:tcPr>
            <w:tcW w:w="1350" w:type="dxa"/>
          </w:tcPr>
          <w:p w:rsidR="00D555F2" w:rsidRPr="00C60AD1" w:rsidRDefault="00D555F2" w:rsidP="00BB5A5A">
            <w:pPr>
              <w:spacing w:before="0"/>
              <w:jc w:val="center"/>
            </w:pPr>
            <w:r w:rsidRPr="00C60AD1">
              <w:t>15</w:t>
            </w:r>
          </w:p>
        </w:tc>
        <w:tc>
          <w:tcPr>
            <w:tcW w:w="1350" w:type="dxa"/>
          </w:tcPr>
          <w:p w:rsidR="00D555F2" w:rsidRPr="00C60AD1" w:rsidRDefault="00D555F2" w:rsidP="00BB5A5A">
            <w:pPr>
              <w:spacing w:before="0"/>
              <w:jc w:val="center"/>
            </w:pPr>
            <w:r w:rsidRPr="00C60AD1">
              <w:t>15</w:t>
            </w:r>
          </w:p>
        </w:tc>
        <w:tc>
          <w:tcPr>
            <w:tcW w:w="1260" w:type="dxa"/>
          </w:tcPr>
          <w:p w:rsidR="00D555F2" w:rsidRPr="00C60AD1" w:rsidRDefault="00D555F2" w:rsidP="00BB5A5A">
            <w:pPr>
              <w:spacing w:before="0"/>
              <w:jc w:val="center"/>
            </w:pPr>
            <w:r w:rsidRPr="00C60AD1">
              <w:t>12</w:t>
            </w:r>
          </w:p>
        </w:tc>
        <w:tc>
          <w:tcPr>
            <w:tcW w:w="1482" w:type="dxa"/>
          </w:tcPr>
          <w:p w:rsidR="00D555F2" w:rsidRPr="00C60AD1" w:rsidRDefault="00D555F2" w:rsidP="00BB5A5A">
            <w:pPr>
              <w:spacing w:before="0"/>
              <w:jc w:val="center"/>
            </w:pPr>
            <w:r w:rsidRPr="00C60AD1">
              <w:t>10</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11.</w:t>
            </w:r>
          </w:p>
        </w:tc>
        <w:tc>
          <w:tcPr>
            <w:tcW w:w="2104" w:type="dxa"/>
          </w:tcPr>
          <w:p w:rsidR="00D555F2" w:rsidRPr="00C60AD1" w:rsidRDefault="00D555F2" w:rsidP="00BB5A5A">
            <w:pPr>
              <w:spacing w:before="0"/>
              <w:jc w:val="center"/>
            </w:pPr>
            <w:r w:rsidRPr="00C60AD1">
              <w:t>60 HP</w:t>
            </w:r>
          </w:p>
        </w:tc>
        <w:tc>
          <w:tcPr>
            <w:tcW w:w="1350" w:type="dxa"/>
          </w:tcPr>
          <w:p w:rsidR="00D555F2" w:rsidRPr="00C60AD1" w:rsidRDefault="00D555F2" w:rsidP="00BB5A5A">
            <w:pPr>
              <w:spacing w:before="0"/>
              <w:jc w:val="center"/>
            </w:pPr>
            <w:r w:rsidRPr="00C60AD1">
              <w:t>20</w:t>
            </w:r>
          </w:p>
        </w:tc>
        <w:tc>
          <w:tcPr>
            <w:tcW w:w="1350" w:type="dxa"/>
          </w:tcPr>
          <w:p w:rsidR="00D555F2" w:rsidRPr="00C60AD1" w:rsidRDefault="00D555F2" w:rsidP="00BB5A5A">
            <w:pPr>
              <w:spacing w:before="0"/>
              <w:jc w:val="center"/>
            </w:pPr>
            <w:r w:rsidRPr="00C60AD1">
              <w:t>20</w:t>
            </w:r>
          </w:p>
        </w:tc>
        <w:tc>
          <w:tcPr>
            <w:tcW w:w="1260" w:type="dxa"/>
          </w:tcPr>
          <w:p w:rsidR="00D555F2" w:rsidRPr="00C60AD1" w:rsidRDefault="00D555F2" w:rsidP="00BB5A5A">
            <w:pPr>
              <w:spacing w:before="0"/>
              <w:jc w:val="center"/>
            </w:pPr>
            <w:r w:rsidRPr="00C60AD1">
              <w:t>16</w:t>
            </w:r>
          </w:p>
        </w:tc>
        <w:tc>
          <w:tcPr>
            <w:tcW w:w="1482" w:type="dxa"/>
          </w:tcPr>
          <w:p w:rsidR="00D555F2" w:rsidRPr="00C60AD1" w:rsidRDefault="00D555F2" w:rsidP="00BB5A5A">
            <w:pPr>
              <w:spacing w:before="0"/>
              <w:jc w:val="center"/>
            </w:pPr>
            <w:r w:rsidRPr="00C60AD1">
              <w:t>14</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12.</w:t>
            </w:r>
          </w:p>
        </w:tc>
        <w:tc>
          <w:tcPr>
            <w:tcW w:w="2104" w:type="dxa"/>
          </w:tcPr>
          <w:p w:rsidR="00D555F2" w:rsidRPr="00C60AD1" w:rsidRDefault="00D555F2" w:rsidP="00BB5A5A">
            <w:pPr>
              <w:spacing w:before="0"/>
              <w:jc w:val="center"/>
            </w:pPr>
            <w:r w:rsidRPr="00C60AD1">
              <w:t>75 HP</w:t>
            </w:r>
          </w:p>
        </w:tc>
        <w:tc>
          <w:tcPr>
            <w:tcW w:w="1350" w:type="dxa"/>
          </w:tcPr>
          <w:p w:rsidR="00D555F2" w:rsidRPr="00C60AD1" w:rsidRDefault="00D555F2" w:rsidP="00BB5A5A">
            <w:pPr>
              <w:spacing w:before="0"/>
              <w:jc w:val="center"/>
            </w:pPr>
            <w:r w:rsidRPr="00C60AD1">
              <w:t>24</w:t>
            </w:r>
          </w:p>
        </w:tc>
        <w:tc>
          <w:tcPr>
            <w:tcW w:w="1350" w:type="dxa"/>
          </w:tcPr>
          <w:p w:rsidR="00D555F2" w:rsidRPr="00C60AD1" w:rsidRDefault="00D555F2" w:rsidP="00BB5A5A">
            <w:pPr>
              <w:spacing w:before="0"/>
              <w:jc w:val="center"/>
            </w:pPr>
            <w:r w:rsidRPr="00C60AD1">
              <w:t>23</w:t>
            </w:r>
          </w:p>
        </w:tc>
        <w:tc>
          <w:tcPr>
            <w:tcW w:w="1260" w:type="dxa"/>
          </w:tcPr>
          <w:p w:rsidR="00D555F2" w:rsidRPr="00C60AD1" w:rsidRDefault="00D555F2" w:rsidP="00BB5A5A">
            <w:pPr>
              <w:spacing w:before="0"/>
              <w:jc w:val="center"/>
            </w:pPr>
            <w:r w:rsidRPr="00C60AD1">
              <w:t>19</w:t>
            </w:r>
          </w:p>
        </w:tc>
        <w:tc>
          <w:tcPr>
            <w:tcW w:w="1482" w:type="dxa"/>
          </w:tcPr>
          <w:p w:rsidR="00D555F2" w:rsidRPr="00C60AD1" w:rsidRDefault="00D555F2" w:rsidP="00BB5A5A">
            <w:pPr>
              <w:spacing w:before="0"/>
              <w:jc w:val="center"/>
            </w:pPr>
            <w:r w:rsidRPr="00C60AD1">
              <w:t>16</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13.</w:t>
            </w:r>
          </w:p>
        </w:tc>
        <w:tc>
          <w:tcPr>
            <w:tcW w:w="2104" w:type="dxa"/>
          </w:tcPr>
          <w:p w:rsidR="00D555F2" w:rsidRPr="00C60AD1" w:rsidRDefault="00D555F2" w:rsidP="00BB5A5A">
            <w:pPr>
              <w:spacing w:before="0"/>
              <w:jc w:val="center"/>
            </w:pPr>
            <w:r w:rsidRPr="00C60AD1">
              <w:t>100 HP</w:t>
            </w:r>
          </w:p>
        </w:tc>
        <w:tc>
          <w:tcPr>
            <w:tcW w:w="1350" w:type="dxa"/>
          </w:tcPr>
          <w:p w:rsidR="00D555F2" w:rsidRPr="00C60AD1" w:rsidRDefault="00D555F2" w:rsidP="00BB5A5A">
            <w:pPr>
              <w:spacing w:before="0"/>
              <w:jc w:val="center"/>
            </w:pPr>
            <w:r w:rsidRPr="00C60AD1">
              <w:t>30</w:t>
            </w:r>
          </w:p>
        </w:tc>
        <w:tc>
          <w:tcPr>
            <w:tcW w:w="1350" w:type="dxa"/>
          </w:tcPr>
          <w:p w:rsidR="00D555F2" w:rsidRPr="00C60AD1" w:rsidRDefault="00D555F2" w:rsidP="00BB5A5A">
            <w:pPr>
              <w:spacing w:before="0"/>
              <w:jc w:val="center"/>
            </w:pPr>
            <w:r w:rsidRPr="00C60AD1">
              <w:t>30</w:t>
            </w:r>
          </w:p>
        </w:tc>
        <w:tc>
          <w:tcPr>
            <w:tcW w:w="1260" w:type="dxa"/>
          </w:tcPr>
          <w:p w:rsidR="00D555F2" w:rsidRPr="00C60AD1" w:rsidRDefault="00D555F2" w:rsidP="00BB5A5A">
            <w:pPr>
              <w:spacing w:before="0"/>
              <w:jc w:val="center"/>
            </w:pPr>
            <w:r w:rsidRPr="00C60AD1">
              <w:t>24</w:t>
            </w:r>
          </w:p>
        </w:tc>
        <w:tc>
          <w:tcPr>
            <w:tcW w:w="1482" w:type="dxa"/>
          </w:tcPr>
          <w:p w:rsidR="00D555F2" w:rsidRPr="00C60AD1" w:rsidRDefault="00D555F2" w:rsidP="00BB5A5A">
            <w:pPr>
              <w:spacing w:before="0"/>
              <w:jc w:val="center"/>
            </w:pPr>
            <w:r w:rsidRPr="00C60AD1">
              <w:t>20</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14.</w:t>
            </w:r>
          </w:p>
        </w:tc>
        <w:tc>
          <w:tcPr>
            <w:tcW w:w="2104" w:type="dxa"/>
          </w:tcPr>
          <w:p w:rsidR="00D555F2" w:rsidRPr="00C60AD1" w:rsidRDefault="00D555F2" w:rsidP="00BB5A5A">
            <w:pPr>
              <w:spacing w:before="0"/>
              <w:jc w:val="center"/>
            </w:pPr>
            <w:r w:rsidRPr="00C60AD1">
              <w:t>125 HP</w:t>
            </w:r>
          </w:p>
        </w:tc>
        <w:tc>
          <w:tcPr>
            <w:tcW w:w="1350" w:type="dxa"/>
          </w:tcPr>
          <w:p w:rsidR="00D555F2" w:rsidRPr="00C60AD1" w:rsidRDefault="00D555F2" w:rsidP="00BB5A5A">
            <w:pPr>
              <w:spacing w:before="0"/>
              <w:jc w:val="center"/>
            </w:pPr>
            <w:r w:rsidRPr="00C60AD1">
              <w:t>39</w:t>
            </w:r>
          </w:p>
        </w:tc>
        <w:tc>
          <w:tcPr>
            <w:tcW w:w="1350" w:type="dxa"/>
          </w:tcPr>
          <w:p w:rsidR="00D555F2" w:rsidRPr="00C60AD1" w:rsidRDefault="00D555F2" w:rsidP="00BB5A5A">
            <w:pPr>
              <w:spacing w:before="0"/>
              <w:jc w:val="center"/>
            </w:pPr>
            <w:r w:rsidRPr="00C60AD1">
              <w:t>38</w:t>
            </w:r>
          </w:p>
        </w:tc>
        <w:tc>
          <w:tcPr>
            <w:tcW w:w="1260" w:type="dxa"/>
          </w:tcPr>
          <w:p w:rsidR="00D555F2" w:rsidRPr="00C60AD1" w:rsidRDefault="00D555F2" w:rsidP="00BB5A5A">
            <w:pPr>
              <w:spacing w:before="0"/>
              <w:jc w:val="center"/>
            </w:pPr>
            <w:r w:rsidRPr="00C60AD1">
              <w:t>31</w:t>
            </w:r>
          </w:p>
        </w:tc>
        <w:tc>
          <w:tcPr>
            <w:tcW w:w="1482" w:type="dxa"/>
          </w:tcPr>
          <w:p w:rsidR="00D555F2" w:rsidRPr="00C60AD1" w:rsidRDefault="00D555F2" w:rsidP="00BB5A5A">
            <w:pPr>
              <w:spacing w:before="0"/>
              <w:jc w:val="center"/>
            </w:pPr>
            <w:r w:rsidRPr="00C60AD1">
              <w:t>26</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15.</w:t>
            </w:r>
          </w:p>
        </w:tc>
        <w:tc>
          <w:tcPr>
            <w:tcW w:w="2104" w:type="dxa"/>
          </w:tcPr>
          <w:p w:rsidR="00D555F2" w:rsidRPr="00C60AD1" w:rsidRDefault="00D555F2" w:rsidP="00BB5A5A">
            <w:pPr>
              <w:spacing w:before="0"/>
              <w:jc w:val="center"/>
            </w:pPr>
            <w:r w:rsidRPr="00C60AD1">
              <w:t>150 HP</w:t>
            </w:r>
          </w:p>
        </w:tc>
        <w:tc>
          <w:tcPr>
            <w:tcW w:w="1350" w:type="dxa"/>
          </w:tcPr>
          <w:p w:rsidR="00D555F2" w:rsidRPr="00C60AD1" w:rsidRDefault="00D555F2" w:rsidP="00BB5A5A">
            <w:pPr>
              <w:spacing w:before="0"/>
              <w:jc w:val="center"/>
            </w:pPr>
            <w:r w:rsidRPr="00C60AD1">
              <w:t>45</w:t>
            </w:r>
          </w:p>
        </w:tc>
        <w:tc>
          <w:tcPr>
            <w:tcW w:w="1350" w:type="dxa"/>
          </w:tcPr>
          <w:p w:rsidR="00D555F2" w:rsidRPr="00C60AD1" w:rsidRDefault="00D555F2" w:rsidP="00BB5A5A">
            <w:pPr>
              <w:spacing w:before="0"/>
              <w:jc w:val="center"/>
            </w:pPr>
            <w:r w:rsidRPr="00C60AD1">
              <w:t>45</w:t>
            </w:r>
          </w:p>
        </w:tc>
        <w:tc>
          <w:tcPr>
            <w:tcW w:w="1260" w:type="dxa"/>
          </w:tcPr>
          <w:p w:rsidR="00D555F2" w:rsidRPr="00C60AD1" w:rsidRDefault="00D555F2" w:rsidP="00BB5A5A">
            <w:pPr>
              <w:spacing w:before="0"/>
              <w:jc w:val="center"/>
            </w:pPr>
            <w:r w:rsidRPr="00C60AD1">
              <w:t>36</w:t>
            </w:r>
          </w:p>
        </w:tc>
        <w:tc>
          <w:tcPr>
            <w:tcW w:w="1482" w:type="dxa"/>
          </w:tcPr>
          <w:p w:rsidR="00D555F2" w:rsidRPr="00C60AD1" w:rsidRDefault="00D555F2" w:rsidP="00BB5A5A">
            <w:pPr>
              <w:spacing w:before="0"/>
              <w:jc w:val="center"/>
            </w:pPr>
            <w:r w:rsidRPr="00C60AD1">
              <w:t>30</w:t>
            </w:r>
          </w:p>
        </w:tc>
      </w:tr>
      <w:tr w:rsidR="00D555F2" w:rsidRPr="00C60AD1" w:rsidTr="00BB5A5A">
        <w:trPr>
          <w:cantSplit/>
          <w:jc w:val="center"/>
        </w:trPr>
        <w:tc>
          <w:tcPr>
            <w:tcW w:w="1038" w:type="dxa"/>
          </w:tcPr>
          <w:p w:rsidR="00D555F2" w:rsidRPr="00C60AD1" w:rsidRDefault="00D555F2" w:rsidP="00BB5A5A">
            <w:pPr>
              <w:spacing w:before="0"/>
              <w:jc w:val="center"/>
            </w:pPr>
            <w:r w:rsidRPr="00C60AD1">
              <w:t>16.</w:t>
            </w:r>
          </w:p>
        </w:tc>
        <w:tc>
          <w:tcPr>
            <w:tcW w:w="2104" w:type="dxa"/>
          </w:tcPr>
          <w:p w:rsidR="00D555F2" w:rsidRPr="00C60AD1" w:rsidRDefault="00D555F2" w:rsidP="00BB5A5A">
            <w:pPr>
              <w:spacing w:before="0"/>
              <w:jc w:val="center"/>
            </w:pPr>
            <w:r w:rsidRPr="00C60AD1">
              <w:t>200 HP</w:t>
            </w:r>
          </w:p>
        </w:tc>
        <w:tc>
          <w:tcPr>
            <w:tcW w:w="1350" w:type="dxa"/>
          </w:tcPr>
          <w:p w:rsidR="00D555F2" w:rsidRPr="00C60AD1" w:rsidRDefault="00D555F2" w:rsidP="00BB5A5A">
            <w:pPr>
              <w:spacing w:before="0"/>
              <w:jc w:val="center"/>
            </w:pPr>
            <w:r w:rsidRPr="00C60AD1">
              <w:t>60</w:t>
            </w:r>
          </w:p>
        </w:tc>
        <w:tc>
          <w:tcPr>
            <w:tcW w:w="1350" w:type="dxa"/>
          </w:tcPr>
          <w:p w:rsidR="00D555F2" w:rsidRPr="00C60AD1" w:rsidRDefault="00D555F2" w:rsidP="00BB5A5A">
            <w:pPr>
              <w:spacing w:before="0"/>
              <w:jc w:val="center"/>
            </w:pPr>
            <w:r w:rsidRPr="00C60AD1">
              <w:t>60</w:t>
            </w:r>
          </w:p>
        </w:tc>
        <w:tc>
          <w:tcPr>
            <w:tcW w:w="1260" w:type="dxa"/>
          </w:tcPr>
          <w:p w:rsidR="00D555F2" w:rsidRPr="00C60AD1" w:rsidRDefault="00D555F2" w:rsidP="00BB5A5A">
            <w:pPr>
              <w:spacing w:before="0"/>
              <w:jc w:val="center"/>
            </w:pPr>
            <w:r w:rsidRPr="00C60AD1">
              <w:t>48</w:t>
            </w:r>
          </w:p>
        </w:tc>
        <w:tc>
          <w:tcPr>
            <w:tcW w:w="1482" w:type="dxa"/>
          </w:tcPr>
          <w:p w:rsidR="00D555F2" w:rsidRPr="00C60AD1" w:rsidRDefault="00D555F2" w:rsidP="00BB5A5A">
            <w:pPr>
              <w:spacing w:before="0"/>
              <w:jc w:val="center"/>
            </w:pPr>
            <w:r w:rsidRPr="00C60AD1">
              <w:t>40</w:t>
            </w:r>
          </w:p>
        </w:tc>
      </w:tr>
    </w:tbl>
    <w:p w:rsidR="00D555F2" w:rsidRPr="00C60AD1" w:rsidRDefault="00D555F2" w:rsidP="00D555F2"/>
    <w:p w:rsidR="00D555F2" w:rsidRPr="00C60AD1" w:rsidRDefault="00D555F2" w:rsidP="00D555F2">
      <w:pPr>
        <w:ind w:left="360"/>
        <w:jc w:val="left"/>
        <w:rPr>
          <w:b/>
          <w:u w:val="single"/>
        </w:rPr>
      </w:pPr>
      <w:r w:rsidRPr="00C60AD1">
        <w:rPr>
          <w:b/>
          <w:u w:val="single"/>
        </w:rPr>
        <w:t>FOR WELDING TRANSFORMERS:</w:t>
      </w:r>
    </w:p>
    <w:p w:rsidR="00D555F2" w:rsidRPr="00C60AD1" w:rsidRDefault="00D555F2" w:rsidP="00D555F2">
      <w:pPr>
        <w:ind w:left="360"/>
        <w:jc w:val="left"/>
        <w:rPr>
          <w:b/>
          <w:u w:val="single"/>
        </w:rPr>
      </w:pPr>
    </w:p>
    <w:tbl>
      <w:tblPr>
        <w:tblW w:w="86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20"/>
        <w:gridCol w:w="4770"/>
        <w:gridCol w:w="3181"/>
      </w:tblGrid>
      <w:tr w:rsidR="00D555F2" w:rsidRPr="00C60AD1" w:rsidTr="00BB5A5A">
        <w:trPr>
          <w:tblHeader/>
          <w:jc w:val="center"/>
        </w:trPr>
        <w:tc>
          <w:tcPr>
            <w:tcW w:w="720" w:type="dxa"/>
            <w:shd w:val="clear" w:color="auto" w:fill="DBE5F1"/>
          </w:tcPr>
          <w:p w:rsidR="00D555F2" w:rsidRPr="00C60AD1" w:rsidRDefault="00D555F2" w:rsidP="00BB5A5A">
            <w:pPr>
              <w:spacing w:before="0"/>
              <w:jc w:val="center"/>
              <w:rPr>
                <w:b/>
              </w:rPr>
            </w:pPr>
            <w:r w:rsidRPr="00C60AD1">
              <w:rPr>
                <w:b/>
              </w:rPr>
              <w:t>Sl. No.</w:t>
            </w:r>
          </w:p>
        </w:tc>
        <w:tc>
          <w:tcPr>
            <w:tcW w:w="4770" w:type="dxa"/>
            <w:shd w:val="clear" w:color="auto" w:fill="DBE5F1"/>
          </w:tcPr>
          <w:p w:rsidR="00D555F2" w:rsidRPr="00C60AD1" w:rsidRDefault="00D555F2" w:rsidP="00BB5A5A">
            <w:pPr>
              <w:spacing w:before="0"/>
              <w:jc w:val="center"/>
              <w:rPr>
                <w:b/>
              </w:rPr>
            </w:pPr>
            <w:r w:rsidRPr="00C60AD1">
              <w:rPr>
                <w:b/>
              </w:rPr>
              <w:t>Name Plate Rating in KVA of Individual Welding Transformer</w:t>
            </w:r>
          </w:p>
        </w:tc>
        <w:tc>
          <w:tcPr>
            <w:tcW w:w="3181" w:type="dxa"/>
            <w:shd w:val="clear" w:color="auto" w:fill="DBE5F1"/>
          </w:tcPr>
          <w:p w:rsidR="00D555F2" w:rsidRPr="00C60AD1" w:rsidRDefault="00D555F2" w:rsidP="00BB5A5A">
            <w:pPr>
              <w:spacing w:before="0"/>
              <w:jc w:val="center"/>
              <w:rPr>
                <w:b/>
              </w:rPr>
            </w:pPr>
            <w:r w:rsidRPr="00C60AD1">
              <w:rPr>
                <w:b/>
              </w:rPr>
              <w:t>Capacity of the Capacitors</w:t>
            </w:r>
          </w:p>
          <w:p w:rsidR="00D555F2" w:rsidRPr="00C60AD1" w:rsidRDefault="00D555F2" w:rsidP="00BB5A5A">
            <w:pPr>
              <w:spacing w:before="0"/>
              <w:jc w:val="center"/>
              <w:rPr>
                <w:b/>
              </w:rPr>
            </w:pPr>
            <w:r w:rsidRPr="00C60AD1">
              <w:rPr>
                <w:b/>
              </w:rPr>
              <w:t>(KVAR)</w:t>
            </w:r>
          </w:p>
        </w:tc>
      </w:tr>
      <w:tr w:rsidR="00D555F2" w:rsidRPr="00C60AD1" w:rsidTr="00BB5A5A">
        <w:trPr>
          <w:jc w:val="center"/>
        </w:trPr>
        <w:tc>
          <w:tcPr>
            <w:tcW w:w="720" w:type="dxa"/>
          </w:tcPr>
          <w:p w:rsidR="00D555F2" w:rsidRPr="00C60AD1" w:rsidRDefault="00D555F2" w:rsidP="00BB5A5A">
            <w:pPr>
              <w:spacing w:before="0"/>
              <w:jc w:val="center"/>
            </w:pPr>
            <w:r w:rsidRPr="00C60AD1">
              <w:t>1.</w:t>
            </w:r>
          </w:p>
        </w:tc>
        <w:tc>
          <w:tcPr>
            <w:tcW w:w="4770" w:type="dxa"/>
          </w:tcPr>
          <w:p w:rsidR="00D555F2" w:rsidRPr="00C60AD1" w:rsidRDefault="00D555F2" w:rsidP="00BB5A5A">
            <w:pPr>
              <w:spacing w:before="0"/>
              <w:jc w:val="center"/>
            </w:pPr>
            <w:r w:rsidRPr="00C60AD1">
              <w:t>1</w:t>
            </w:r>
          </w:p>
        </w:tc>
        <w:tc>
          <w:tcPr>
            <w:tcW w:w="3181" w:type="dxa"/>
          </w:tcPr>
          <w:p w:rsidR="00D555F2" w:rsidRPr="00C60AD1" w:rsidRDefault="00D555F2" w:rsidP="00BB5A5A">
            <w:pPr>
              <w:spacing w:before="0"/>
              <w:jc w:val="center"/>
            </w:pPr>
            <w:r w:rsidRPr="00C60AD1">
              <w:t>1</w:t>
            </w:r>
          </w:p>
        </w:tc>
      </w:tr>
      <w:tr w:rsidR="00D555F2" w:rsidRPr="00C60AD1" w:rsidTr="00BB5A5A">
        <w:trPr>
          <w:jc w:val="center"/>
        </w:trPr>
        <w:tc>
          <w:tcPr>
            <w:tcW w:w="720" w:type="dxa"/>
          </w:tcPr>
          <w:p w:rsidR="00D555F2" w:rsidRPr="00C60AD1" w:rsidRDefault="00D555F2" w:rsidP="00BB5A5A">
            <w:pPr>
              <w:spacing w:before="0"/>
              <w:jc w:val="center"/>
            </w:pPr>
            <w:r w:rsidRPr="00C60AD1">
              <w:t>2.</w:t>
            </w:r>
          </w:p>
        </w:tc>
        <w:tc>
          <w:tcPr>
            <w:tcW w:w="4770" w:type="dxa"/>
          </w:tcPr>
          <w:p w:rsidR="00D555F2" w:rsidRPr="00C60AD1" w:rsidRDefault="00D555F2" w:rsidP="00BB5A5A">
            <w:pPr>
              <w:spacing w:before="0"/>
              <w:jc w:val="center"/>
            </w:pPr>
            <w:r w:rsidRPr="00C60AD1">
              <w:t>2</w:t>
            </w:r>
          </w:p>
        </w:tc>
        <w:tc>
          <w:tcPr>
            <w:tcW w:w="3181" w:type="dxa"/>
          </w:tcPr>
          <w:p w:rsidR="00D555F2" w:rsidRPr="00C60AD1" w:rsidRDefault="00D555F2" w:rsidP="00BB5A5A">
            <w:pPr>
              <w:spacing w:before="0"/>
              <w:jc w:val="center"/>
            </w:pPr>
            <w:r w:rsidRPr="00C60AD1">
              <w:t>2</w:t>
            </w:r>
          </w:p>
        </w:tc>
      </w:tr>
      <w:tr w:rsidR="00D555F2" w:rsidRPr="00C60AD1" w:rsidTr="00BB5A5A">
        <w:trPr>
          <w:jc w:val="center"/>
        </w:trPr>
        <w:tc>
          <w:tcPr>
            <w:tcW w:w="720" w:type="dxa"/>
          </w:tcPr>
          <w:p w:rsidR="00D555F2" w:rsidRPr="00C60AD1" w:rsidRDefault="00D555F2" w:rsidP="00BB5A5A">
            <w:pPr>
              <w:spacing w:before="0"/>
              <w:jc w:val="center"/>
            </w:pPr>
            <w:r w:rsidRPr="00C60AD1">
              <w:t>3.</w:t>
            </w:r>
          </w:p>
        </w:tc>
        <w:tc>
          <w:tcPr>
            <w:tcW w:w="4770" w:type="dxa"/>
          </w:tcPr>
          <w:p w:rsidR="00D555F2" w:rsidRPr="00C60AD1" w:rsidRDefault="00D555F2" w:rsidP="00BB5A5A">
            <w:pPr>
              <w:spacing w:before="0"/>
              <w:jc w:val="center"/>
            </w:pPr>
            <w:r w:rsidRPr="00C60AD1">
              <w:t>3</w:t>
            </w:r>
          </w:p>
        </w:tc>
        <w:tc>
          <w:tcPr>
            <w:tcW w:w="3181" w:type="dxa"/>
          </w:tcPr>
          <w:p w:rsidR="00D555F2" w:rsidRPr="00C60AD1" w:rsidRDefault="00D555F2" w:rsidP="00BB5A5A">
            <w:pPr>
              <w:spacing w:before="0"/>
              <w:jc w:val="center"/>
            </w:pPr>
            <w:r w:rsidRPr="00C60AD1">
              <w:t>3</w:t>
            </w:r>
          </w:p>
        </w:tc>
      </w:tr>
      <w:tr w:rsidR="00D555F2" w:rsidRPr="00C60AD1" w:rsidTr="00BB5A5A">
        <w:trPr>
          <w:jc w:val="center"/>
        </w:trPr>
        <w:tc>
          <w:tcPr>
            <w:tcW w:w="720" w:type="dxa"/>
          </w:tcPr>
          <w:p w:rsidR="00D555F2" w:rsidRPr="00C60AD1" w:rsidRDefault="00D555F2" w:rsidP="00BB5A5A">
            <w:pPr>
              <w:spacing w:before="0"/>
              <w:jc w:val="center"/>
            </w:pPr>
            <w:r w:rsidRPr="00C60AD1">
              <w:t>4.</w:t>
            </w:r>
          </w:p>
        </w:tc>
        <w:tc>
          <w:tcPr>
            <w:tcW w:w="4770" w:type="dxa"/>
          </w:tcPr>
          <w:p w:rsidR="00D555F2" w:rsidRPr="00C60AD1" w:rsidRDefault="00D555F2" w:rsidP="00BB5A5A">
            <w:pPr>
              <w:spacing w:before="0"/>
              <w:jc w:val="center"/>
            </w:pPr>
            <w:r w:rsidRPr="00C60AD1">
              <w:t>4</w:t>
            </w:r>
          </w:p>
        </w:tc>
        <w:tc>
          <w:tcPr>
            <w:tcW w:w="3181" w:type="dxa"/>
          </w:tcPr>
          <w:p w:rsidR="00D555F2" w:rsidRPr="00C60AD1" w:rsidRDefault="00D555F2" w:rsidP="00BB5A5A">
            <w:pPr>
              <w:spacing w:before="0"/>
              <w:jc w:val="center"/>
            </w:pPr>
            <w:r w:rsidRPr="00C60AD1">
              <w:t>3</w:t>
            </w:r>
          </w:p>
        </w:tc>
      </w:tr>
      <w:tr w:rsidR="00D555F2" w:rsidRPr="00C60AD1" w:rsidTr="00BB5A5A">
        <w:trPr>
          <w:jc w:val="center"/>
        </w:trPr>
        <w:tc>
          <w:tcPr>
            <w:tcW w:w="720" w:type="dxa"/>
          </w:tcPr>
          <w:p w:rsidR="00D555F2" w:rsidRPr="00C60AD1" w:rsidRDefault="00D555F2" w:rsidP="00BB5A5A">
            <w:pPr>
              <w:spacing w:before="0"/>
              <w:jc w:val="center"/>
            </w:pPr>
            <w:r w:rsidRPr="00C60AD1">
              <w:t>5.</w:t>
            </w:r>
          </w:p>
        </w:tc>
        <w:tc>
          <w:tcPr>
            <w:tcW w:w="4770" w:type="dxa"/>
          </w:tcPr>
          <w:p w:rsidR="00D555F2" w:rsidRPr="00C60AD1" w:rsidRDefault="00D555F2" w:rsidP="00BB5A5A">
            <w:pPr>
              <w:spacing w:before="0"/>
              <w:jc w:val="center"/>
            </w:pPr>
            <w:r w:rsidRPr="00C60AD1">
              <w:t>5</w:t>
            </w:r>
          </w:p>
        </w:tc>
        <w:tc>
          <w:tcPr>
            <w:tcW w:w="3181" w:type="dxa"/>
          </w:tcPr>
          <w:p w:rsidR="00D555F2" w:rsidRPr="00C60AD1" w:rsidRDefault="00D555F2" w:rsidP="00BB5A5A">
            <w:pPr>
              <w:spacing w:before="0"/>
              <w:jc w:val="center"/>
            </w:pPr>
            <w:r w:rsidRPr="00C60AD1">
              <w:t>4</w:t>
            </w:r>
          </w:p>
        </w:tc>
      </w:tr>
      <w:tr w:rsidR="00D555F2" w:rsidRPr="00C60AD1" w:rsidTr="00BB5A5A">
        <w:trPr>
          <w:jc w:val="center"/>
        </w:trPr>
        <w:tc>
          <w:tcPr>
            <w:tcW w:w="720" w:type="dxa"/>
          </w:tcPr>
          <w:p w:rsidR="00D555F2" w:rsidRPr="00C60AD1" w:rsidRDefault="00D555F2" w:rsidP="00BB5A5A">
            <w:pPr>
              <w:spacing w:before="0"/>
              <w:jc w:val="center"/>
            </w:pPr>
            <w:r w:rsidRPr="00C60AD1">
              <w:t>6.</w:t>
            </w:r>
          </w:p>
        </w:tc>
        <w:tc>
          <w:tcPr>
            <w:tcW w:w="4770" w:type="dxa"/>
          </w:tcPr>
          <w:p w:rsidR="00D555F2" w:rsidRPr="00C60AD1" w:rsidRDefault="00D555F2" w:rsidP="00BB5A5A">
            <w:pPr>
              <w:spacing w:before="0"/>
              <w:jc w:val="center"/>
            </w:pPr>
            <w:r w:rsidRPr="00C60AD1">
              <w:t>6</w:t>
            </w:r>
          </w:p>
        </w:tc>
        <w:tc>
          <w:tcPr>
            <w:tcW w:w="3181" w:type="dxa"/>
          </w:tcPr>
          <w:p w:rsidR="00D555F2" w:rsidRPr="00C60AD1" w:rsidRDefault="00D555F2" w:rsidP="00BB5A5A">
            <w:pPr>
              <w:spacing w:before="0"/>
              <w:jc w:val="center"/>
            </w:pPr>
            <w:r w:rsidRPr="00C60AD1">
              <w:t>5</w:t>
            </w:r>
          </w:p>
        </w:tc>
      </w:tr>
      <w:tr w:rsidR="00D555F2" w:rsidRPr="00C60AD1" w:rsidTr="00BB5A5A">
        <w:trPr>
          <w:jc w:val="center"/>
        </w:trPr>
        <w:tc>
          <w:tcPr>
            <w:tcW w:w="720" w:type="dxa"/>
          </w:tcPr>
          <w:p w:rsidR="00D555F2" w:rsidRPr="00C60AD1" w:rsidRDefault="00D555F2" w:rsidP="00BB5A5A">
            <w:pPr>
              <w:spacing w:before="0"/>
              <w:jc w:val="center"/>
            </w:pPr>
            <w:r w:rsidRPr="00C60AD1">
              <w:t>7.</w:t>
            </w:r>
          </w:p>
        </w:tc>
        <w:tc>
          <w:tcPr>
            <w:tcW w:w="4770" w:type="dxa"/>
          </w:tcPr>
          <w:p w:rsidR="00D555F2" w:rsidRPr="00C60AD1" w:rsidRDefault="00D555F2" w:rsidP="00BB5A5A">
            <w:pPr>
              <w:spacing w:before="0"/>
              <w:jc w:val="center"/>
            </w:pPr>
            <w:r w:rsidRPr="00C60AD1">
              <w:t>7</w:t>
            </w:r>
          </w:p>
        </w:tc>
        <w:tc>
          <w:tcPr>
            <w:tcW w:w="3181" w:type="dxa"/>
          </w:tcPr>
          <w:p w:rsidR="00D555F2" w:rsidRPr="00C60AD1" w:rsidRDefault="00D555F2" w:rsidP="00BB5A5A">
            <w:pPr>
              <w:spacing w:before="0"/>
              <w:jc w:val="center"/>
            </w:pPr>
            <w:r w:rsidRPr="00C60AD1">
              <w:t>6</w:t>
            </w:r>
          </w:p>
        </w:tc>
      </w:tr>
      <w:tr w:rsidR="00D555F2" w:rsidRPr="00C60AD1" w:rsidTr="00BB5A5A">
        <w:trPr>
          <w:jc w:val="center"/>
        </w:trPr>
        <w:tc>
          <w:tcPr>
            <w:tcW w:w="720" w:type="dxa"/>
          </w:tcPr>
          <w:p w:rsidR="00D555F2" w:rsidRPr="00C60AD1" w:rsidRDefault="00D555F2" w:rsidP="00BB5A5A">
            <w:pPr>
              <w:spacing w:before="0"/>
              <w:jc w:val="center"/>
            </w:pPr>
            <w:r w:rsidRPr="00C60AD1">
              <w:t>8.</w:t>
            </w:r>
          </w:p>
        </w:tc>
        <w:tc>
          <w:tcPr>
            <w:tcW w:w="4770" w:type="dxa"/>
          </w:tcPr>
          <w:p w:rsidR="00D555F2" w:rsidRPr="00C60AD1" w:rsidRDefault="00D555F2" w:rsidP="00BB5A5A">
            <w:pPr>
              <w:spacing w:before="0"/>
              <w:jc w:val="center"/>
            </w:pPr>
            <w:r w:rsidRPr="00C60AD1">
              <w:t>8</w:t>
            </w:r>
          </w:p>
        </w:tc>
        <w:tc>
          <w:tcPr>
            <w:tcW w:w="3181" w:type="dxa"/>
          </w:tcPr>
          <w:p w:rsidR="00D555F2" w:rsidRPr="00C60AD1" w:rsidRDefault="00D555F2" w:rsidP="00BB5A5A">
            <w:pPr>
              <w:spacing w:before="0"/>
              <w:jc w:val="center"/>
            </w:pPr>
            <w:r w:rsidRPr="00C60AD1">
              <w:t>6</w:t>
            </w:r>
          </w:p>
        </w:tc>
      </w:tr>
      <w:tr w:rsidR="00D555F2" w:rsidRPr="00C60AD1" w:rsidTr="00BB5A5A">
        <w:trPr>
          <w:jc w:val="center"/>
        </w:trPr>
        <w:tc>
          <w:tcPr>
            <w:tcW w:w="720" w:type="dxa"/>
          </w:tcPr>
          <w:p w:rsidR="00D555F2" w:rsidRPr="00C60AD1" w:rsidRDefault="00D555F2" w:rsidP="00BB5A5A">
            <w:pPr>
              <w:spacing w:before="0"/>
              <w:jc w:val="center"/>
            </w:pPr>
            <w:r w:rsidRPr="00C60AD1">
              <w:lastRenderedPageBreak/>
              <w:t>9.</w:t>
            </w:r>
          </w:p>
        </w:tc>
        <w:tc>
          <w:tcPr>
            <w:tcW w:w="4770" w:type="dxa"/>
          </w:tcPr>
          <w:p w:rsidR="00D555F2" w:rsidRPr="00C60AD1" w:rsidRDefault="00D555F2" w:rsidP="00BB5A5A">
            <w:pPr>
              <w:spacing w:before="0"/>
              <w:jc w:val="center"/>
            </w:pPr>
            <w:r w:rsidRPr="00C60AD1">
              <w:t>9</w:t>
            </w:r>
          </w:p>
        </w:tc>
        <w:tc>
          <w:tcPr>
            <w:tcW w:w="3181" w:type="dxa"/>
          </w:tcPr>
          <w:p w:rsidR="00D555F2" w:rsidRPr="00C60AD1" w:rsidRDefault="00D555F2" w:rsidP="00BB5A5A">
            <w:pPr>
              <w:spacing w:before="0"/>
              <w:jc w:val="center"/>
            </w:pPr>
            <w:r w:rsidRPr="00C60AD1">
              <w:t>7</w:t>
            </w:r>
          </w:p>
        </w:tc>
      </w:tr>
      <w:tr w:rsidR="00D555F2" w:rsidRPr="00C60AD1" w:rsidTr="00BB5A5A">
        <w:trPr>
          <w:jc w:val="center"/>
        </w:trPr>
        <w:tc>
          <w:tcPr>
            <w:tcW w:w="720" w:type="dxa"/>
          </w:tcPr>
          <w:p w:rsidR="00D555F2" w:rsidRPr="00C60AD1" w:rsidRDefault="00D555F2" w:rsidP="00BB5A5A">
            <w:pPr>
              <w:spacing w:before="0"/>
              <w:jc w:val="center"/>
            </w:pPr>
            <w:r w:rsidRPr="00C60AD1">
              <w:t>10.</w:t>
            </w:r>
          </w:p>
        </w:tc>
        <w:tc>
          <w:tcPr>
            <w:tcW w:w="4770" w:type="dxa"/>
          </w:tcPr>
          <w:p w:rsidR="00D555F2" w:rsidRPr="00C60AD1" w:rsidRDefault="00D555F2" w:rsidP="00BB5A5A">
            <w:pPr>
              <w:spacing w:before="0"/>
              <w:jc w:val="center"/>
            </w:pPr>
            <w:r w:rsidRPr="00C60AD1">
              <w:t>10</w:t>
            </w:r>
          </w:p>
        </w:tc>
        <w:tc>
          <w:tcPr>
            <w:tcW w:w="3181" w:type="dxa"/>
          </w:tcPr>
          <w:p w:rsidR="00D555F2" w:rsidRPr="00C60AD1" w:rsidRDefault="00D555F2" w:rsidP="00BB5A5A">
            <w:pPr>
              <w:spacing w:before="0"/>
              <w:jc w:val="center"/>
            </w:pPr>
            <w:r w:rsidRPr="00C60AD1">
              <w:t>8</w:t>
            </w:r>
          </w:p>
        </w:tc>
      </w:tr>
      <w:tr w:rsidR="00D555F2" w:rsidRPr="00C60AD1" w:rsidTr="00BB5A5A">
        <w:trPr>
          <w:jc w:val="center"/>
        </w:trPr>
        <w:tc>
          <w:tcPr>
            <w:tcW w:w="720" w:type="dxa"/>
          </w:tcPr>
          <w:p w:rsidR="00D555F2" w:rsidRPr="00C60AD1" w:rsidRDefault="00D555F2" w:rsidP="00BB5A5A">
            <w:pPr>
              <w:spacing w:before="0"/>
              <w:jc w:val="center"/>
            </w:pPr>
            <w:r w:rsidRPr="00C60AD1">
              <w:t>11.</w:t>
            </w:r>
          </w:p>
        </w:tc>
        <w:tc>
          <w:tcPr>
            <w:tcW w:w="4770" w:type="dxa"/>
          </w:tcPr>
          <w:p w:rsidR="00D555F2" w:rsidRPr="00C60AD1" w:rsidRDefault="00D555F2" w:rsidP="00BB5A5A">
            <w:pPr>
              <w:spacing w:before="0"/>
              <w:jc w:val="center"/>
            </w:pPr>
            <w:r w:rsidRPr="00C60AD1">
              <w:t>11</w:t>
            </w:r>
          </w:p>
        </w:tc>
        <w:tc>
          <w:tcPr>
            <w:tcW w:w="3181" w:type="dxa"/>
          </w:tcPr>
          <w:p w:rsidR="00D555F2" w:rsidRPr="00C60AD1" w:rsidRDefault="00D555F2" w:rsidP="00BB5A5A">
            <w:pPr>
              <w:spacing w:before="0"/>
              <w:jc w:val="center"/>
            </w:pPr>
            <w:r w:rsidRPr="00C60AD1">
              <w:t>9</w:t>
            </w:r>
          </w:p>
        </w:tc>
      </w:tr>
      <w:tr w:rsidR="00D555F2" w:rsidRPr="00C60AD1" w:rsidTr="00BB5A5A">
        <w:trPr>
          <w:jc w:val="center"/>
        </w:trPr>
        <w:tc>
          <w:tcPr>
            <w:tcW w:w="720" w:type="dxa"/>
          </w:tcPr>
          <w:p w:rsidR="00D555F2" w:rsidRPr="00C60AD1" w:rsidRDefault="00D555F2" w:rsidP="00BB5A5A">
            <w:pPr>
              <w:spacing w:before="0"/>
              <w:jc w:val="center"/>
            </w:pPr>
            <w:r w:rsidRPr="00C60AD1">
              <w:t>12.</w:t>
            </w:r>
          </w:p>
        </w:tc>
        <w:tc>
          <w:tcPr>
            <w:tcW w:w="4770" w:type="dxa"/>
          </w:tcPr>
          <w:p w:rsidR="00D555F2" w:rsidRPr="00C60AD1" w:rsidRDefault="00D555F2" w:rsidP="00BB5A5A">
            <w:pPr>
              <w:spacing w:before="0"/>
              <w:jc w:val="center"/>
            </w:pPr>
            <w:r w:rsidRPr="00C60AD1">
              <w:t>12</w:t>
            </w:r>
          </w:p>
        </w:tc>
        <w:tc>
          <w:tcPr>
            <w:tcW w:w="3181" w:type="dxa"/>
          </w:tcPr>
          <w:p w:rsidR="00D555F2" w:rsidRPr="00C60AD1" w:rsidRDefault="00D555F2" w:rsidP="00BB5A5A">
            <w:pPr>
              <w:spacing w:before="0"/>
              <w:jc w:val="center"/>
            </w:pPr>
            <w:r w:rsidRPr="00C60AD1">
              <w:t>9</w:t>
            </w:r>
          </w:p>
        </w:tc>
      </w:tr>
      <w:tr w:rsidR="00D555F2" w:rsidRPr="00C60AD1" w:rsidTr="00BB5A5A">
        <w:trPr>
          <w:jc w:val="center"/>
        </w:trPr>
        <w:tc>
          <w:tcPr>
            <w:tcW w:w="720" w:type="dxa"/>
          </w:tcPr>
          <w:p w:rsidR="00D555F2" w:rsidRPr="00C60AD1" w:rsidRDefault="00D555F2" w:rsidP="00BB5A5A">
            <w:pPr>
              <w:spacing w:before="0"/>
              <w:jc w:val="center"/>
            </w:pPr>
            <w:r w:rsidRPr="00C60AD1">
              <w:t>13.</w:t>
            </w:r>
          </w:p>
        </w:tc>
        <w:tc>
          <w:tcPr>
            <w:tcW w:w="4770" w:type="dxa"/>
          </w:tcPr>
          <w:p w:rsidR="00D555F2" w:rsidRPr="00C60AD1" w:rsidRDefault="00D555F2" w:rsidP="00BB5A5A">
            <w:pPr>
              <w:spacing w:before="0"/>
              <w:jc w:val="center"/>
            </w:pPr>
            <w:r w:rsidRPr="00C60AD1">
              <w:t>13</w:t>
            </w:r>
          </w:p>
        </w:tc>
        <w:tc>
          <w:tcPr>
            <w:tcW w:w="3181" w:type="dxa"/>
          </w:tcPr>
          <w:p w:rsidR="00D555F2" w:rsidRPr="00C60AD1" w:rsidRDefault="00D555F2" w:rsidP="00BB5A5A">
            <w:pPr>
              <w:spacing w:before="0"/>
              <w:jc w:val="center"/>
            </w:pPr>
            <w:r w:rsidRPr="00C60AD1">
              <w:t>10</w:t>
            </w:r>
          </w:p>
        </w:tc>
      </w:tr>
      <w:tr w:rsidR="00D555F2" w:rsidRPr="00C60AD1" w:rsidTr="00BB5A5A">
        <w:trPr>
          <w:jc w:val="center"/>
        </w:trPr>
        <w:tc>
          <w:tcPr>
            <w:tcW w:w="720" w:type="dxa"/>
          </w:tcPr>
          <w:p w:rsidR="00D555F2" w:rsidRPr="00C60AD1" w:rsidRDefault="00D555F2" w:rsidP="00BB5A5A">
            <w:pPr>
              <w:spacing w:before="0"/>
              <w:jc w:val="center"/>
            </w:pPr>
            <w:r w:rsidRPr="00C60AD1">
              <w:t>14.</w:t>
            </w:r>
          </w:p>
        </w:tc>
        <w:tc>
          <w:tcPr>
            <w:tcW w:w="4770" w:type="dxa"/>
          </w:tcPr>
          <w:p w:rsidR="00D555F2" w:rsidRPr="00C60AD1" w:rsidRDefault="00D555F2" w:rsidP="00BB5A5A">
            <w:pPr>
              <w:spacing w:before="0"/>
              <w:jc w:val="center"/>
            </w:pPr>
            <w:r w:rsidRPr="00C60AD1">
              <w:t>14</w:t>
            </w:r>
          </w:p>
        </w:tc>
        <w:tc>
          <w:tcPr>
            <w:tcW w:w="3181" w:type="dxa"/>
          </w:tcPr>
          <w:p w:rsidR="00D555F2" w:rsidRPr="00C60AD1" w:rsidRDefault="00D555F2" w:rsidP="00BB5A5A">
            <w:pPr>
              <w:spacing w:before="0"/>
              <w:jc w:val="center"/>
            </w:pPr>
            <w:r w:rsidRPr="00C60AD1">
              <w:t>11</w:t>
            </w:r>
          </w:p>
        </w:tc>
      </w:tr>
      <w:tr w:rsidR="00D555F2" w:rsidRPr="00C60AD1" w:rsidTr="00BB5A5A">
        <w:trPr>
          <w:jc w:val="center"/>
        </w:trPr>
        <w:tc>
          <w:tcPr>
            <w:tcW w:w="720" w:type="dxa"/>
          </w:tcPr>
          <w:p w:rsidR="00D555F2" w:rsidRPr="00C60AD1" w:rsidRDefault="00D555F2" w:rsidP="00BB5A5A">
            <w:pPr>
              <w:spacing w:before="0"/>
              <w:jc w:val="center"/>
            </w:pPr>
            <w:r w:rsidRPr="00C60AD1">
              <w:t>15.</w:t>
            </w:r>
          </w:p>
        </w:tc>
        <w:tc>
          <w:tcPr>
            <w:tcW w:w="4770" w:type="dxa"/>
          </w:tcPr>
          <w:p w:rsidR="00D555F2" w:rsidRPr="00C60AD1" w:rsidRDefault="00D555F2" w:rsidP="00BB5A5A">
            <w:pPr>
              <w:spacing w:before="0"/>
              <w:jc w:val="center"/>
            </w:pPr>
            <w:r w:rsidRPr="00C60AD1">
              <w:t>15</w:t>
            </w:r>
          </w:p>
        </w:tc>
        <w:tc>
          <w:tcPr>
            <w:tcW w:w="3181" w:type="dxa"/>
          </w:tcPr>
          <w:p w:rsidR="00D555F2" w:rsidRPr="00C60AD1" w:rsidRDefault="00D555F2" w:rsidP="00BB5A5A">
            <w:pPr>
              <w:spacing w:before="0"/>
              <w:jc w:val="center"/>
            </w:pPr>
            <w:r w:rsidRPr="00C60AD1">
              <w:t>12</w:t>
            </w:r>
          </w:p>
        </w:tc>
      </w:tr>
      <w:tr w:rsidR="00D555F2" w:rsidRPr="00C60AD1" w:rsidTr="00BB5A5A">
        <w:trPr>
          <w:jc w:val="center"/>
        </w:trPr>
        <w:tc>
          <w:tcPr>
            <w:tcW w:w="720" w:type="dxa"/>
          </w:tcPr>
          <w:p w:rsidR="00D555F2" w:rsidRPr="00C60AD1" w:rsidRDefault="00D555F2" w:rsidP="00BB5A5A">
            <w:pPr>
              <w:spacing w:before="0"/>
              <w:jc w:val="center"/>
            </w:pPr>
            <w:r w:rsidRPr="00C60AD1">
              <w:t>16.</w:t>
            </w:r>
          </w:p>
        </w:tc>
        <w:tc>
          <w:tcPr>
            <w:tcW w:w="4770" w:type="dxa"/>
          </w:tcPr>
          <w:p w:rsidR="00D555F2" w:rsidRPr="00C60AD1" w:rsidRDefault="00D555F2" w:rsidP="00BB5A5A">
            <w:pPr>
              <w:spacing w:before="0"/>
              <w:jc w:val="center"/>
            </w:pPr>
            <w:r w:rsidRPr="00C60AD1">
              <w:t>16</w:t>
            </w:r>
          </w:p>
        </w:tc>
        <w:tc>
          <w:tcPr>
            <w:tcW w:w="3181" w:type="dxa"/>
          </w:tcPr>
          <w:p w:rsidR="00D555F2" w:rsidRPr="00C60AD1" w:rsidRDefault="00D555F2" w:rsidP="00BB5A5A">
            <w:pPr>
              <w:spacing w:before="0"/>
              <w:jc w:val="center"/>
            </w:pPr>
            <w:r w:rsidRPr="00C60AD1">
              <w:t>12</w:t>
            </w:r>
          </w:p>
        </w:tc>
      </w:tr>
      <w:tr w:rsidR="00D555F2" w:rsidRPr="00C60AD1" w:rsidTr="00BB5A5A">
        <w:trPr>
          <w:jc w:val="center"/>
        </w:trPr>
        <w:tc>
          <w:tcPr>
            <w:tcW w:w="720" w:type="dxa"/>
          </w:tcPr>
          <w:p w:rsidR="00D555F2" w:rsidRPr="00C60AD1" w:rsidRDefault="00D555F2" w:rsidP="00BB5A5A">
            <w:pPr>
              <w:spacing w:before="0"/>
              <w:jc w:val="center"/>
            </w:pPr>
            <w:r w:rsidRPr="00C60AD1">
              <w:t>17.</w:t>
            </w:r>
          </w:p>
        </w:tc>
        <w:tc>
          <w:tcPr>
            <w:tcW w:w="4770" w:type="dxa"/>
          </w:tcPr>
          <w:p w:rsidR="00D555F2" w:rsidRPr="00C60AD1" w:rsidRDefault="00D555F2" w:rsidP="00BB5A5A">
            <w:pPr>
              <w:spacing w:before="0"/>
              <w:jc w:val="center"/>
            </w:pPr>
            <w:r w:rsidRPr="00C60AD1">
              <w:t>17</w:t>
            </w:r>
          </w:p>
        </w:tc>
        <w:tc>
          <w:tcPr>
            <w:tcW w:w="3181" w:type="dxa"/>
          </w:tcPr>
          <w:p w:rsidR="00D555F2" w:rsidRPr="00C60AD1" w:rsidRDefault="00D555F2" w:rsidP="00BB5A5A">
            <w:pPr>
              <w:spacing w:before="0"/>
              <w:jc w:val="center"/>
            </w:pPr>
            <w:r w:rsidRPr="00C60AD1">
              <w:t>13</w:t>
            </w:r>
          </w:p>
        </w:tc>
      </w:tr>
      <w:tr w:rsidR="00D555F2" w:rsidRPr="00C60AD1" w:rsidTr="00BB5A5A">
        <w:trPr>
          <w:jc w:val="center"/>
        </w:trPr>
        <w:tc>
          <w:tcPr>
            <w:tcW w:w="720" w:type="dxa"/>
          </w:tcPr>
          <w:p w:rsidR="00D555F2" w:rsidRPr="00C60AD1" w:rsidRDefault="00D555F2" w:rsidP="00BB5A5A">
            <w:pPr>
              <w:spacing w:before="0"/>
              <w:jc w:val="center"/>
            </w:pPr>
            <w:r w:rsidRPr="00C60AD1">
              <w:t>18.</w:t>
            </w:r>
          </w:p>
        </w:tc>
        <w:tc>
          <w:tcPr>
            <w:tcW w:w="4770" w:type="dxa"/>
          </w:tcPr>
          <w:p w:rsidR="00D555F2" w:rsidRPr="00C60AD1" w:rsidRDefault="00D555F2" w:rsidP="00BB5A5A">
            <w:pPr>
              <w:spacing w:before="0"/>
              <w:jc w:val="center"/>
            </w:pPr>
            <w:r w:rsidRPr="00C60AD1">
              <w:t>18</w:t>
            </w:r>
          </w:p>
        </w:tc>
        <w:tc>
          <w:tcPr>
            <w:tcW w:w="3181" w:type="dxa"/>
          </w:tcPr>
          <w:p w:rsidR="00D555F2" w:rsidRPr="00C60AD1" w:rsidRDefault="00D555F2" w:rsidP="00BB5A5A">
            <w:pPr>
              <w:spacing w:before="0"/>
              <w:jc w:val="center"/>
            </w:pPr>
            <w:r w:rsidRPr="00C60AD1">
              <w:t>14</w:t>
            </w:r>
          </w:p>
        </w:tc>
      </w:tr>
      <w:tr w:rsidR="00D555F2" w:rsidRPr="00C60AD1" w:rsidTr="00BB5A5A">
        <w:trPr>
          <w:jc w:val="center"/>
        </w:trPr>
        <w:tc>
          <w:tcPr>
            <w:tcW w:w="720" w:type="dxa"/>
          </w:tcPr>
          <w:p w:rsidR="00D555F2" w:rsidRPr="00C60AD1" w:rsidRDefault="00D555F2" w:rsidP="00BB5A5A">
            <w:pPr>
              <w:spacing w:before="0"/>
              <w:jc w:val="center"/>
            </w:pPr>
            <w:r w:rsidRPr="00C60AD1">
              <w:t>19.</w:t>
            </w:r>
          </w:p>
        </w:tc>
        <w:tc>
          <w:tcPr>
            <w:tcW w:w="4770" w:type="dxa"/>
          </w:tcPr>
          <w:p w:rsidR="00D555F2" w:rsidRPr="00C60AD1" w:rsidRDefault="00D555F2" w:rsidP="00BB5A5A">
            <w:pPr>
              <w:spacing w:before="0"/>
              <w:jc w:val="center"/>
            </w:pPr>
            <w:r w:rsidRPr="00C60AD1">
              <w:t>19</w:t>
            </w:r>
          </w:p>
        </w:tc>
        <w:tc>
          <w:tcPr>
            <w:tcW w:w="3181" w:type="dxa"/>
          </w:tcPr>
          <w:p w:rsidR="00D555F2" w:rsidRPr="00C60AD1" w:rsidRDefault="00D555F2" w:rsidP="00BB5A5A">
            <w:pPr>
              <w:spacing w:before="0"/>
              <w:jc w:val="center"/>
            </w:pPr>
            <w:r w:rsidRPr="00C60AD1">
              <w:t>15</w:t>
            </w:r>
          </w:p>
        </w:tc>
      </w:tr>
      <w:tr w:rsidR="00D555F2" w:rsidRPr="00C60AD1" w:rsidTr="00BB5A5A">
        <w:trPr>
          <w:jc w:val="center"/>
        </w:trPr>
        <w:tc>
          <w:tcPr>
            <w:tcW w:w="720" w:type="dxa"/>
          </w:tcPr>
          <w:p w:rsidR="00D555F2" w:rsidRPr="00C60AD1" w:rsidRDefault="00D555F2" w:rsidP="00BB5A5A">
            <w:pPr>
              <w:spacing w:before="0"/>
              <w:jc w:val="center"/>
            </w:pPr>
            <w:r w:rsidRPr="00C60AD1">
              <w:t>20</w:t>
            </w:r>
          </w:p>
        </w:tc>
        <w:tc>
          <w:tcPr>
            <w:tcW w:w="4770" w:type="dxa"/>
          </w:tcPr>
          <w:p w:rsidR="00D555F2" w:rsidRPr="00C60AD1" w:rsidRDefault="00D555F2" w:rsidP="00BB5A5A">
            <w:pPr>
              <w:spacing w:before="0"/>
              <w:jc w:val="center"/>
            </w:pPr>
            <w:r w:rsidRPr="00C60AD1">
              <w:t>20</w:t>
            </w:r>
          </w:p>
        </w:tc>
        <w:tc>
          <w:tcPr>
            <w:tcW w:w="3181" w:type="dxa"/>
          </w:tcPr>
          <w:p w:rsidR="00D555F2" w:rsidRPr="00C60AD1" w:rsidRDefault="00D555F2" w:rsidP="00BB5A5A">
            <w:pPr>
              <w:spacing w:before="0"/>
              <w:jc w:val="center"/>
            </w:pPr>
            <w:r w:rsidRPr="00C60AD1">
              <w:t>15</w:t>
            </w:r>
          </w:p>
        </w:tc>
      </w:tr>
      <w:tr w:rsidR="00D555F2" w:rsidRPr="00C60AD1" w:rsidTr="00BB5A5A">
        <w:trPr>
          <w:jc w:val="center"/>
        </w:trPr>
        <w:tc>
          <w:tcPr>
            <w:tcW w:w="720" w:type="dxa"/>
          </w:tcPr>
          <w:p w:rsidR="00D555F2" w:rsidRPr="00C60AD1" w:rsidRDefault="00D555F2" w:rsidP="00BB5A5A">
            <w:pPr>
              <w:spacing w:before="0"/>
              <w:jc w:val="center"/>
            </w:pPr>
            <w:r w:rsidRPr="00C60AD1">
              <w:t>21.</w:t>
            </w:r>
          </w:p>
        </w:tc>
        <w:tc>
          <w:tcPr>
            <w:tcW w:w="4770" w:type="dxa"/>
          </w:tcPr>
          <w:p w:rsidR="00D555F2" w:rsidRPr="00C60AD1" w:rsidRDefault="00D555F2" w:rsidP="00BB5A5A">
            <w:pPr>
              <w:spacing w:before="0"/>
              <w:jc w:val="center"/>
            </w:pPr>
            <w:r w:rsidRPr="00C60AD1">
              <w:t>21</w:t>
            </w:r>
          </w:p>
        </w:tc>
        <w:tc>
          <w:tcPr>
            <w:tcW w:w="3181" w:type="dxa"/>
          </w:tcPr>
          <w:p w:rsidR="00D555F2" w:rsidRPr="00C60AD1" w:rsidRDefault="00D555F2" w:rsidP="00BB5A5A">
            <w:pPr>
              <w:spacing w:before="0"/>
              <w:jc w:val="center"/>
            </w:pPr>
            <w:r w:rsidRPr="00C60AD1">
              <w:t>16</w:t>
            </w:r>
          </w:p>
        </w:tc>
      </w:tr>
      <w:tr w:rsidR="00D555F2" w:rsidRPr="00C60AD1" w:rsidTr="00BB5A5A">
        <w:trPr>
          <w:jc w:val="center"/>
        </w:trPr>
        <w:tc>
          <w:tcPr>
            <w:tcW w:w="720" w:type="dxa"/>
          </w:tcPr>
          <w:p w:rsidR="00D555F2" w:rsidRPr="00C60AD1" w:rsidRDefault="00D555F2" w:rsidP="00BB5A5A">
            <w:pPr>
              <w:spacing w:before="0"/>
              <w:jc w:val="center"/>
            </w:pPr>
            <w:r w:rsidRPr="00C60AD1">
              <w:t>22.</w:t>
            </w:r>
          </w:p>
        </w:tc>
        <w:tc>
          <w:tcPr>
            <w:tcW w:w="4770" w:type="dxa"/>
          </w:tcPr>
          <w:p w:rsidR="00D555F2" w:rsidRPr="00C60AD1" w:rsidRDefault="00D555F2" w:rsidP="00BB5A5A">
            <w:pPr>
              <w:spacing w:before="0"/>
              <w:jc w:val="center"/>
            </w:pPr>
            <w:r w:rsidRPr="00C60AD1">
              <w:t>22</w:t>
            </w:r>
          </w:p>
        </w:tc>
        <w:tc>
          <w:tcPr>
            <w:tcW w:w="3181" w:type="dxa"/>
          </w:tcPr>
          <w:p w:rsidR="00D555F2" w:rsidRPr="00C60AD1" w:rsidRDefault="00D555F2" w:rsidP="00BB5A5A">
            <w:pPr>
              <w:spacing w:before="0"/>
              <w:jc w:val="center"/>
            </w:pPr>
            <w:r w:rsidRPr="00C60AD1">
              <w:t>17</w:t>
            </w:r>
          </w:p>
        </w:tc>
      </w:tr>
      <w:tr w:rsidR="00D555F2" w:rsidRPr="00C60AD1" w:rsidTr="00BB5A5A">
        <w:trPr>
          <w:jc w:val="center"/>
        </w:trPr>
        <w:tc>
          <w:tcPr>
            <w:tcW w:w="720" w:type="dxa"/>
          </w:tcPr>
          <w:p w:rsidR="00D555F2" w:rsidRPr="00C60AD1" w:rsidRDefault="00D555F2" w:rsidP="00BB5A5A">
            <w:pPr>
              <w:spacing w:before="0"/>
              <w:jc w:val="center"/>
            </w:pPr>
            <w:r w:rsidRPr="00C60AD1">
              <w:t>23.</w:t>
            </w:r>
          </w:p>
        </w:tc>
        <w:tc>
          <w:tcPr>
            <w:tcW w:w="4770" w:type="dxa"/>
          </w:tcPr>
          <w:p w:rsidR="00D555F2" w:rsidRPr="00C60AD1" w:rsidRDefault="00D555F2" w:rsidP="00BB5A5A">
            <w:pPr>
              <w:spacing w:before="0"/>
              <w:jc w:val="center"/>
            </w:pPr>
            <w:r w:rsidRPr="00C60AD1">
              <w:t>23</w:t>
            </w:r>
          </w:p>
        </w:tc>
        <w:tc>
          <w:tcPr>
            <w:tcW w:w="3181" w:type="dxa"/>
          </w:tcPr>
          <w:p w:rsidR="00D555F2" w:rsidRPr="00C60AD1" w:rsidRDefault="00D555F2" w:rsidP="00BB5A5A">
            <w:pPr>
              <w:spacing w:before="0"/>
              <w:jc w:val="center"/>
            </w:pPr>
            <w:r w:rsidRPr="00C60AD1">
              <w:t>18</w:t>
            </w:r>
          </w:p>
        </w:tc>
      </w:tr>
      <w:tr w:rsidR="00D555F2" w:rsidRPr="00C60AD1" w:rsidTr="00BB5A5A">
        <w:trPr>
          <w:jc w:val="center"/>
        </w:trPr>
        <w:tc>
          <w:tcPr>
            <w:tcW w:w="720" w:type="dxa"/>
          </w:tcPr>
          <w:p w:rsidR="00D555F2" w:rsidRPr="00C60AD1" w:rsidRDefault="00D555F2" w:rsidP="00BB5A5A">
            <w:pPr>
              <w:spacing w:before="0"/>
              <w:jc w:val="center"/>
            </w:pPr>
            <w:r w:rsidRPr="00C60AD1">
              <w:t>24.</w:t>
            </w:r>
          </w:p>
        </w:tc>
        <w:tc>
          <w:tcPr>
            <w:tcW w:w="4770" w:type="dxa"/>
          </w:tcPr>
          <w:p w:rsidR="00D555F2" w:rsidRPr="00C60AD1" w:rsidRDefault="00D555F2" w:rsidP="00BB5A5A">
            <w:pPr>
              <w:spacing w:before="0"/>
              <w:jc w:val="center"/>
            </w:pPr>
            <w:r w:rsidRPr="00C60AD1">
              <w:t>24</w:t>
            </w:r>
          </w:p>
        </w:tc>
        <w:tc>
          <w:tcPr>
            <w:tcW w:w="3181" w:type="dxa"/>
          </w:tcPr>
          <w:p w:rsidR="00D555F2" w:rsidRPr="00C60AD1" w:rsidRDefault="00D555F2" w:rsidP="00BB5A5A">
            <w:pPr>
              <w:spacing w:before="0"/>
              <w:jc w:val="center"/>
            </w:pPr>
            <w:r w:rsidRPr="00C60AD1">
              <w:t>19</w:t>
            </w:r>
          </w:p>
        </w:tc>
      </w:tr>
      <w:tr w:rsidR="00D555F2" w:rsidRPr="00C60AD1" w:rsidTr="00BB5A5A">
        <w:trPr>
          <w:jc w:val="center"/>
        </w:trPr>
        <w:tc>
          <w:tcPr>
            <w:tcW w:w="720" w:type="dxa"/>
          </w:tcPr>
          <w:p w:rsidR="00D555F2" w:rsidRPr="00C60AD1" w:rsidRDefault="00D555F2" w:rsidP="00BB5A5A">
            <w:pPr>
              <w:spacing w:before="0"/>
              <w:jc w:val="center"/>
            </w:pPr>
            <w:r w:rsidRPr="00C60AD1">
              <w:t>25.</w:t>
            </w:r>
          </w:p>
        </w:tc>
        <w:tc>
          <w:tcPr>
            <w:tcW w:w="4770" w:type="dxa"/>
          </w:tcPr>
          <w:p w:rsidR="00D555F2" w:rsidRPr="00C60AD1" w:rsidRDefault="00D555F2" w:rsidP="00BB5A5A">
            <w:pPr>
              <w:spacing w:before="0"/>
              <w:jc w:val="center"/>
            </w:pPr>
            <w:r w:rsidRPr="00C60AD1">
              <w:t>25</w:t>
            </w:r>
          </w:p>
        </w:tc>
        <w:tc>
          <w:tcPr>
            <w:tcW w:w="3181" w:type="dxa"/>
          </w:tcPr>
          <w:p w:rsidR="00D555F2" w:rsidRPr="00C60AD1" w:rsidRDefault="00D555F2" w:rsidP="00BB5A5A">
            <w:pPr>
              <w:spacing w:before="0"/>
              <w:jc w:val="center"/>
            </w:pPr>
            <w:r w:rsidRPr="00C60AD1">
              <w:t>19</w:t>
            </w:r>
          </w:p>
        </w:tc>
      </w:tr>
      <w:tr w:rsidR="00D555F2" w:rsidRPr="00C60AD1" w:rsidTr="00BB5A5A">
        <w:trPr>
          <w:jc w:val="center"/>
        </w:trPr>
        <w:tc>
          <w:tcPr>
            <w:tcW w:w="720" w:type="dxa"/>
          </w:tcPr>
          <w:p w:rsidR="00D555F2" w:rsidRPr="00C60AD1" w:rsidRDefault="00D555F2" w:rsidP="00BB5A5A">
            <w:pPr>
              <w:spacing w:before="0"/>
              <w:jc w:val="center"/>
            </w:pPr>
            <w:r w:rsidRPr="00C60AD1">
              <w:t>26.</w:t>
            </w:r>
          </w:p>
        </w:tc>
        <w:tc>
          <w:tcPr>
            <w:tcW w:w="4770" w:type="dxa"/>
          </w:tcPr>
          <w:p w:rsidR="00D555F2" w:rsidRPr="00C60AD1" w:rsidRDefault="00D555F2" w:rsidP="00BB5A5A">
            <w:pPr>
              <w:spacing w:before="0"/>
              <w:jc w:val="center"/>
            </w:pPr>
            <w:r w:rsidRPr="00C60AD1">
              <w:t>26</w:t>
            </w:r>
          </w:p>
        </w:tc>
        <w:tc>
          <w:tcPr>
            <w:tcW w:w="3181" w:type="dxa"/>
          </w:tcPr>
          <w:p w:rsidR="00D555F2" w:rsidRPr="00C60AD1" w:rsidRDefault="00D555F2" w:rsidP="00BB5A5A">
            <w:pPr>
              <w:spacing w:before="0"/>
              <w:jc w:val="center"/>
            </w:pPr>
            <w:r w:rsidRPr="00C60AD1">
              <w:t>20</w:t>
            </w:r>
          </w:p>
        </w:tc>
      </w:tr>
      <w:tr w:rsidR="00D555F2" w:rsidRPr="00C60AD1" w:rsidTr="00BB5A5A">
        <w:trPr>
          <w:jc w:val="center"/>
        </w:trPr>
        <w:tc>
          <w:tcPr>
            <w:tcW w:w="720" w:type="dxa"/>
          </w:tcPr>
          <w:p w:rsidR="00D555F2" w:rsidRPr="00C60AD1" w:rsidRDefault="00D555F2" w:rsidP="00BB5A5A">
            <w:pPr>
              <w:spacing w:before="0"/>
              <w:jc w:val="center"/>
            </w:pPr>
            <w:r w:rsidRPr="00C60AD1">
              <w:t>27.</w:t>
            </w:r>
          </w:p>
        </w:tc>
        <w:tc>
          <w:tcPr>
            <w:tcW w:w="4770" w:type="dxa"/>
          </w:tcPr>
          <w:p w:rsidR="00D555F2" w:rsidRPr="00C60AD1" w:rsidRDefault="00D555F2" w:rsidP="00BB5A5A">
            <w:pPr>
              <w:spacing w:before="0"/>
              <w:jc w:val="center"/>
            </w:pPr>
            <w:r w:rsidRPr="00C60AD1">
              <w:t>27</w:t>
            </w:r>
          </w:p>
        </w:tc>
        <w:tc>
          <w:tcPr>
            <w:tcW w:w="3181" w:type="dxa"/>
          </w:tcPr>
          <w:p w:rsidR="00D555F2" w:rsidRPr="00C60AD1" w:rsidRDefault="00D555F2" w:rsidP="00BB5A5A">
            <w:pPr>
              <w:spacing w:before="0"/>
              <w:jc w:val="center"/>
            </w:pPr>
            <w:r w:rsidRPr="00C60AD1">
              <w:t>21</w:t>
            </w:r>
          </w:p>
        </w:tc>
      </w:tr>
      <w:tr w:rsidR="00D555F2" w:rsidRPr="00C60AD1" w:rsidTr="00BB5A5A">
        <w:trPr>
          <w:jc w:val="center"/>
        </w:trPr>
        <w:tc>
          <w:tcPr>
            <w:tcW w:w="720" w:type="dxa"/>
          </w:tcPr>
          <w:p w:rsidR="00D555F2" w:rsidRPr="00C60AD1" w:rsidRDefault="00D555F2" w:rsidP="00BB5A5A">
            <w:pPr>
              <w:spacing w:before="0"/>
              <w:jc w:val="center"/>
            </w:pPr>
            <w:r w:rsidRPr="00C60AD1">
              <w:t>28.</w:t>
            </w:r>
          </w:p>
        </w:tc>
        <w:tc>
          <w:tcPr>
            <w:tcW w:w="4770" w:type="dxa"/>
          </w:tcPr>
          <w:p w:rsidR="00D555F2" w:rsidRPr="00C60AD1" w:rsidRDefault="00D555F2" w:rsidP="00BB5A5A">
            <w:pPr>
              <w:spacing w:before="0"/>
              <w:jc w:val="center"/>
            </w:pPr>
            <w:r w:rsidRPr="00C60AD1">
              <w:t>28</w:t>
            </w:r>
          </w:p>
        </w:tc>
        <w:tc>
          <w:tcPr>
            <w:tcW w:w="3181" w:type="dxa"/>
          </w:tcPr>
          <w:p w:rsidR="00D555F2" w:rsidRPr="00C60AD1" w:rsidRDefault="00D555F2" w:rsidP="00BB5A5A">
            <w:pPr>
              <w:spacing w:before="0"/>
              <w:jc w:val="center"/>
            </w:pPr>
            <w:r w:rsidRPr="00C60AD1">
              <w:t>22</w:t>
            </w:r>
          </w:p>
        </w:tc>
      </w:tr>
      <w:tr w:rsidR="00D555F2" w:rsidRPr="00C60AD1" w:rsidTr="00BB5A5A">
        <w:trPr>
          <w:jc w:val="center"/>
        </w:trPr>
        <w:tc>
          <w:tcPr>
            <w:tcW w:w="720" w:type="dxa"/>
          </w:tcPr>
          <w:p w:rsidR="00D555F2" w:rsidRPr="00C60AD1" w:rsidRDefault="00D555F2" w:rsidP="00BB5A5A">
            <w:pPr>
              <w:spacing w:before="0"/>
              <w:jc w:val="center"/>
            </w:pPr>
            <w:r w:rsidRPr="00C60AD1">
              <w:t>29.</w:t>
            </w:r>
          </w:p>
        </w:tc>
        <w:tc>
          <w:tcPr>
            <w:tcW w:w="4770" w:type="dxa"/>
          </w:tcPr>
          <w:p w:rsidR="00D555F2" w:rsidRPr="00C60AD1" w:rsidRDefault="00D555F2" w:rsidP="00BB5A5A">
            <w:pPr>
              <w:spacing w:before="0"/>
              <w:jc w:val="center"/>
            </w:pPr>
            <w:r w:rsidRPr="00C60AD1">
              <w:t>29</w:t>
            </w:r>
          </w:p>
        </w:tc>
        <w:tc>
          <w:tcPr>
            <w:tcW w:w="3181" w:type="dxa"/>
          </w:tcPr>
          <w:p w:rsidR="00D555F2" w:rsidRPr="00C60AD1" w:rsidRDefault="00D555F2" w:rsidP="00BB5A5A">
            <w:pPr>
              <w:spacing w:before="0"/>
              <w:jc w:val="center"/>
            </w:pPr>
            <w:r w:rsidRPr="00C60AD1">
              <w:t>22</w:t>
            </w:r>
          </w:p>
        </w:tc>
      </w:tr>
      <w:tr w:rsidR="00D555F2" w:rsidRPr="00C60AD1" w:rsidTr="00BB5A5A">
        <w:trPr>
          <w:jc w:val="center"/>
        </w:trPr>
        <w:tc>
          <w:tcPr>
            <w:tcW w:w="720" w:type="dxa"/>
          </w:tcPr>
          <w:p w:rsidR="00D555F2" w:rsidRPr="00C60AD1" w:rsidRDefault="00D555F2" w:rsidP="00BB5A5A">
            <w:pPr>
              <w:spacing w:before="0"/>
              <w:jc w:val="center"/>
            </w:pPr>
            <w:r w:rsidRPr="00C60AD1">
              <w:t>30.</w:t>
            </w:r>
          </w:p>
        </w:tc>
        <w:tc>
          <w:tcPr>
            <w:tcW w:w="4770" w:type="dxa"/>
          </w:tcPr>
          <w:p w:rsidR="00D555F2" w:rsidRPr="00C60AD1" w:rsidRDefault="00D555F2" w:rsidP="00BB5A5A">
            <w:pPr>
              <w:spacing w:before="0"/>
              <w:jc w:val="center"/>
            </w:pPr>
            <w:r w:rsidRPr="00C60AD1">
              <w:t>30</w:t>
            </w:r>
          </w:p>
        </w:tc>
        <w:tc>
          <w:tcPr>
            <w:tcW w:w="3181" w:type="dxa"/>
          </w:tcPr>
          <w:p w:rsidR="00D555F2" w:rsidRPr="00C60AD1" w:rsidRDefault="00D555F2" w:rsidP="00BB5A5A">
            <w:pPr>
              <w:spacing w:before="0"/>
              <w:jc w:val="center"/>
            </w:pPr>
            <w:r w:rsidRPr="00C60AD1">
              <w:t>23</w:t>
            </w:r>
          </w:p>
        </w:tc>
      </w:tr>
      <w:tr w:rsidR="00D555F2" w:rsidRPr="00C60AD1" w:rsidTr="00BB5A5A">
        <w:trPr>
          <w:jc w:val="center"/>
        </w:trPr>
        <w:tc>
          <w:tcPr>
            <w:tcW w:w="720" w:type="dxa"/>
          </w:tcPr>
          <w:p w:rsidR="00D555F2" w:rsidRPr="00C60AD1" w:rsidRDefault="00D555F2" w:rsidP="00BB5A5A">
            <w:pPr>
              <w:spacing w:before="0"/>
              <w:jc w:val="center"/>
            </w:pPr>
            <w:r w:rsidRPr="00C60AD1">
              <w:t>31.</w:t>
            </w:r>
          </w:p>
        </w:tc>
        <w:tc>
          <w:tcPr>
            <w:tcW w:w="4770" w:type="dxa"/>
          </w:tcPr>
          <w:p w:rsidR="00D555F2" w:rsidRPr="00C60AD1" w:rsidRDefault="00D555F2" w:rsidP="00BB5A5A">
            <w:pPr>
              <w:spacing w:before="0"/>
              <w:jc w:val="center"/>
            </w:pPr>
            <w:r w:rsidRPr="00C60AD1">
              <w:t>31</w:t>
            </w:r>
          </w:p>
        </w:tc>
        <w:tc>
          <w:tcPr>
            <w:tcW w:w="3181" w:type="dxa"/>
          </w:tcPr>
          <w:p w:rsidR="00D555F2" w:rsidRPr="00C60AD1" w:rsidRDefault="00D555F2" w:rsidP="00BB5A5A">
            <w:pPr>
              <w:spacing w:before="0"/>
              <w:jc w:val="center"/>
            </w:pPr>
            <w:r w:rsidRPr="00C60AD1">
              <w:t>24</w:t>
            </w:r>
          </w:p>
        </w:tc>
      </w:tr>
      <w:tr w:rsidR="00D555F2" w:rsidRPr="00C60AD1" w:rsidTr="00BB5A5A">
        <w:trPr>
          <w:jc w:val="center"/>
        </w:trPr>
        <w:tc>
          <w:tcPr>
            <w:tcW w:w="720" w:type="dxa"/>
          </w:tcPr>
          <w:p w:rsidR="00D555F2" w:rsidRPr="00C60AD1" w:rsidRDefault="00D555F2" w:rsidP="00BB5A5A">
            <w:pPr>
              <w:spacing w:before="0"/>
              <w:jc w:val="center"/>
            </w:pPr>
            <w:r w:rsidRPr="00C60AD1">
              <w:t>32.</w:t>
            </w:r>
          </w:p>
        </w:tc>
        <w:tc>
          <w:tcPr>
            <w:tcW w:w="4770" w:type="dxa"/>
          </w:tcPr>
          <w:p w:rsidR="00D555F2" w:rsidRPr="00C60AD1" w:rsidRDefault="00D555F2" w:rsidP="00BB5A5A">
            <w:pPr>
              <w:spacing w:before="0"/>
              <w:jc w:val="center"/>
            </w:pPr>
            <w:r w:rsidRPr="00C60AD1">
              <w:t>32</w:t>
            </w:r>
          </w:p>
        </w:tc>
        <w:tc>
          <w:tcPr>
            <w:tcW w:w="3181" w:type="dxa"/>
          </w:tcPr>
          <w:p w:rsidR="00D555F2" w:rsidRPr="00C60AD1" w:rsidRDefault="00D555F2" w:rsidP="00BB5A5A">
            <w:pPr>
              <w:spacing w:before="0"/>
              <w:jc w:val="center"/>
            </w:pPr>
            <w:r w:rsidRPr="00C60AD1">
              <w:t>25</w:t>
            </w:r>
          </w:p>
        </w:tc>
      </w:tr>
      <w:tr w:rsidR="00D555F2" w:rsidRPr="00C60AD1" w:rsidTr="00BB5A5A">
        <w:trPr>
          <w:jc w:val="center"/>
        </w:trPr>
        <w:tc>
          <w:tcPr>
            <w:tcW w:w="720" w:type="dxa"/>
          </w:tcPr>
          <w:p w:rsidR="00D555F2" w:rsidRPr="00C60AD1" w:rsidRDefault="00D555F2" w:rsidP="00BB5A5A">
            <w:pPr>
              <w:spacing w:before="0"/>
              <w:jc w:val="center"/>
            </w:pPr>
            <w:r w:rsidRPr="00C60AD1">
              <w:t>33.</w:t>
            </w:r>
          </w:p>
        </w:tc>
        <w:tc>
          <w:tcPr>
            <w:tcW w:w="4770" w:type="dxa"/>
          </w:tcPr>
          <w:p w:rsidR="00D555F2" w:rsidRPr="00C60AD1" w:rsidRDefault="00D555F2" w:rsidP="00BB5A5A">
            <w:pPr>
              <w:spacing w:before="0"/>
              <w:jc w:val="center"/>
            </w:pPr>
            <w:r w:rsidRPr="00C60AD1">
              <w:t>33</w:t>
            </w:r>
          </w:p>
        </w:tc>
        <w:tc>
          <w:tcPr>
            <w:tcW w:w="3181" w:type="dxa"/>
          </w:tcPr>
          <w:p w:rsidR="00D555F2" w:rsidRPr="00C60AD1" w:rsidRDefault="00D555F2" w:rsidP="00BB5A5A">
            <w:pPr>
              <w:spacing w:before="0"/>
              <w:jc w:val="center"/>
            </w:pPr>
            <w:r w:rsidRPr="00C60AD1">
              <w:t>25</w:t>
            </w:r>
          </w:p>
        </w:tc>
      </w:tr>
      <w:tr w:rsidR="00D555F2" w:rsidRPr="00C60AD1" w:rsidTr="00BB5A5A">
        <w:trPr>
          <w:jc w:val="center"/>
        </w:trPr>
        <w:tc>
          <w:tcPr>
            <w:tcW w:w="720" w:type="dxa"/>
          </w:tcPr>
          <w:p w:rsidR="00D555F2" w:rsidRPr="00C60AD1" w:rsidRDefault="00D555F2" w:rsidP="00BB5A5A">
            <w:pPr>
              <w:spacing w:before="0"/>
              <w:jc w:val="center"/>
            </w:pPr>
            <w:r w:rsidRPr="00C60AD1">
              <w:t>34.</w:t>
            </w:r>
          </w:p>
        </w:tc>
        <w:tc>
          <w:tcPr>
            <w:tcW w:w="4770" w:type="dxa"/>
          </w:tcPr>
          <w:p w:rsidR="00D555F2" w:rsidRPr="00C60AD1" w:rsidRDefault="00D555F2" w:rsidP="00BB5A5A">
            <w:pPr>
              <w:spacing w:before="0"/>
              <w:jc w:val="center"/>
            </w:pPr>
            <w:r w:rsidRPr="00C60AD1">
              <w:t>34</w:t>
            </w:r>
          </w:p>
        </w:tc>
        <w:tc>
          <w:tcPr>
            <w:tcW w:w="3181" w:type="dxa"/>
          </w:tcPr>
          <w:p w:rsidR="00D555F2" w:rsidRPr="00C60AD1" w:rsidRDefault="00D555F2" w:rsidP="00BB5A5A">
            <w:pPr>
              <w:spacing w:before="0"/>
              <w:jc w:val="center"/>
            </w:pPr>
            <w:r w:rsidRPr="00C60AD1">
              <w:t>26</w:t>
            </w:r>
          </w:p>
        </w:tc>
      </w:tr>
      <w:tr w:rsidR="00D555F2" w:rsidRPr="00C60AD1" w:rsidTr="00BB5A5A">
        <w:trPr>
          <w:jc w:val="center"/>
        </w:trPr>
        <w:tc>
          <w:tcPr>
            <w:tcW w:w="720" w:type="dxa"/>
          </w:tcPr>
          <w:p w:rsidR="00D555F2" w:rsidRPr="00C60AD1" w:rsidRDefault="00D555F2" w:rsidP="00BB5A5A">
            <w:pPr>
              <w:spacing w:before="0"/>
              <w:jc w:val="center"/>
            </w:pPr>
            <w:r w:rsidRPr="00C60AD1">
              <w:t>35.</w:t>
            </w:r>
          </w:p>
        </w:tc>
        <w:tc>
          <w:tcPr>
            <w:tcW w:w="4770" w:type="dxa"/>
          </w:tcPr>
          <w:p w:rsidR="00D555F2" w:rsidRPr="00C60AD1" w:rsidRDefault="00D555F2" w:rsidP="00BB5A5A">
            <w:pPr>
              <w:spacing w:before="0"/>
              <w:jc w:val="center"/>
            </w:pPr>
            <w:r w:rsidRPr="00C60AD1">
              <w:t>35</w:t>
            </w:r>
          </w:p>
        </w:tc>
        <w:tc>
          <w:tcPr>
            <w:tcW w:w="3181" w:type="dxa"/>
          </w:tcPr>
          <w:p w:rsidR="00D555F2" w:rsidRPr="00C60AD1" w:rsidRDefault="00D555F2" w:rsidP="00BB5A5A">
            <w:pPr>
              <w:spacing w:before="0"/>
              <w:jc w:val="center"/>
            </w:pPr>
            <w:r w:rsidRPr="00C60AD1">
              <w:t>27</w:t>
            </w:r>
          </w:p>
        </w:tc>
      </w:tr>
    </w:tbl>
    <w:p w:rsidR="00D555F2" w:rsidRDefault="00D555F2" w:rsidP="00D555F2"/>
    <w:p w:rsidR="00D5771F" w:rsidRDefault="00D5771F">
      <w:pPr>
        <w:pStyle w:val="Heading2"/>
        <w:numPr>
          <w:ilvl w:val="0"/>
          <w:numId w:val="0"/>
        </w:numPr>
      </w:pPr>
    </w:p>
    <w:bookmarkEnd w:id="1883"/>
    <w:bookmarkEnd w:id="1884"/>
    <w:bookmarkEnd w:id="1885"/>
    <w:bookmarkEnd w:id="1886"/>
    <w:bookmarkEnd w:id="1887"/>
    <w:bookmarkEnd w:id="1888"/>
    <w:bookmarkEnd w:id="1889"/>
    <w:bookmarkEnd w:id="1890"/>
    <w:p w:rsidR="00E81E8A" w:rsidRDefault="00E81E8A" w:rsidP="00C34658">
      <w:pPr>
        <w:pStyle w:val="Heading3"/>
        <w:numPr>
          <w:ilvl w:val="0"/>
          <w:numId w:val="0"/>
        </w:numPr>
        <w:tabs>
          <w:tab w:val="clear" w:pos="720"/>
          <w:tab w:val="left" w:pos="2225"/>
          <w:tab w:val="left" w:pos="6415"/>
        </w:tabs>
        <w:spacing w:before="0" w:after="120"/>
        <w:rPr>
          <w:b/>
        </w:rPr>
        <w:sectPr w:rsidR="00E81E8A" w:rsidSect="00675499">
          <w:footerReference w:type="default" r:id="rId17"/>
          <w:pgSz w:w="11909" w:h="16834"/>
          <w:pgMar w:top="1440" w:right="1440" w:bottom="1440" w:left="1800" w:header="720" w:footer="720" w:gutter="0"/>
          <w:pgNumType w:chapSep="colon"/>
          <w:cols w:space="720"/>
          <w:docGrid w:linePitch="326"/>
        </w:sectPr>
      </w:pPr>
    </w:p>
    <w:p w:rsidR="00D55642" w:rsidRPr="00D55642" w:rsidRDefault="00D55642" w:rsidP="00D55642">
      <w:pPr>
        <w:pStyle w:val="Heading2"/>
        <w:numPr>
          <w:ilvl w:val="1"/>
          <w:numId w:val="29"/>
        </w:numPr>
      </w:pPr>
      <w:bookmarkStart w:id="1912" w:name="_Toc457603989"/>
      <w:r w:rsidRPr="00D55642">
        <w:lastRenderedPageBreak/>
        <w:t>LIST OF PERSONS WHO HAVE ATTENDED PUBLIC HEARING AT GREATER NOIDA, LUCKNOW AND ALIGARH IN RESPECT OF PROCEEDINGS FOR ARR &amp; TARIFF DETERMINATION FOR FY 2016-17</w:t>
      </w:r>
      <w:bookmarkEnd w:id="1912"/>
    </w:p>
    <w:p w:rsidR="00D55642" w:rsidRDefault="00D55642" w:rsidP="00C34658">
      <w:pPr>
        <w:spacing w:before="0" w:line="240" w:lineRule="auto"/>
        <w:jc w:val="left"/>
        <w:rPr>
          <w:b/>
        </w:rPr>
      </w:pPr>
    </w:p>
    <w:p w:rsidR="00D55642" w:rsidRDefault="00D55642" w:rsidP="00D55642">
      <w:pPr>
        <w:spacing w:before="0" w:line="240" w:lineRule="auto"/>
        <w:ind w:firstLine="720"/>
        <w:jc w:val="left"/>
        <w:rPr>
          <w:b/>
          <w:u w:val="single"/>
        </w:rPr>
      </w:pPr>
      <w:r w:rsidRPr="00D55642">
        <w:rPr>
          <w:b/>
          <w:u w:val="single"/>
        </w:rPr>
        <w:t>LIST OF PERSONS WHO HAVE ATTENDED PUBLIC HEARING AT GREATER NOIDA</w:t>
      </w:r>
    </w:p>
    <w:p w:rsidR="00D55642" w:rsidRPr="00D55642" w:rsidRDefault="00D55642" w:rsidP="00D55642">
      <w:pPr>
        <w:spacing w:before="0" w:line="240" w:lineRule="auto"/>
        <w:ind w:firstLine="720"/>
        <w:jc w:val="left"/>
        <w:rPr>
          <w:b/>
          <w:u w:val="single"/>
        </w:rPr>
      </w:pPr>
    </w:p>
    <w:tbl>
      <w:tblPr>
        <w:tblW w:w="8063" w:type="dxa"/>
        <w:jc w:val="right"/>
        <w:tblInd w:w="91" w:type="dxa"/>
        <w:tblLook w:val="04A0"/>
      </w:tblPr>
      <w:tblGrid>
        <w:gridCol w:w="1040"/>
        <w:gridCol w:w="3205"/>
        <w:gridCol w:w="3818"/>
      </w:tblGrid>
      <w:tr w:rsidR="00D55642" w:rsidRPr="00104FC9" w:rsidTr="002E5937">
        <w:trPr>
          <w:trHeight w:val="300"/>
          <w:tblHeader/>
          <w:jc w:val="right"/>
        </w:trPr>
        <w:tc>
          <w:tcPr>
            <w:tcW w:w="80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55642" w:rsidRPr="00104FC9" w:rsidRDefault="00C34658" w:rsidP="00D55642">
            <w:pPr>
              <w:spacing w:before="0" w:line="240" w:lineRule="auto"/>
              <w:jc w:val="center"/>
              <w:rPr>
                <w:rFonts w:asciiTheme="minorHAnsi" w:hAnsiTheme="minorHAnsi"/>
                <w:b/>
                <w:bCs/>
                <w:color w:val="000000"/>
                <w:sz w:val="22"/>
                <w:szCs w:val="22"/>
                <w:lang w:eastAsia="en-IN"/>
              </w:rPr>
            </w:pPr>
            <w:r w:rsidRPr="00104FC9">
              <w:rPr>
                <w:rFonts w:asciiTheme="minorHAnsi" w:hAnsiTheme="minorHAnsi"/>
                <w:b/>
                <w:sz w:val="22"/>
                <w:szCs w:val="22"/>
              </w:rPr>
              <w:br w:type="page"/>
            </w:r>
            <w:r w:rsidR="00D55642" w:rsidRPr="00104FC9">
              <w:rPr>
                <w:rFonts w:asciiTheme="minorHAnsi" w:hAnsiTheme="minorHAnsi"/>
                <w:b/>
                <w:bCs/>
                <w:color w:val="000000"/>
                <w:sz w:val="22"/>
                <w:szCs w:val="22"/>
                <w:lang w:eastAsia="en-IN"/>
              </w:rPr>
              <w:t>List of Persons who attended Public Hearing at Greater Noida on May 11, 2016</w:t>
            </w:r>
          </w:p>
        </w:tc>
      </w:tr>
      <w:tr w:rsidR="00D55642" w:rsidRPr="00104FC9" w:rsidTr="002E5937">
        <w:trPr>
          <w:trHeight w:val="300"/>
          <w:tblHeader/>
          <w:jc w:val="right"/>
        </w:trPr>
        <w:tc>
          <w:tcPr>
            <w:tcW w:w="1040" w:type="dxa"/>
            <w:tcBorders>
              <w:top w:val="nil"/>
              <w:left w:val="single" w:sz="4" w:space="0" w:color="auto"/>
              <w:bottom w:val="single" w:sz="4" w:space="0" w:color="auto"/>
              <w:right w:val="single" w:sz="4" w:space="0" w:color="auto"/>
            </w:tcBorders>
            <w:shd w:val="clear" w:color="auto" w:fill="DBE5F1" w:themeFill="accent1" w:themeFillTint="33"/>
            <w:hideMark/>
          </w:tcPr>
          <w:p w:rsidR="00D55642" w:rsidRPr="00104FC9" w:rsidRDefault="00D55642" w:rsidP="00D55642">
            <w:pPr>
              <w:spacing w:before="0" w:line="240" w:lineRule="auto"/>
              <w:jc w:val="center"/>
              <w:rPr>
                <w:rFonts w:asciiTheme="minorHAnsi" w:hAnsiTheme="minorHAnsi"/>
                <w:b/>
                <w:bCs/>
                <w:color w:val="000000"/>
                <w:sz w:val="22"/>
                <w:szCs w:val="22"/>
                <w:lang w:eastAsia="en-IN"/>
              </w:rPr>
            </w:pPr>
            <w:r w:rsidRPr="00104FC9">
              <w:rPr>
                <w:rFonts w:asciiTheme="minorHAnsi" w:hAnsiTheme="minorHAnsi"/>
                <w:b/>
                <w:bCs/>
                <w:color w:val="000000"/>
                <w:sz w:val="22"/>
                <w:szCs w:val="22"/>
                <w:lang w:val="en-US" w:eastAsia="en-IN"/>
              </w:rPr>
              <w:t>Sl. No.</w:t>
            </w:r>
          </w:p>
        </w:tc>
        <w:tc>
          <w:tcPr>
            <w:tcW w:w="3205" w:type="dxa"/>
            <w:tcBorders>
              <w:top w:val="nil"/>
              <w:left w:val="nil"/>
              <w:bottom w:val="single" w:sz="4" w:space="0" w:color="auto"/>
              <w:right w:val="single" w:sz="4" w:space="0" w:color="auto"/>
            </w:tcBorders>
            <w:shd w:val="clear" w:color="auto" w:fill="DBE5F1" w:themeFill="accent1" w:themeFillTint="33"/>
            <w:hideMark/>
          </w:tcPr>
          <w:p w:rsidR="00D55642" w:rsidRPr="00104FC9" w:rsidRDefault="00D55642" w:rsidP="00D55642">
            <w:pPr>
              <w:spacing w:before="0" w:line="240" w:lineRule="auto"/>
              <w:jc w:val="center"/>
              <w:rPr>
                <w:rFonts w:asciiTheme="minorHAnsi" w:hAnsiTheme="minorHAnsi"/>
                <w:b/>
                <w:bCs/>
                <w:color w:val="000000"/>
                <w:sz w:val="22"/>
                <w:szCs w:val="22"/>
                <w:lang w:eastAsia="en-IN"/>
              </w:rPr>
            </w:pPr>
            <w:r w:rsidRPr="00104FC9">
              <w:rPr>
                <w:rFonts w:asciiTheme="minorHAnsi" w:hAnsiTheme="minorHAnsi"/>
                <w:b/>
                <w:bCs/>
                <w:color w:val="000000"/>
                <w:sz w:val="22"/>
                <w:szCs w:val="22"/>
                <w:lang w:val="en-US" w:eastAsia="en-IN"/>
              </w:rPr>
              <w:t>Name</w:t>
            </w:r>
          </w:p>
        </w:tc>
        <w:tc>
          <w:tcPr>
            <w:tcW w:w="3818" w:type="dxa"/>
            <w:tcBorders>
              <w:top w:val="nil"/>
              <w:left w:val="nil"/>
              <w:bottom w:val="single" w:sz="4" w:space="0" w:color="auto"/>
              <w:right w:val="single" w:sz="4" w:space="0" w:color="auto"/>
            </w:tcBorders>
            <w:shd w:val="clear" w:color="auto" w:fill="DBE5F1" w:themeFill="accent1" w:themeFillTint="33"/>
            <w:hideMark/>
          </w:tcPr>
          <w:p w:rsidR="00D55642" w:rsidRPr="00104FC9" w:rsidRDefault="00D55642" w:rsidP="00D55642">
            <w:pPr>
              <w:spacing w:before="0" w:line="240" w:lineRule="auto"/>
              <w:jc w:val="center"/>
              <w:rPr>
                <w:rFonts w:asciiTheme="minorHAnsi" w:hAnsiTheme="minorHAnsi"/>
                <w:b/>
                <w:bCs/>
                <w:color w:val="000000"/>
                <w:sz w:val="22"/>
                <w:szCs w:val="22"/>
                <w:lang w:eastAsia="en-IN"/>
              </w:rPr>
            </w:pPr>
            <w:r w:rsidRPr="00104FC9">
              <w:rPr>
                <w:rFonts w:asciiTheme="minorHAnsi" w:hAnsiTheme="minorHAnsi"/>
                <w:b/>
                <w:bCs/>
                <w:color w:val="000000"/>
                <w:sz w:val="22"/>
                <w:szCs w:val="22"/>
                <w:lang w:val="en-US" w:eastAsia="en-IN"/>
              </w:rPr>
              <w:t>Organisation</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R.P. Singh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PVVNL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S.C. Gupta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Director(Commercial), MVVNL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S.P. Sharma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lang w:eastAsia="en-IN"/>
              </w:rPr>
              <w:t>Dr. Amit Bhargava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lang w:eastAsia="en-IN"/>
              </w:rPr>
              <w:t>Director (Tariff), UPERC</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Z. Rehmann</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B.R. Bhati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Chairman, IIA</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7</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V.K. Kaushik</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Advisor, PVVNL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Raghvendra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EE, EUDDI</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Sanjay Kumar Chaurasia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Executive Engineer, UPPTCL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10</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S.K. Singh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PVVNL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 Joshi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UPPCL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A.K. Pathak</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UPPCL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Sudhir Goyal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Gaurav Nand</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IERS</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15</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R.D. Tyagi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16</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A.K. Tyagi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SE, PVVNL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17</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Ravi Bansal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18</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Rahul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19</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Nikhil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20</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Rakesh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Advocate</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Sagar K.</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Siddharth Shah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Lokesh Goswami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Technews</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Ilam Singh Nagar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25</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Atul Kumar Rai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PuVVNL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26</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Manoj Singh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PuVVNL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27</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R.R. Shah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28</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Mohan Singh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29</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Harish Juneja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30</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Akarsh Garg</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31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Amit</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32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Ram Gopal Sharma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lastRenderedPageBreak/>
              <w:t>33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Rajeev Gupta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UPPCL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34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Atul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35</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Dr. A.K. Nagar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36</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Ram Ashray</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UPPTCL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37</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Sandeep Kumar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UPPTCL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38</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R.S. Yadav</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MVVNL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39</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A.K. Gupta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PVVNL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40</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D.C. Verma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EE(RAU), UPPCL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Avnish Kumar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UPPCL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Suraj Chaudhary</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UPPCL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Mukesh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IIA</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Anil Kr.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IIA</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45</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Rakesh Verma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PVVNL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46</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Jagdish Pal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47</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Govind Singh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48</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Rahul Bhati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49</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Mool Chand</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50</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Satish K.</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S.M. Garg</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PVVNL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Phool Chand</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Jitendra Pareek</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GNVM</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Gagan Tyagi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Dainik Jagran</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55</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Neeraj Gupta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56</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 Kumar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57</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Rakesh K.</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PVVNL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58</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P.K. Tiwari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IIA</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59</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Sushil Kumar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60</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Manish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Rajeev</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Naveen Jain</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Parinay Shah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Advocate</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Saurabh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65</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Manoj Siradhna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IIA</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66</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Saurabh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67</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Alok Nahar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68</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Titu Sharma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69</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Raj Sharma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lastRenderedPageBreak/>
              <w:t>70</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Vikas Sharma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71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Sunil Pradhan</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72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N.K. Upadhyay</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73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Ramveer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74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Sunil Kumar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75</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Smt. Rupa Gupta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76</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Harish Kumar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77</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Sonu Rastogi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PVVNL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78</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Sonika Hayaran</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ABPS-Consultant, UPERC</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79</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A.K. Agarwal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CGRF</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80</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Atul Shrivastav</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IERS</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Sandeep Bhati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Pradeep Agrawal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IIA</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R.K. Rastogi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Regulatory Commission</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Pratap Bhanu</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CGRF</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85</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Ram Gopal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86</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K.L. Aggarwal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ASSOCHAM</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87</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Subrat Kumar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ABPS-Consultant, UPERC</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88</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Ajay Sharma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89</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Sandeep</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NEA</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90</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J.S. Yadav</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UPPCL</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Harender Bhati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Rahul Nagar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Atul Sharma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5"/>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Surendra Sing</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233"/>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95</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Devender</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233"/>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96</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V.K. Sharma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242"/>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97</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Ashish Singh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170"/>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98</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P.K. Gupta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98"/>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99</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Birju</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197"/>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100</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Salil Yadav</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305"/>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101</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Puneet Gupta</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UPPTCL</w:t>
            </w:r>
          </w:p>
        </w:tc>
      </w:tr>
      <w:tr w:rsidR="00D55642" w:rsidRPr="00104FC9" w:rsidTr="00D55642">
        <w:trPr>
          <w:trHeight w:val="143"/>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102</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Naveen Bhati</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188"/>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103</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Sanjay Agarwal</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197"/>
          <w:jc w:val="right"/>
        </w:trPr>
        <w:tc>
          <w:tcPr>
            <w:tcW w:w="1040" w:type="dxa"/>
            <w:tcBorders>
              <w:top w:val="nil"/>
              <w:left w:val="single" w:sz="4" w:space="0" w:color="auto"/>
              <w:bottom w:val="single" w:sz="4" w:space="0" w:color="auto"/>
              <w:right w:val="single" w:sz="4" w:space="0" w:color="auto"/>
            </w:tcBorders>
            <w:shd w:val="clear" w:color="auto" w:fill="auto"/>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104</w:t>
            </w:r>
          </w:p>
        </w:tc>
        <w:tc>
          <w:tcPr>
            <w:tcW w:w="3205"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Shri Alok Singh</w:t>
            </w:r>
          </w:p>
        </w:tc>
        <w:tc>
          <w:tcPr>
            <w:tcW w:w="3818" w:type="dxa"/>
            <w:tcBorders>
              <w:top w:val="nil"/>
              <w:left w:val="nil"/>
              <w:bottom w:val="single" w:sz="4" w:space="0" w:color="auto"/>
              <w:right w:val="single" w:sz="4" w:space="0" w:color="auto"/>
            </w:tcBorders>
            <w:shd w:val="clear" w:color="auto" w:fill="auto"/>
            <w:hideMark/>
          </w:tcPr>
          <w:p w:rsidR="00D55642" w:rsidRPr="00104FC9" w:rsidRDefault="00D55642" w:rsidP="00D55642">
            <w:pPr>
              <w:spacing w:before="0"/>
              <w:jc w:val="left"/>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70"/>
          <w:jc w:val="right"/>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105</w:t>
            </w:r>
          </w:p>
        </w:tc>
        <w:tc>
          <w:tcPr>
            <w:tcW w:w="3205" w:type="dxa"/>
            <w:tcBorders>
              <w:top w:val="nil"/>
              <w:left w:val="nil"/>
              <w:bottom w:val="single" w:sz="4" w:space="0" w:color="auto"/>
              <w:right w:val="single" w:sz="4" w:space="0" w:color="auto"/>
            </w:tcBorders>
            <w:shd w:val="clear" w:color="auto" w:fill="auto"/>
            <w:vAlign w:val="bottom"/>
            <w:hideMark/>
          </w:tcPr>
          <w:p w:rsidR="00D55642" w:rsidRPr="00104FC9" w:rsidRDefault="00D55642" w:rsidP="00D55642">
            <w:pPr>
              <w:spacing w:before="0"/>
              <w:rPr>
                <w:rFonts w:asciiTheme="minorHAnsi" w:hAnsiTheme="minorHAnsi"/>
                <w:color w:val="000000"/>
                <w:sz w:val="22"/>
                <w:szCs w:val="22"/>
              </w:rPr>
            </w:pPr>
            <w:r w:rsidRPr="00104FC9">
              <w:rPr>
                <w:rFonts w:asciiTheme="minorHAnsi" w:hAnsiTheme="minorHAnsi"/>
                <w:color w:val="000000"/>
                <w:sz w:val="22"/>
                <w:szCs w:val="22"/>
              </w:rPr>
              <w:t>Shri Devendra Tiger</w:t>
            </w:r>
          </w:p>
        </w:tc>
        <w:tc>
          <w:tcPr>
            <w:tcW w:w="3818" w:type="dxa"/>
            <w:tcBorders>
              <w:top w:val="nil"/>
              <w:left w:val="nil"/>
              <w:bottom w:val="single" w:sz="4" w:space="0" w:color="auto"/>
              <w:right w:val="single" w:sz="4" w:space="0" w:color="auto"/>
            </w:tcBorders>
            <w:shd w:val="clear" w:color="auto" w:fill="auto"/>
            <w:vAlign w:val="bottom"/>
            <w:hideMark/>
          </w:tcPr>
          <w:p w:rsidR="00D55642" w:rsidRPr="00104FC9" w:rsidRDefault="00D55642" w:rsidP="00D55642">
            <w:pPr>
              <w:spacing w:before="0"/>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125"/>
          <w:jc w:val="right"/>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t>106</w:t>
            </w:r>
          </w:p>
        </w:tc>
        <w:tc>
          <w:tcPr>
            <w:tcW w:w="3205" w:type="dxa"/>
            <w:tcBorders>
              <w:top w:val="nil"/>
              <w:left w:val="nil"/>
              <w:bottom w:val="single" w:sz="4" w:space="0" w:color="auto"/>
              <w:right w:val="single" w:sz="4" w:space="0" w:color="auto"/>
            </w:tcBorders>
            <w:shd w:val="clear" w:color="auto" w:fill="auto"/>
            <w:vAlign w:val="bottom"/>
            <w:hideMark/>
          </w:tcPr>
          <w:p w:rsidR="00D55642" w:rsidRPr="00104FC9" w:rsidRDefault="00D55642" w:rsidP="00D55642">
            <w:pPr>
              <w:spacing w:before="0"/>
              <w:rPr>
                <w:rFonts w:asciiTheme="minorHAnsi" w:hAnsiTheme="minorHAnsi"/>
                <w:color w:val="000000"/>
                <w:sz w:val="22"/>
                <w:szCs w:val="22"/>
              </w:rPr>
            </w:pPr>
            <w:r w:rsidRPr="00104FC9">
              <w:rPr>
                <w:rFonts w:asciiTheme="minorHAnsi" w:hAnsiTheme="minorHAnsi"/>
                <w:color w:val="000000"/>
                <w:sz w:val="22"/>
                <w:szCs w:val="22"/>
              </w:rPr>
              <w:t>Shri Deepak Bhati</w:t>
            </w:r>
          </w:p>
        </w:tc>
        <w:tc>
          <w:tcPr>
            <w:tcW w:w="3818" w:type="dxa"/>
            <w:tcBorders>
              <w:top w:val="nil"/>
              <w:left w:val="nil"/>
              <w:bottom w:val="single" w:sz="4" w:space="0" w:color="auto"/>
              <w:right w:val="single" w:sz="4" w:space="0" w:color="auto"/>
            </w:tcBorders>
            <w:shd w:val="clear" w:color="auto" w:fill="auto"/>
            <w:vAlign w:val="bottom"/>
            <w:hideMark/>
          </w:tcPr>
          <w:p w:rsidR="00D55642" w:rsidRPr="00104FC9" w:rsidRDefault="00D55642" w:rsidP="00D55642">
            <w:pPr>
              <w:spacing w:before="0"/>
              <w:rPr>
                <w:rFonts w:asciiTheme="minorHAnsi" w:hAnsiTheme="minorHAnsi"/>
                <w:color w:val="000000"/>
                <w:sz w:val="22"/>
                <w:szCs w:val="22"/>
              </w:rPr>
            </w:pPr>
            <w:r w:rsidRPr="00104FC9">
              <w:rPr>
                <w:rFonts w:asciiTheme="minorHAnsi" w:hAnsiTheme="minorHAnsi"/>
                <w:color w:val="000000"/>
                <w:sz w:val="22"/>
                <w:szCs w:val="22"/>
              </w:rPr>
              <w:t>Consumer</w:t>
            </w:r>
          </w:p>
        </w:tc>
      </w:tr>
      <w:tr w:rsidR="00D55642" w:rsidRPr="00104FC9" w:rsidTr="00D55642">
        <w:trPr>
          <w:trHeight w:val="233"/>
          <w:jc w:val="right"/>
        </w:trPr>
        <w:tc>
          <w:tcPr>
            <w:tcW w:w="1040" w:type="dxa"/>
            <w:tcBorders>
              <w:top w:val="nil"/>
              <w:left w:val="single" w:sz="4" w:space="0" w:color="auto"/>
              <w:bottom w:val="single" w:sz="4" w:space="0" w:color="auto"/>
              <w:right w:val="single" w:sz="4" w:space="0" w:color="auto"/>
            </w:tcBorders>
            <w:shd w:val="clear" w:color="auto" w:fill="auto"/>
            <w:vAlign w:val="bottom"/>
            <w:hideMark/>
          </w:tcPr>
          <w:p w:rsidR="00D55642" w:rsidRPr="00104FC9" w:rsidRDefault="00D55642" w:rsidP="00D55642">
            <w:pPr>
              <w:spacing w:before="0"/>
              <w:jc w:val="center"/>
              <w:rPr>
                <w:rFonts w:asciiTheme="minorHAnsi" w:hAnsiTheme="minorHAnsi"/>
                <w:color w:val="000000"/>
                <w:sz w:val="22"/>
                <w:szCs w:val="22"/>
              </w:rPr>
            </w:pPr>
            <w:r w:rsidRPr="00104FC9">
              <w:rPr>
                <w:rFonts w:asciiTheme="minorHAnsi" w:hAnsiTheme="minorHAnsi"/>
                <w:color w:val="000000"/>
                <w:sz w:val="22"/>
                <w:szCs w:val="22"/>
              </w:rPr>
              <w:lastRenderedPageBreak/>
              <w:t>107</w:t>
            </w:r>
          </w:p>
        </w:tc>
        <w:tc>
          <w:tcPr>
            <w:tcW w:w="3205" w:type="dxa"/>
            <w:tcBorders>
              <w:top w:val="nil"/>
              <w:left w:val="nil"/>
              <w:bottom w:val="single" w:sz="4" w:space="0" w:color="auto"/>
              <w:right w:val="single" w:sz="4" w:space="0" w:color="auto"/>
            </w:tcBorders>
            <w:shd w:val="clear" w:color="auto" w:fill="auto"/>
            <w:vAlign w:val="bottom"/>
            <w:hideMark/>
          </w:tcPr>
          <w:p w:rsidR="00D55642" w:rsidRPr="00104FC9" w:rsidRDefault="00D55642" w:rsidP="00D55642">
            <w:pPr>
              <w:spacing w:before="0"/>
              <w:rPr>
                <w:rFonts w:asciiTheme="minorHAnsi" w:hAnsiTheme="minorHAnsi"/>
                <w:color w:val="000000"/>
                <w:sz w:val="22"/>
                <w:szCs w:val="22"/>
              </w:rPr>
            </w:pPr>
            <w:r w:rsidRPr="00104FC9">
              <w:rPr>
                <w:rFonts w:asciiTheme="minorHAnsi" w:hAnsiTheme="minorHAnsi"/>
                <w:color w:val="000000"/>
                <w:sz w:val="22"/>
                <w:szCs w:val="22"/>
              </w:rPr>
              <w:t>Shri Rajesh Gupta</w:t>
            </w:r>
          </w:p>
        </w:tc>
        <w:tc>
          <w:tcPr>
            <w:tcW w:w="3818" w:type="dxa"/>
            <w:tcBorders>
              <w:top w:val="nil"/>
              <w:left w:val="nil"/>
              <w:bottom w:val="single" w:sz="4" w:space="0" w:color="auto"/>
              <w:right w:val="single" w:sz="4" w:space="0" w:color="auto"/>
            </w:tcBorders>
            <w:shd w:val="clear" w:color="auto" w:fill="auto"/>
            <w:vAlign w:val="bottom"/>
            <w:hideMark/>
          </w:tcPr>
          <w:p w:rsidR="00D55642" w:rsidRPr="00104FC9" w:rsidRDefault="00D55642" w:rsidP="00D55642">
            <w:pPr>
              <w:spacing w:before="0"/>
              <w:rPr>
                <w:rFonts w:asciiTheme="minorHAnsi" w:hAnsiTheme="minorHAnsi"/>
                <w:color w:val="000000"/>
                <w:sz w:val="22"/>
                <w:szCs w:val="22"/>
              </w:rPr>
            </w:pPr>
            <w:r w:rsidRPr="00104FC9">
              <w:rPr>
                <w:rFonts w:asciiTheme="minorHAnsi" w:hAnsiTheme="minorHAnsi"/>
                <w:color w:val="000000"/>
                <w:sz w:val="22"/>
                <w:szCs w:val="22"/>
              </w:rPr>
              <w:t>Consumer</w:t>
            </w:r>
          </w:p>
        </w:tc>
      </w:tr>
    </w:tbl>
    <w:p w:rsidR="00D501D3" w:rsidRDefault="00D501D3" w:rsidP="00D55642">
      <w:pPr>
        <w:jc w:val="center"/>
        <w:rPr>
          <w:b/>
          <w:u w:val="single"/>
        </w:rPr>
      </w:pPr>
    </w:p>
    <w:p w:rsidR="00D55642" w:rsidRDefault="00D55642" w:rsidP="00D55642">
      <w:pPr>
        <w:jc w:val="center"/>
      </w:pPr>
      <w:r w:rsidRPr="00F441C1">
        <w:rPr>
          <w:b/>
          <w:u w:val="single"/>
        </w:rPr>
        <w:t>LIST OF PERSONS WHO HAVE ATTENDED PUBLIC HEARING AT</w:t>
      </w:r>
      <w:r>
        <w:rPr>
          <w:b/>
          <w:u w:val="single"/>
        </w:rPr>
        <w:t xml:space="preserve"> LUCKNOW</w:t>
      </w:r>
    </w:p>
    <w:p w:rsidR="00D55642" w:rsidRDefault="00D55642" w:rsidP="00D55642">
      <w:pPr>
        <w:spacing w:before="0" w:line="240" w:lineRule="auto"/>
        <w:ind w:firstLine="720"/>
        <w:jc w:val="left"/>
        <w:rPr>
          <w:b/>
        </w:rPr>
      </w:pPr>
    </w:p>
    <w:tbl>
      <w:tblPr>
        <w:tblW w:w="8040" w:type="dxa"/>
        <w:jc w:val="right"/>
        <w:tblInd w:w="538" w:type="dxa"/>
        <w:tblLook w:val="04A0"/>
      </w:tblPr>
      <w:tblGrid>
        <w:gridCol w:w="964"/>
        <w:gridCol w:w="3289"/>
        <w:gridCol w:w="3787"/>
      </w:tblGrid>
      <w:tr w:rsidR="00D55642" w:rsidRPr="00C60AD1" w:rsidTr="00104FC9">
        <w:trPr>
          <w:trHeight w:val="300"/>
          <w:tblHeader/>
          <w:jc w:val="right"/>
        </w:trPr>
        <w:tc>
          <w:tcPr>
            <w:tcW w:w="8040" w:type="dxa"/>
            <w:gridSpan w:val="3"/>
            <w:tcBorders>
              <w:top w:val="single" w:sz="4" w:space="0" w:color="auto"/>
              <w:left w:val="single" w:sz="4" w:space="0" w:color="auto"/>
              <w:bottom w:val="single" w:sz="4" w:space="0" w:color="auto"/>
              <w:right w:val="single" w:sz="4" w:space="0" w:color="auto"/>
            </w:tcBorders>
            <w:shd w:val="clear" w:color="000000" w:fill="DBE5F1"/>
            <w:hideMark/>
          </w:tcPr>
          <w:p w:rsidR="00D55642" w:rsidRPr="00C60AD1" w:rsidRDefault="00D55642" w:rsidP="00D55642">
            <w:pPr>
              <w:spacing w:before="0" w:line="240" w:lineRule="auto"/>
              <w:jc w:val="center"/>
              <w:rPr>
                <w:b/>
                <w:bCs/>
                <w:color w:val="000000"/>
                <w:lang w:eastAsia="en-IN"/>
              </w:rPr>
            </w:pPr>
            <w:r w:rsidRPr="00C60AD1">
              <w:rPr>
                <w:b/>
                <w:bCs/>
                <w:color w:val="000000"/>
                <w:lang w:eastAsia="en-IN"/>
              </w:rPr>
              <w:t>List of Persons who at</w:t>
            </w:r>
            <w:r>
              <w:rPr>
                <w:b/>
                <w:bCs/>
                <w:color w:val="000000"/>
                <w:lang w:eastAsia="en-IN"/>
              </w:rPr>
              <w:t>tended Public Hearing at Lucknow on May 13</w:t>
            </w:r>
            <w:r w:rsidRPr="00C60AD1">
              <w:rPr>
                <w:b/>
                <w:bCs/>
                <w:color w:val="000000"/>
                <w:lang w:eastAsia="en-IN"/>
              </w:rPr>
              <w:t>, 201</w:t>
            </w:r>
            <w:r>
              <w:rPr>
                <w:b/>
                <w:bCs/>
                <w:color w:val="000000"/>
                <w:lang w:eastAsia="en-IN"/>
              </w:rPr>
              <w:t>6</w:t>
            </w:r>
          </w:p>
        </w:tc>
      </w:tr>
      <w:tr w:rsidR="00D55642" w:rsidRPr="00C60AD1" w:rsidTr="00104FC9">
        <w:trPr>
          <w:trHeight w:val="300"/>
          <w:tblHeader/>
          <w:jc w:val="right"/>
        </w:trPr>
        <w:tc>
          <w:tcPr>
            <w:tcW w:w="964" w:type="dxa"/>
            <w:tcBorders>
              <w:top w:val="nil"/>
              <w:left w:val="single" w:sz="4" w:space="0" w:color="auto"/>
              <w:bottom w:val="single" w:sz="4" w:space="0" w:color="auto"/>
              <w:right w:val="single" w:sz="4" w:space="0" w:color="auto"/>
            </w:tcBorders>
            <w:shd w:val="clear" w:color="000000" w:fill="DBE5F1"/>
            <w:hideMark/>
          </w:tcPr>
          <w:p w:rsidR="00D55642" w:rsidRPr="00C60AD1" w:rsidRDefault="00D55642" w:rsidP="00D55642">
            <w:pPr>
              <w:spacing w:before="0" w:line="240" w:lineRule="auto"/>
              <w:jc w:val="center"/>
              <w:rPr>
                <w:b/>
                <w:bCs/>
                <w:color w:val="000000"/>
                <w:lang w:eastAsia="en-IN"/>
              </w:rPr>
            </w:pPr>
            <w:r w:rsidRPr="00C60AD1">
              <w:rPr>
                <w:b/>
                <w:bCs/>
                <w:color w:val="000000"/>
                <w:lang w:val="en-US" w:eastAsia="en-IN"/>
              </w:rPr>
              <w:t>Sl. No.</w:t>
            </w:r>
          </w:p>
        </w:tc>
        <w:tc>
          <w:tcPr>
            <w:tcW w:w="3289" w:type="dxa"/>
            <w:tcBorders>
              <w:top w:val="nil"/>
              <w:left w:val="nil"/>
              <w:bottom w:val="single" w:sz="4" w:space="0" w:color="auto"/>
              <w:right w:val="single" w:sz="4" w:space="0" w:color="auto"/>
            </w:tcBorders>
            <w:shd w:val="clear" w:color="000000" w:fill="DBE5F1"/>
            <w:hideMark/>
          </w:tcPr>
          <w:p w:rsidR="00D55642" w:rsidRPr="00C60AD1" w:rsidRDefault="00D55642" w:rsidP="00D55642">
            <w:pPr>
              <w:spacing w:before="0" w:line="240" w:lineRule="auto"/>
              <w:jc w:val="center"/>
              <w:rPr>
                <w:b/>
                <w:bCs/>
                <w:color w:val="000000"/>
                <w:lang w:eastAsia="en-IN"/>
              </w:rPr>
            </w:pPr>
            <w:r w:rsidRPr="00C60AD1">
              <w:rPr>
                <w:b/>
                <w:bCs/>
                <w:color w:val="000000"/>
                <w:lang w:val="en-US" w:eastAsia="en-IN"/>
              </w:rPr>
              <w:t>Name</w:t>
            </w:r>
          </w:p>
        </w:tc>
        <w:tc>
          <w:tcPr>
            <w:tcW w:w="3787" w:type="dxa"/>
            <w:tcBorders>
              <w:top w:val="nil"/>
              <w:left w:val="nil"/>
              <w:bottom w:val="single" w:sz="4" w:space="0" w:color="auto"/>
              <w:right w:val="single" w:sz="4" w:space="0" w:color="auto"/>
            </w:tcBorders>
            <w:shd w:val="clear" w:color="000000" w:fill="DBE5F1"/>
            <w:hideMark/>
          </w:tcPr>
          <w:p w:rsidR="00D55642" w:rsidRPr="00C60AD1" w:rsidRDefault="00D55642" w:rsidP="00D55642">
            <w:pPr>
              <w:spacing w:before="0" w:line="240" w:lineRule="auto"/>
              <w:jc w:val="center"/>
              <w:rPr>
                <w:b/>
                <w:bCs/>
                <w:color w:val="000000"/>
                <w:lang w:eastAsia="en-IN"/>
              </w:rPr>
            </w:pPr>
            <w:r w:rsidRPr="00C60AD1">
              <w:rPr>
                <w:b/>
                <w:bCs/>
                <w:color w:val="000000"/>
                <w:lang w:val="en-US" w:eastAsia="en-IN"/>
              </w:rPr>
              <w:t>Organisation</w:t>
            </w:r>
          </w:p>
        </w:tc>
      </w:tr>
      <w:tr w:rsidR="00D55642" w:rsidRPr="00C60AD1" w:rsidTr="00104FC9">
        <w:trPr>
          <w:trHeight w:val="152"/>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Avadhesh Kumar Verma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Chairman, UPRVUP</w:t>
            </w:r>
          </w:p>
        </w:tc>
      </w:tr>
      <w:tr w:rsidR="00D55642" w:rsidRPr="00C60AD1" w:rsidTr="00104FC9">
        <w:trPr>
          <w:trHeight w:val="287"/>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Rama Shanker Awasthi</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42"/>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Abhishek Gautam</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78"/>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Satender Vishwa Karma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33"/>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Viswanath</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78"/>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Raju Gautam</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UPRVUP</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Janaav Khan</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UPRVUP</w:t>
            </w:r>
          </w:p>
        </w:tc>
      </w:tr>
      <w:tr w:rsidR="00D55642" w:rsidRPr="00C60AD1" w:rsidTr="00104FC9">
        <w:trPr>
          <w:trHeight w:val="26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P.K. Maskara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5"/>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M.P. Sharma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6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Ajay Agnihotri</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15"/>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11</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Anand Singh</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12</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V.N. Gupta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13</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A.K. Arora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NPCL</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14</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B.N. Rai</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CGRF</w:t>
            </w:r>
          </w:p>
        </w:tc>
      </w:tr>
      <w:tr w:rsidR="00D55642" w:rsidRPr="00C60AD1" w:rsidTr="00104FC9">
        <w:trPr>
          <w:trHeight w:val="197"/>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15</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lang w:eastAsia="en-IN"/>
              </w:rPr>
              <w:t>Dr.  Amit Bhargava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lang w:eastAsia="en-IN"/>
              </w:rPr>
              <w:t>Director (Tariff), UPERC</w:t>
            </w:r>
          </w:p>
        </w:tc>
      </w:tr>
      <w:tr w:rsidR="00D55642" w:rsidRPr="00C60AD1" w:rsidTr="00104FC9">
        <w:trPr>
          <w:trHeight w:val="233"/>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16</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Durga Prasad</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78"/>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17</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Nitesh Tyagi</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ABPS-Consultant, UPERC</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18</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Smt. Sonika Hayaran</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ABPS-Consultant, UPERC</w:t>
            </w:r>
          </w:p>
        </w:tc>
      </w:tr>
      <w:tr w:rsidR="00D55642" w:rsidRPr="00C60AD1" w:rsidTr="00104FC9">
        <w:trPr>
          <w:trHeight w:val="188"/>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19</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Subrat Kumar Swain</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ABPS-Consultant, UPERC</w:t>
            </w:r>
          </w:p>
        </w:tc>
      </w:tr>
      <w:tr w:rsidR="00D55642" w:rsidRPr="00C60AD1" w:rsidTr="00104FC9">
        <w:trPr>
          <w:trHeight w:val="215"/>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20</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Vaibhav Gupta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1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21</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Omkar Mishra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125"/>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22</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 xml:space="preserve">Shri P.C. Mishra </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CGRF</w:t>
            </w:r>
          </w:p>
        </w:tc>
      </w:tr>
      <w:tr w:rsidR="00D55642" w:rsidRPr="00C60AD1" w:rsidTr="00104FC9">
        <w:trPr>
          <w:trHeight w:val="26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23</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Naveen Gupta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197"/>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24</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Gaurav Srivastava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152"/>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25</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R.S. Prasad</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MVVNL</w:t>
            </w:r>
          </w:p>
        </w:tc>
      </w:tr>
      <w:tr w:rsidR="00D55642" w:rsidRPr="00C60AD1" w:rsidTr="00104FC9">
        <w:trPr>
          <w:trHeight w:val="197"/>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26</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Mohd. Tariq Warsi</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MVVNL</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27</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A.K. Pathak</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CE, UPPCL</w:t>
            </w:r>
          </w:p>
        </w:tc>
      </w:tr>
      <w:tr w:rsidR="00D55642" w:rsidRPr="00C60AD1" w:rsidTr="00104FC9">
        <w:trPr>
          <w:trHeight w:val="278"/>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28</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Sehdev Singh Goel</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UPPTCL</w:t>
            </w:r>
          </w:p>
        </w:tc>
      </w:tr>
      <w:tr w:rsidR="00D55642" w:rsidRPr="00C60AD1" w:rsidTr="00104FC9">
        <w:trPr>
          <w:trHeight w:val="233"/>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29</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Ram Swarath</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Director(Comm),UPPTCL</w:t>
            </w:r>
          </w:p>
        </w:tc>
      </w:tr>
      <w:tr w:rsidR="00D55642" w:rsidRPr="00C60AD1" w:rsidTr="00104FC9">
        <w:trPr>
          <w:trHeight w:val="188"/>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30</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Sanjay Kr. Chaurasia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UPPTCL</w:t>
            </w:r>
          </w:p>
        </w:tc>
      </w:tr>
      <w:tr w:rsidR="00D55642" w:rsidRPr="00C60AD1" w:rsidTr="00104FC9">
        <w:trPr>
          <w:trHeight w:val="143"/>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31</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Ashok Das</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CGRF</w:t>
            </w:r>
          </w:p>
        </w:tc>
      </w:tr>
      <w:tr w:rsidR="00D55642" w:rsidRPr="00C60AD1" w:rsidTr="00104FC9">
        <w:trPr>
          <w:trHeight w:val="26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lastRenderedPageBreak/>
              <w:t>32</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M.L. Agarwal</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CGRF</w:t>
            </w:r>
          </w:p>
        </w:tc>
      </w:tr>
      <w:tr w:rsidR="00D55642" w:rsidRPr="00C60AD1" w:rsidTr="00104FC9">
        <w:trPr>
          <w:trHeight w:val="125"/>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33</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A.K. Singh</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KESCO</w:t>
            </w:r>
          </w:p>
        </w:tc>
      </w:tr>
      <w:tr w:rsidR="00D55642" w:rsidRPr="00C60AD1" w:rsidTr="00104FC9">
        <w:trPr>
          <w:trHeight w:val="1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34</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Vivek Dikshit</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UPPCL</w:t>
            </w:r>
          </w:p>
        </w:tc>
      </w:tr>
      <w:tr w:rsidR="00D55642" w:rsidRPr="00C60AD1" w:rsidTr="00104FC9">
        <w:trPr>
          <w:trHeight w:val="8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35</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 Joshi</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UPPCL</w:t>
            </w:r>
          </w:p>
        </w:tc>
      </w:tr>
      <w:tr w:rsidR="00D55642" w:rsidRPr="00C60AD1" w:rsidTr="00104FC9">
        <w:trPr>
          <w:trHeight w:val="215"/>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36</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Sayed Abbas Rizvi</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UPPCL</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37</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S.K. Verma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LESA</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38</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A.K. Kohli</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MVVNL</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39</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Yogesh Hajela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KESCO</w:t>
            </w:r>
          </w:p>
        </w:tc>
      </w:tr>
      <w:tr w:rsidR="00D55642" w:rsidRPr="00C60AD1" w:rsidTr="00104FC9">
        <w:trPr>
          <w:trHeight w:val="197"/>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40</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 xml:space="preserve">Shri Kamlesh Chandra </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CGRF</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41</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S.C. Singh</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CGRF</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42</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Anil Kumar</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CGRF</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43</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Vijai Kumar</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DVVNL</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44</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Gaurav Nand</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IERS</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45</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Ms. Priya Dwivedi</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IERS</w:t>
            </w:r>
          </w:p>
        </w:tc>
      </w:tr>
      <w:tr w:rsidR="00D55642" w:rsidRPr="00C60AD1" w:rsidTr="00104FC9">
        <w:trPr>
          <w:trHeight w:val="70"/>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46</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Ms. Surabhi Sinha</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IERS</w:t>
            </w:r>
          </w:p>
        </w:tc>
      </w:tr>
      <w:tr w:rsidR="00D55642" w:rsidRPr="00C60AD1" w:rsidTr="00104FC9">
        <w:trPr>
          <w:trHeight w:val="125"/>
          <w:jc w:val="right"/>
        </w:trPr>
        <w:tc>
          <w:tcPr>
            <w:tcW w:w="964"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47</w:t>
            </w:r>
          </w:p>
        </w:tc>
        <w:tc>
          <w:tcPr>
            <w:tcW w:w="3289"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Hemant Yadav</w:t>
            </w:r>
          </w:p>
        </w:tc>
        <w:tc>
          <w:tcPr>
            <w:tcW w:w="3787"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bl>
    <w:p w:rsidR="00D55642" w:rsidRDefault="00D55642" w:rsidP="00D55642">
      <w:pPr>
        <w:spacing w:before="0" w:line="240" w:lineRule="auto"/>
        <w:ind w:firstLine="720"/>
        <w:jc w:val="left"/>
        <w:rPr>
          <w:b/>
        </w:rPr>
      </w:pPr>
    </w:p>
    <w:p w:rsidR="00D55642" w:rsidRDefault="00D55642" w:rsidP="00D55642">
      <w:pPr>
        <w:spacing w:before="0" w:line="240" w:lineRule="auto"/>
        <w:ind w:firstLine="720"/>
        <w:jc w:val="left"/>
        <w:rPr>
          <w:b/>
        </w:rPr>
      </w:pPr>
    </w:p>
    <w:p w:rsidR="00D55642" w:rsidRDefault="00D55642" w:rsidP="00D55642">
      <w:pPr>
        <w:jc w:val="center"/>
      </w:pPr>
      <w:r w:rsidRPr="00F441C1">
        <w:rPr>
          <w:b/>
          <w:u w:val="single"/>
        </w:rPr>
        <w:t>LIST OF PERSONS WHO HAVE ATTENDED PUBLIC HEARING AT</w:t>
      </w:r>
      <w:r>
        <w:rPr>
          <w:b/>
          <w:u w:val="single"/>
        </w:rPr>
        <w:t xml:space="preserve"> ALIGARH</w:t>
      </w:r>
    </w:p>
    <w:p w:rsidR="00D55642" w:rsidRDefault="00D55642" w:rsidP="00D55642">
      <w:pPr>
        <w:spacing w:before="0" w:line="240" w:lineRule="auto"/>
        <w:ind w:firstLine="720"/>
        <w:jc w:val="left"/>
        <w:rPr>
          <w:b/>
        </w:rPr>
      </w:pPr>
    </w:p>
    <w:tbl>
      <w:tblPr>
        <w:tblW w:w="8068" w:type="dxa"/>
        <w:jc w:val="right"/>
        <w:tblInd w:w="220" w:type="dxa"/>
        <w:tblLook w:val="04A0"/>
      </w:tblPr>
      <w:tblGrid>
        <w:gridCol w:w="992"/>
        <w:gridCol w:w="3261"/>
        <w:gridCol w:w="3815"/>
      </w:tblGrid>
      <w:tr w:rsidR="00D55642" w:rsidRPr="00C60AD1" w:rsidTr="00104FC9">
        <w:trPr>
          <w:trHeight w:val="300"/>
          <w:tblHeader/>
          <w:jc w:val="right"/>
        </w:trPr>
        <w:tc>
          <w:tcPr>
            <w:tcW w:w="8068" w:type="dxa"/>
            <w:gridSpan w:val="3"/>
            <w:tcBorders>
              <w:top w:val="single" w:sz="4" w:space="0" w:color="auto"/>
              <w:left w:val="single" w:sz="4" w:space="0" w:color="auto"/>
              <w:bottom w:val="single" w:sz="4" w:space="0" w:color="auto"/>
              <w:right w:val="single" w:sz="4" w:space="0" w:color="auto"/>
            </w:tcBorders>
            <w:shd w:val="clear" w:color="000000" w:fill="DBE5F1"/>
            <w:hideMark/>
          </w:tcPr>
          <w:p w:rsidR="00D55642" w:rsidRPr="00C60AD1" w:rsidRDefault="00D55642" w:rsidP="00D55642">
            <w:pPr>
              <w:spacing w:before="0" w:line="240" w:lineRule="auto"/>
              <w:jc w:val="center"/>
              <w:rPr>
                <w:b/>
                <w:bCs/>
                <w:color w:val="000000"/>
                <w:lang w:eastAsia="en-IN"/>
              </w:rPr>
            </w:pPr>
            <w:r w:rsidRPr="00C60AD1">
              <w:rPr>
                <w:b/>
                <w:bCs/>
                <w:color w:val="000000"/>
                <w:lang w:eastAsia="en-IN"/>
              </w:rPr>
              <w:t>List of Persons who at</w:t>
            </w:r>
            <w:r>
              <w:rPr>
                <w:b/>
                <w:bCs/>
                <w:color w:val="000000"/>
                <w:lang w:eastAsia="en-IN"/>
              </w:rPr>
              <w:t>tended Public Hearing at Aligarh on May 20</w:t>
            </w:r>
            <w:r w:rsidRPr="00C60AD1">
              <w:rPr>
                <w:b/>
                <w:bCs/>
                <w:color w:val="000000"/>
                <w:lang w:eastAsia="en-IN"/>
              </w:rPr>
              <w:t>, 201</w:t>
            </w:r>
            <w:r>
              <w:rPr>
                <w:b/>
                <w:bCs/>
                <w:color w:val="000000"/>
                <w:lang w:eastAsia="en-IN"/>
              </w:rPr>
              <w:t>6</w:t>
            </w:r>
          </w:p>
        </w:tc>
      </w:tr>
      <w:tr w:rsidR="00D55642" w:rsidRPr="00C60AD1" w:rsidTr="00104FC9">
        <w:trPr>
          <w:trHeight w:val="300"/>
          <w:tblHeader/>
          <w:jc w:val="right"/>
        </w:trPr>
        <w:tc>
          <w:tcPr>
            <w:tcW w:w="992" w:type="dxa"/>
            <w:tcBorders>
              <w:top w:val="nil"/>
              <w:left w:val="single" w:sz="4" w:space="0" w:color="auto"/>
              <w:bottom w:val="single" w:sz="4" w:space="0" w:color="auto"/>
              <w:right w:val="single" w:sz="4" w:space="0" w:color="auto"/>
            </w:tcBorders>
            <w:shd w:val="clear" w:color="000000" w:fill="DBE5F1"/>
            <w:hideMark/>
          </w:tcPr>
          <w:p w:rsidR="00D55642" w:rsidRPr="00C60AD1" w:rsidRDefault="00D55642" w:rsidP="00D55642">
            <w:pPr>
              <w:spacing w:before="0" w:line="240" w:lineRule="auto"/>
              <w:jc w:val="center"/>
              <w:rPr>
                <w:b/>
                <w:bCs/>
                <w:color w:val="000000"/>
                <w:lang w:eastAsia="en-IN"/>
              </w:rPr>
            </w:pPr>
            <w:r w:rsidRPr="00C60AD1">
              <w:rPr>
                <w:b/>
                <w:bCs/>
                <w:color w:val="000000"/>
                <w:lang w:val="en-US" w:eastAsia="en-IN"/>
              </w:rPr>
              <w:t>Sl. No.</w:t>
            </w:r>
          </w:p>
        </w:tc>
        <w:tc>
          <w:tcPr>
            <w:tcW w:w="3261" w:type="dxa"/>
            <w:tcBorders>
              <w:top w:val="nil"/>
              <w:left w:val="nil"/>
              <w:bottom w:val="single" w:sz="4" w:space="0" w:color="auto"/>
              <w:right w:val="single" w:sz="4" w:space="0" w:color="auto"/>
            </w:tcBorders>
            <w:shd w:val="clear" w:color="000000" w:fill="DBE5F1"/>
            <w:hideMark/>
          </w:tcPr>
          <w:p w:rsidR="00D55642" w:rsidRPr="00C60AD1" w:rsidRDefault="00D55642" w:rsidP="00D55642">
            <w:pPr>
              <w:spacing w:before="0" w:line="240" w:lineRule="auto"/>
              <w:jc w:val="center"/>
              <w:rPr>
                <w:b/>
                <w:bCs/>
                <w:color w:val="000000"/>
                <w:lang w:eastAsia="en-IN"/>
              </w:rPr>
            </w:pPr>
            <w:r w:rsidRPr="00C60AD1">
              <w:rPr>
                <w:b/>
                <w:bCs/>
                <w:color w:val="000000"/>
                <w:lang w:val="en-US" w:eastAsia="en-IN"/>
              </w:rPr>
              <w:t>Name</w:t>
            </w:r>
          </w:p>
        </w:tc>
        <w:tc>
          <w:tcPr>
            <w:tcW w:w="3815" w:type="dxa"/>
            <w:tcBorders>
              <w:top w:val="nil"/>
              <w:left w:val="nil"/>
              <w:bottom w:val="single" w:sz="4" w:space="0" w:color="auto"/>
              <w:right w:val="single" w:sz="4" w:space="0" w:color="auto"/>
            </w:tcBorders>
            <w:shd w:val="clear" w:color="000000" w:fill="DBE5F1"/>
            <w:hideMark/>
          </w:tcPr>
          <w:p w:rsidR="00D55642" w:rsidRPr="00C60AD1" w:rsidRDefault="00D55642" w:rsidP="00D55642">
            <w:pPr>
              <w:spacing w:before="0" w:line="240" w:lineRule="auto"/>
              <w:jc w:val="center"/>
              <w:rPr>
                <w:b/>
                <w:bCs/>
                <w:color w:val="000000"/>
                <w:lang w:eastAsia="en-IN"/>
              </w:rPr>
            </w:pPr>
            <w:r w:rsidRPr="00C60AD1">
              <w:rPr>
                <w:b/>
                <w:bCs/>
                <w:color w:val="000000"/>
                <w:lang w:val="en-US" w:eastAsia="en-IN"/>
              </w:rPr>
              <w:t>Organisation</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Raj Pal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Nawab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Jitendra Pal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Raj Kumar</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Mukesh Kumar Yadav</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DVVNL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lang w:eastAsia="en-IN"/>
              </w:rPr>
              <w:t>Dr. Amit Bhargava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lang w:eastAsia="en-IN"/>
              </w:rPr>
              <w:t>Director (Tariff), UPERC</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R.B. Yadav</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CGRF</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B.S. Varshney</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B.L. Jain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Sachin Jain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Subhash Chand</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Subrat Kumar Swain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ABPS-Consultant, UPERC</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Satish Chandra Sharma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Abhishek Upadhyay</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Durvijay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lastRenderedPageBreak/>
              <w:t>16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J.P. Sharma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Akarsh Garg</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Ms. Mansi J. Garg</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Suresh Chawla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Harish Kumar</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Devendra Kr. Saxena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Chandra Mohan Goyal</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Haji Sulaiman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Gyan Chandra Varshney</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Mahendra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Vinod Varshney</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Bimal Kumar Kheman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Vikram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29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Chandrashekhar Sharma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Deepak Goyal</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S.L. Mukherji</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M.P.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V.K. Mittal</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O.P. Rathi</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Y.M. Jha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R.S. Upadhyay</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Sharad K.</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 xml:space="preserve">Shri Girraj </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39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Pradeep Singhal</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A.K. Shukla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UPPTCL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Sandeep Kumar</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UPPTCL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 Joshi</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UPPCL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D.C. Verma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UPPCL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N.K. Jain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M.L. Upadhyay</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Girish Chand</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UPPCL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Smt. Anguri Solanki</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Shashi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49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Deepak Sharma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Amar Ujala</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Bhupendra Varshney</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Sugam Srivastava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Hindustan</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Surjeet Pundhir</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Dainik Jagran</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lastRenderedPageBreak/>
              <w:t>53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Vivek Kumar</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Hindustan</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B.M. Sharma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Nitin Agarwal</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J.P. Verma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CGRF</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U.S. Paul</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Yatendra YK</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59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Rajesh Sorkoda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Mukesh K.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Moin Khan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Mohd. Shami</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Sukhram</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A.K.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KESCO</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Dr. G.R. Suman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Sharif Ahmad</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Shailesh R. Desai</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Torrent Power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Subir Kr. Das</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Torrent Power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69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 xml:space="preserve">Shri Rakesh </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Torrent Power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Naresh Bharti</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DVVNL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A.K. Saxena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DVVNL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Vinod Kumar</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CGRF</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Karan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DVVNL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Afzal Hameed</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G.P. Bhardwaj</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 Rihan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AMU</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A.K.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MVVNL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Niraj Khandelwal</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79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K.P.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Dulare Khan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Musharraf Husain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Ilias  Ali</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Iqbal Hussain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Mohd.  Aslam</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Prem Narayan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UPPCL</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Pradeep Ganga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Subodh Kumar</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Atul Kr. Shrivastav</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IERS</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89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Shariq K</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lastRenderedPageBreak/>
              <w:t>90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 K Gupta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Faizan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Rakesh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S.Zuber Khan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5"/>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Sukhdev Varshney</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33"/>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Sanjay Mishra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33"/>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Deepak Agarwal</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42"/>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Shiv Dayal Sharma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17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Dr. Kailash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98"/>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99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Nawab Arzoo</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197"/>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Naresh Kumar Sharma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305"/>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101</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Govind Sharan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143"/>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102</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Suraj</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News</w:t>
            </w:r>
          </w:p>
        </w:tc>
      </w:tr>
      <w:tr w:rsidR="00D55642" w:rsidRPr="00C60AD1" w:rsidTr="00104FC9">
        <w:trPr>
          <w:trHeight w:val="188"/>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103</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Mahi Pal</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Amar Ujala</w:t>
            </w:r>
          </w:p>
        </w:tc>
      </w:tr>
      <w:tr w:rsidR="00D55642" w:rsidRPr="00C60AD1" w:rsidTr="00104FC9">
        <w:trPr>
          <w:trHeight w:val="197"/>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104</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Dipendra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70"/>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105</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Prem Chandra</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125"/>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106</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Har Narayan</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33"/>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107</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Pramod</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Zee News</w:t>
            </w:r>
          </w:p>
        </w:tc>
      </w:tr>
      <w:tr w:rsidR="00D55642" w:rsidRPr="00C60AD1" w:rsidTr="00104FC9">
        <w:trPr>
          <w:trHeight w:val="233"/>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108</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Manoj Kumar</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r w:rsidR="00D55642" w:rsidRPr="00C60AD1" w:rsidTr="00104FC9">
        <w:trPr>
          <w:trHeight w:val="233"/>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109</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 xml:space="preserve">Shri Sugam </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Hindustan</w:t>
            </w:r>
          </w:p>
        </w:tc>
      </w:tr>
      <w:tr w:rsidR="00D55642" w:rsidRPr="00C60AD1" w:rsidTr="00104FC9">
        <w:trPr>
          <w:trHeight w:val="233"/>
          <w:jc w:val="right"/>
        </w:trPr>
        <w:tc>
          <w:tcPr>
            <w:tcW w:w="992" w:type="dxa"/>
            <w:tcBorders>
              <w:top w:val="nil"/>
              <w:left w:val="single" w:sz="4" w:space="0" w:color="auto"/>
              <w:bottom w:val="single" w:sz="4" w:space="0" w:color="auto"/>
              <w:right w:val="single" w:sz="4" w:space="0" w:color="auto"/>
            </w:tcBorders>
            <w:shd w:val="clear" w:color="auto" w:fill="auto"/>
            <w:hideMark/>
          </w:tcPr>
          <w:p w:rsidR="00D55642" w:rsidRDefault="00D55642" w:rsidP="00D55642">
            <w:pPr>
              <w:spacing w:before="0"/>
              <w:jc w:val="center"/>
              <w:rPr>
                <w:color w:val="000000"/>
              </w:rPr>
            </w:pPr>
            <w:r>
              <w:rPr>
                <w:color w:val="000000"/>
                <w:sz w:val="22"/>
                <w:szCs w:val="22"/>
              </w:rPr>
              <w:t>110</w:t>
            </w:r>
          </w:p>
        </w:tc>
        <w:tc>
          <w:tcPr>
            <w:tcW w:w="3261"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Shri Yash Krishna Singh</w:t>
            </w:r>
          </w:p>
        </w:tc>
        <w:tc>
          <w:tcPr>
            <w:tcW w:w="3815" w:type="dxa"/>
            <w:tcBorders>
              <w:top w:val="nil"/>
              <w:left w:val="nil"/>
              <w:bottom w:val="single" w:sz="4" w:space="0" w:color="auto"/>
              <w:right w:val="single" w:sz="4" w:space="0" w:color="auto"/>
            </w:tcBorders>
            <w:shd w:val="clear" w:color="auto" w:fill="auto"/>
            <w:hideMark/>
          </w:tcPr>
          <w:p w:rsidR="00D55642" w:rsidRDefault="00D55642" w:rsidP="00D55642">
            <w:pPr>
              <w:spacing w:before="0"/>
              <w:jc w:val="left"/>
              <w:rPr>
                <w:color w:val="000000"/>
              </w:rPr>
            </w:pPr>
            <w:r>
              <w:rPr>
                <w:color w:val="000000"/>
                <w:sz w:val="22"/>
                <w:szCs w:val="22"/>
              </w:rPr>
              <w:t>Consumer</w:t>
            </w:r>
          </w:p>
        </w:tc>
      </w:tr>
    </w:tbl>
    <w:p w:rsidR="00D55642" w:rsidRDefault="00D55642" w:rsidP="00D55642">
      <w:pPr>
        <w:spacing w:before="0" w:line="240" w:lineRule="auto"/>
        <w:ind w:firstLine="720"/>
        <w:jc w:val="left"/>
        <w:rPr>
          <w:b/>
        </w:rPr>
        <w:sectPr w:rsidR="00D55642" w:rsidSect="00675499">
          <w:pgSz w:w="11909" w:h="16834"/>
          <w:pgMar w:top="1440" w:right="1440" w:bottom="1440" w:left="1800" w:header="720" w:footer="720" w:gutter="0"/>
          <w:pgNumType w:chapSep="colon"/>
          <w:cols w:space="720"/>
          <w:docGrid w:linePitch="326"/>
        </w:sectPr>
      </w:pPr>
    </w:p>
    <w:p w:rsidR="00C34658" w:rsidRPr="00C60AD1" w:rsidRDefault="00C34658" w:rsidP="00C34658">
      <w:pPr>
        <w:pStyle w:val="Heading2"/>
        <w:numPr>
          <w:ilvl w:val="1"/>
          <w:numId w:val="29"/>
        </w:numPr>
      </w:pPr>
      <w:bookmarkStart w:id="1913" w:name="_Toc453268739"/>
      <w:bookmarkStart w:id="1914" w:name="_Toc453271634"/>
      <w:bookmarkStart w:id="1915" w:name="_Toc453268740"/>
      <w:bookmarkStart w:id="1916" w:name="_Toc453271635"/>
      <w:bookmarkStart w:id="1917" w:name="_Toc453268741"/>
      <w:bookmarkStart w:id="1918" w:name="_Toc453271636"/>
      <w:bookmarkStart w:id="1919" w:name="_Toc453268742"/>
      <w:bookmarkStart w:id="1920" w:name="_Toc453271637"/>
      <w:bookmarkStart w:id="1921" w:name="_Toc453268743"/>
      <w:bookmarkStart w:id="1922" w:name="_Toc453271638"/>
      <w:bookmarkStart w:id="1923" w:name="_Toc453268744"/>
      <w:bookmarkStart w:id="1924" w:name="_Toc453271639"/>
      <w:bookmarkStart w:id="1925" w:name="_Toc453268745"/>
      <w:bookmarkStart w:id="1926" w:name="_Toc453271640"/>
      <w:bookmarkStart w:id="1927" w:name="_Toc453268746"/>
      <w:bookmarkStart w:id="1928" w:name="_Toc453271641"/>
      <w:bookmarkStart w:id="1929" w:name="_Toc453268747"/>
      <w:bookmarkStart w:id="1930" w:name="_Toc453271642"/>
      <w:bookmarkStart w:id="1931" w:name="_Toc453268748"/>
      <w:bookmarkStart w:id="1932" w:name="_Toc453271643"/>
      <w:bookmarkStart w:id="1933" w:name="_Toc453268749"/>
      <w:bookmarkStart w:id="1934" w:name="_Toc453271644"/>
      <w:bookmarkStart w:id="1935" w:name="_Toc453268750"/>
      <w:bookmarkStart w:id="1936" w:name="_Toc453271645"/>
      <w:bookmarkStart w:id="1937" w:name="_Toc453268751"/>
      <w:bookmarkStart w:id="1938" w:name="_Toc453271646"/>
      <w:bookmarkStart w:id="1939" w:name="_Toc453268752"/>
      <w:bookmarkStart w:id="1940" w:name="_Toc453271647"/>
      <w:bookmarkStart w:id="1941" w:name="_Toc453268753"/>
      <w:bookmarkStart w:id="1942" w:name="_Toc453271648"/>
      <w:bookmarkStart w:id="1943" w:name="_Toc453268754"/>
      <w:bookmarkStart w:id="1944" w:name="_Toc453271649"/>
      <w:bookmarkStart w:id="1945" w:name="_Toc453268755"/>
      <w:bookmarkStart w:id="1946" w:name="_Toc453271650"/>
      <w:bookmarkStart w:id="1947" w:name="_Toc453268756"/>
      <w:bookmarkStart w:id="1948" w:name="_Toc453271651"/>
      <w:bookmarkStart w:id="1949" w:name="_Toc453268757"/>
      <w:bookmarkStart w:id="1950" w:name="_Toc453271652"/>
      <w:bookmarkStart w:id="1951" w:name="_Toc453268758"/>
      <w:bookmarkStart w:id="1952" w:name="_Toc453271653"/>
      <w:bookmarkStart w:id="1953" w:name="_Toc453268759"/>
      <w:bookmarkStart w:id="1954" w:name="_Toc453271654"/>
      <w:bookmarkStart w:id="1955" w:name="_Toc453268760"/>
      <w:bookmarkStart w:id="1956" w:name="_Toc453271655"/>
      <w:bookmarkStart w:id="1957" w:name="_Toc453268761"/>
      <w:bookmarkStart w:id="1958" w:name="_Toc453271656"/>
      <w:bookmarkStart w:id="1959" w:name="_Toc453268762"/>
      <w:bookmarkStart w:id="1960" w:name="_Toc453271657"/>
      <w:bookmarkStart w:id="1961" w:name="_Toc453268763"/>
      <w:bookmarkStart w:id="1962" w:name="_Toc453271658"/>
      <w:bookmarkStart w:id="1963" w:name="_Toc453268764"/>
      <w:bookmarkStart w:id="1964" w:name="_Toc453271659"/>
      <w:bookmarkStart w:id="1965" w:name="_Toc453268765"/>
      <w:bookmarkStart w:id="1966" w:name="_Toc453271660"/>
      <w:bookmarkStart w:id="1967" w:name="_Toc453268766"/>
      <w:bookmarkStart w:id="1968" w:name="_Toc453271661"/>
      <w:bookmarkStart w:id="1969" w:name="_Toc453268767"/>
      <w:bookmarkStart w:id="1970" w:name="_Toc453271662"/>
      <w:bookmarkStart w:id="1971" w:name="_Toc453268768"/>
      <w:bookmarkStart w:id="1972" w:name="_Toc453271663"/>
      <w:bookmarkStart w:id="1973" w:name="_Toc453268769"/>
      <w:bookmarkStart w:id="1974" w:name="_Toc453271664"/>
      <w:bookmarkStart w:id="1975" w:name="_Toc453268770"/>
      <w:bookmarkStart w:id="1976" w:name="_Toc453271665"/>
      <w:bookmarkStart w:id="1977" w:name="_Toc453268771"/>
      <w:bookmarkStart w:id="1978" w:name="_Toc453271666"/>
      <w:bookmarkStart w:id="1979" w:name="_Toc453268772"/>
      <w:bookmarkStart w:id="1980" w:name="_Toc453271667"/>
      <w:bookmarkStart w:id="1981" w:name="_Toc453268773"/>
      <w:bookmarkStart w:id="1982" w:name="_Toc453271668"/>
      <w:bookmarkStart w:id="1983" w:name="_Toc453268774"/>
      <w:bookmarkStart w:id="1984" w:name="_Toc453271669"/>
      <w:bookmarkStart w:id="1985" w:name="_Toc453268775"/>
      <w:bookmarkStart w:id="1986" w:name="_Toc453271670"/>
      <w:bookmarkStart w:id="1987" w:name="_Toc453268776"/>
      <w:bookmarkStart w:id="1988" w:name="_Toc453271671"/>
      <w:bookmarkStart w:id="1989" w:name="_Toc453268777"/>
      <w:bookmarkStart w:id="1990" w:name="_Toc453271672"/>
      <w:bookmarkStart w:id="1991" w:name="_Toc453268778"/>
      <w:bookmarkStart w:id="1992" w:name="_Toc453271673"/>
      <w:bookmarkStart w:id="1993" w:name="_Toc453268779"/>
      <w:bookmarkStart w:id="1994" w:name="_Toc453271674"/>
      <w:bookmarkStart w:id="1995" w:name="_Toc453268780"/>
      <w:bookmarkStart w:id="1996" w:name="_Toc453271675"/>
      <w:bookmarkStart w:id="1997" w:name="_Toc453268781"/>
      <w:bookmarkStart w:id="1998" w:name="_Toc453271676"/>
      <w:bookmarkStart w:id="1999" w:name="_Toc453268782"/>
      <w:bookmarkStart w:id="2000" w:name="_Toc453271677"/>
      <w:bookmarkStart w:id="2001" w:name="_Toc453268783"/>
      <w:bookmarkStart w:id="2002" w:name="_Toc453271678"/>
      <w:bookmarkStart w:id="2003" w:name="_Toc453268784"/>
      <w:bookmarkStart w:id="2004" w:name="_Toc453271679"/>
      <w:bookmarkStart w:id="2005" w:name="_Toc453268785"/>
      <w:bookmarkStart w:id="2006" w:name="_Toc453271680"/>
      <w:bookmarkStart w:id="2007" w:name="_Toc453268786"/>
      <w:bookmarkStart w:id="2008" w:name="_Toc453271681"/>
      <w:bookmarkStart w:id="2009" w:name="_Toc453268787"/>
      <w:bookmarkStart w:id="2010" w:name="_Toc453271682"/>
      <w:bookmarkStart w:id="2011" w:name="_Toc453268788"/>
      <w:bookmarkStart w:id="2012" w:name="_Toc453271683"/>
      <w:bookmarkStart w:id="2013" w:name="_Toc453268789"/>
      <w:bookmarkStart w:id="2014" w:name="_Toc453271684"/>
      <w:bookmarkStart w:id="2015" w:name="_Toc453268790"/>
      <w:bookmarkStart w:id="2016" w:name="_Toc453271685"/>
      <w:bookmarkStart w:id="2017" w:name="_Toc453268791"/>
      <w:bookmarkStart w:id="2018" w:name="_Toc453271686"/>
      <w:bookmarkStart w:id="2019" w:name="_Toc453268792"/>
      <w:bookmarkStart w:id="2020" w:name="_Toc453271687"/>
      <w:bookmarkStart w:id="2021" w:name="_Toc453268793"/>
      <w:bookmarkStart w:id="2022" w:name="_Toc453271688"/>
      <w:bookmarkStart w:id="2023" w:name="_Toc453268794"/>
      <w:bookmarkStart w:id="2024" w:name="_Toc453271689"/>
      <w:bookmarkStart w:id="2025" w:name="_Toc453268795"/>
      <w:bookmarkStart w:id="2026" w:name="_Toc453271690"/>
      <w:bookmarkStart w:id="2027" w:name="_Toc453268796"/>
      <w:bookmarkStart w:id="2028" w:name="_Toc453271691"/>
      <w:bookmarkStart w:id="2029" w:name="_Toc453268797"/>
      <w:bookmarkStart w:id="2030" w:name="_Toc453271692"/>
      <w:bookmarkStart w:id="2031" w:name="_Toc453268798"/>
      <w:bookmarkStart w:id="2032" w:name="_Toc453271693"/>
      <w:bookmarkStart w:id="2033" w:name="_Toc453268799"/>
      <w:bookmarkStart w:id="2034" w:name="_Toc453271694"/>
      <w:bookmarkStart w:id="2035" w:name="_Toc453268800"/>
      <w:bookmarkStart w:id="2036" w:name="_Toc453271695"/>
      <w:bookmarkStart w:id="2037" w:name="_Toc453268801"/>
      <w:bookmarkStart w:id="2038" w:name="_Toc453271696"/>
      <w:bookmarkStart w:id="2039" w:name="_Toc453268802"/>
      <w:bookmarkStart w:id="2040" w:name="_Toc453271697"/>
      <w:bookmarkStart w:id="2041" w:name="_Toc453268803"/>
      <w:bookmarkStart w:id="2042" w:name="_Toc453271698"/>
      <w:bookmarkStart w:id="2043" w:name="_Toc453268804"/>
      <w:bookmarkStart w:id="2044" w:name="_Toc453271699"/>
      <w:bookmarkStart w:id="2045" w:name="_Toc453268805"/>
      <w:bookmarkStart w:id="2046" w:name="_Toc453271700"/>
      <w:bookmarkStart w:id="2047" w:name="_Toc453268806"/>
      <w:bookmarkStart w:id="2048" w:name="_Toc453271701"/>
      <w:bookmarkStart w:id="2049" w:name="_Toc453268807"/>
      <w:bookmarkStart w:id="2050" w:name="_Toc453271702"/>
      <w:bookmarkStart w:id="2051" w:name="_Toc453268808"/>
      <w:bookmarkStart w:id="2052" w:name="_Toc453271703"/>
      <w:bookmarkStart w:id="2053" w:name="_Toc453268809"/>
      <w:bookmarkStart w:id="2054" w:name="_Toc453271704"/>
      <w:bookmarkStart w:id="2055" w:name="_Toc453268810"/>
      <w:bookmarkStart w:id="2056" w:name="_Toc453271705"/>
      <w:bookmarkStart w:id="2057" w:name="_Toc453268811"/>
      <w:bookmarkStart w:id="2058" w:name="_Toc453271706"/>
      <w:bookmarkStart w:id="2059" w:name="_Toc453268812"/>
      <w:bookmarkStart w:id="2060" w:name="_Toc453271707"/>
      <w:bookmarkStart w:id="2061" w:name="_Toc453268813"/>
      <w:bookmarkStart w:id="2062" w:name="_Toc453271708"/>
      <w:bookmarkStart w:id="2063" w:name="_Toc453268814"/>
      <w:bookmarkStart w:id="2064" w:name="_Toc453271709"/>
      <w:bookmarkStart w:id="2065" w:name="_Toc453268815"/>
      <w:bookmarkStart w:id="2066" w:name="_Toc453271710"/>
      <w:bookmarkStart w:id="2067" w:name="_Toc453268816"/>
      <w:bookmarkStart w:id="2068" w:name="_Toc453271711"/>
      <w:bookmarkStart w:id="2069" w:name="_Toc453268817"/>
      <w:bookmarkStart w:id="2070" w:name="_Toc453271712"/>
      <w:bookmarkStart w:id="2071" w:name="_Toc453268818"/>
      <w:bookmarkStart w:id="2072" w:name="_Toc453271713"/>
      <w:bookmarkStart w:id="2073" w:name="_Toc453268819"/>
      <w:bookmarkStart w:id="2074" w:name="_Toc453271714"/>
      <w:bookmarkStart w:id="2075" w:name="_Toc453268820"/>
      <w:bookmarkStart w:id="2076" w:name="_Toc453271715"/>
      <w:bookmarkStart w:id="2077" w:name="_Toc453268821"/>
      <w:bookmarkStart w:id="2078" w:name="_Toc453271716"/>
      <w:bookmarkStart w:id="2079" w:name="_Toc453268822"/>
      <w:bookmarkStart w:id="2080" w:name="_Toc453271717"/>
      <w:bookmarkStart w:id="2081" w:name="_Toc453268823"/>
      <w:bookmarkStart w:id="2082" w:name="_Toc453271718"/>
      <w:bookmarkStart w:id="2083" w:name="_Toc453268824"/>
      <w:bookmarkStart w:id="2084" w:name="_Toc453271719"/>
      <w:bookmarkStart w:id="2085" w:name="_Toc453268825"/>
      <w:bookmarkStart w:id="2086" w:name="_Toc453271720"/>
      <w:bookmarkStart w:id="2087" w:name="_Toc453268826"/>
      <w:bookmarkStart w:id="2088" w:name="_Toc453271721"/>
      <w:bookmarkStart w:id="2089" w:name="_Toc453268827"/>
      <w:bookmarkStart w:id="2090" w:name="_Toc453271722"/>
      <w:bookmarkStart w:id="2091" w:name="_Toc453268828"/>
      <w:bookmarkStart w:id="2092" w:name="_Toc453271723"/>
      <w:bookmarkStart w:id="2093" w:name="_Toc453268829"/>
      <w:bookmarkStart w:id="2094" w:name="_Toc453271724"/>
      <w:bookmarkStart w:id="2095" w:name="_Toc453268830"/>
      <w:bookmarkStart w:id="2096" w:name="_Toc453271725"/>
      <w:bookmarkStart w:id="2097" w:name="_Toc453268831"/>
      <w:bookmarkStart w:id="2098" w:name="_Toc453271726"/>
      <w:bookmarkStart w:id="2099" w:name="_Toc453268832"/>
      <w:bookmarkStart w:id="2100" w:name="_Toc453271727"/>
      <w:bookmarkStart w:id="2101" w:name="_Toc453268833"/>
      <w:bookmarkStart w:id="2102" w:name="_Toc453271728"/>
      <w:bookmarkStart w:id="2103" w:name="_Toc453268834"/>
      <w:bookmarkStart w:id="2104" w:name="_Toc453271729"/>
      <w:bookmarkStart w:id="2105" w:name="_Toc453268835"/>
      <w:bookmarkStart w:id="2106" w:name="_Toc453271730"/>
      <w:bookmarkStart w:id="2107" w:name="_Toc453268836"/>
      <w:bookmarkStart w:id="2108" w:name="_Toc453271731"/>
      <w:bookmarkStart w:id="2109" w:name="_Toc453268837"/>
      <w:bookmarkStart w:id="2110" w:name="_Toc453271732"/>
      <w:bookmarkStart w:id="2111" w:name="_Toc453268838"/>
      <w:bookmarkStart w:id="2112" w:name="_Toc453271733"/>
      <w:bookmarkStart w:id="2113" w:name="_Toc453268839"/>
      <w:bookmarkStart w:id="2114" w:name="_Toc453271734"/>
      <w:bookmarkStart w:id="2115" w:name="_Toc453268840"/>
      <w:bookmarkStart w:id="2116" w:name="_Toc453271735"/>
      <w:bookmarkStart w:id="2117" w:name="_Toc453268841"/>
      <w:bookmarkStart w:id="2118" w:name="_Toc453271736"/>
      <w:bookmarkStart w:id="2119" w:name="_Toc453268842"/>
      <w:bookmarkStart w:id="2120" w:name="_Toc453271737"/>
      <w:bookmarkStart w:id="2121" w:name="_Toc453268843"/>
      <w:bookmarkStart w:id="2122" w:name="_Toc453271738"/>
      <w:bookmarkStart w:id="2123" w:name="_Toc453268844"/>
      <w:bookmarkStart w:id="2124" w:name="_Toc453271739"/>
      <w:bookmarkStart w:id="2125" w:name="_Toc453268845"/>
      <w:bookmarkStart w:id="2126" w:name="_Toc453271740"/>
      <w:bookmarkStart w:id="2127" w:name="_Toc453268846"/>
      <w:bookmarkStart w:id="2128" w:name="_Toc453271741"/>
      <w:bookmarkStart w:id="2129" w:name="_Toc453268847"/>
      <w:bookmarkStart w:id="2130" w:name="_Toc453271742"/>
      <w:bookmarkStart w:id="2131" w:name="_Toc453268848"/>
      <w:bookmarkStart w:id="2132" w:name="_Toc453271743"/>
      <w:bookmarkStart w:id="2133" w:name="_Toc453268849"/>
      <w:bookmarkStart w:id="2134" w:name="_Toc453271744"/>
      <w:bookmarkStart w:id="2135" w:name="_Toc453268850"/>
      <w:bookmarkStart w:id="2136" w:name="_Toc453271745"/>
      <w:bookmarkStart w:id="2137" w:name="_Toc453268851"/>
      <w:bookmarkStart w:id="2138" w:name="_Toc453271746"/>
      <w:bookmarkStart w:id="2139" w:name="_Toc453268852"/>
      <w:bookmarkStart w:id="2140" w:name="_Toc453271747"/>
      <w:bookmarkStart w:id="2141" w:name="_Toc453268853"/>
      <w:bookmarkStart w:id="2142" w:name="_Toc453271748"/>
      <w:bookmarkStart w:id="2143" w:name="_Toc453268854"/>
      <w:bookmarkStart w:id="2144" w:name="_Toc453271749"/>
      <w:bookmarkStart w:id="2145" w:name="_Toc453268855"/>
      <w:bookmarkStart w:id="2146" w:name="_Toc453271750"/>
      <w:bookmarkStart w:id="2147" w:name="_Toc453268856"/>
      <w:bookmarkStart w:id="2148" w:name="_Toc453271751"/>
      <w:bookmarkStart w:id="2149" w:name="_Toc453268857"/>
      <w:bookmarkStart w:id="2150" w:name="_Toc453271752"/>
      <w:bookmarkStart w:id="2151" w:name="_Toc453268858"/>
      <w:bookmarkStart w:id="2152" w:name="_Toc453271753"/>
      <w:bookmarkStart w:id="2153" w:name="_Toc453268859"/>
      <w:bookmarkStart w:id="2154" w:name="_Toc453271754"/>
      <w:bookmarkStart w:id="2155" w:name="_Toc453268860"/>
      <w:bookmarkStart w:id="2156" w:name="_Toc453271755"/>
      <w:bookmarkStart w:id="2157" w:name="_Toc453268861"/>
      <w:bookmarkStart w:id="2158" w:name="_Toc453271756"/>
      <w:bookmarkStart w:id="2159" w:name="_Toc453268862"/>
      <w:bookmarkStart w:id="2160" w:name="_Toc453271757"/>
      <w:bookmarkStart w:id="2161" w:name="_Toc453268873"/>
      <w:bookmarkStart w:id="2162" w:name="_Toc453271768"/>
      <w:bookmarkStart w:id="2163" w:name="_Toc453268883"/>
      <w:bookmarkStart w:id="2164" w:name="_Toc453271778"/>
      <w:bookmarkStart w:id="2165" w:name="_Toc453268884"/>
      <w:bookmarkStart w:id="2166" w:name="_Toc453271779"/>
      <w:bookmarkStart w:id="2167" w:name="_Toc453268885"/>
      <w:bookmarkStart w:id="2168" w:name="_Toc453271780"/>
      <w:bookmarkStart w:id="2169" w:name="_Toc453268894"/>
      <w:bookmarkStart w:id="2170" w:name="_Toc453271789"/>
      <w:bookmarkStart w:id="2171" w:name="_Toc453268895"/>
      <w:bookmarkStart w:id="2172" w:name="_Toc453271790"/>
      <w:bookmarkStart w:id="2173" w:name="_Toc453268896"/>
      <w:bookmarkStart w:id="2174" w:name="_Toc453271791"/>
      <w:bookmarkStart w:id="2175" w:name="_Toc453268897"/>
      <w:bookmarkStart w:id="2176" w:name="_Toc453271792"/>
      <w:bookmarkStart w:id="2177" w:name="_Toc453268898"/>
      <w:bookmarkStart w:id="2178" w:name="_Toc453271793"/>
      <w:bookmarkStart w:id="2179" w:name="_Toc453268899"/>
      <w:bookmarkStart w:id="2180" w:name="_Toc453271794"/>
      <w:bookmarkStart w:id="2181" w:name="_Toc453268900"/>
      <w:bookmarkStart w:id="2182" w:name="_Toc453271795"/>
      <w:bookmarkStart w:id="2183" w:name="_Toc453268914"/>
      <w:bookmarkStart w:id="2184" w:name="_Toc453271809"/>
      <w:bookmarkStart w:id="2185" w:name="_Toc453268915"/>
      <w:bookmarkStart w:id="2186" w:name="_Toc453271810"/>
      <w:bookmarkStart w:id="2187" w:name="_Toc453268926"/>
      <w:bookmarkStart w:id="2188" w:name="_Toc453271821"/>
      <w:bookmarkStart w:id="2189" w:name="_Toc453268931"/>
      <w:bookmarkStart w:id="2190" w:name="_Toc453271826"/>
      <w:bookmarkStart w:id="2191" w:name="_Toc453268936"/>
      <w:bookmarkStart w:id="2192" w:name="_Toc453271831"/>
      <w:bookmarkStart w:id="2193" w:name="_Toc453268942"/>
      <w:bookmarkStart w:id="2194" w:name="_Toc453271837"/>
      <w:bookmarkStart w:id="2195" w:name="_Toc453268943"/>
      <w:bookmarkStart w:id="2196" w:name="_Toc453271838"/>
      <w:bookmarkStart w:id="2197" w:name="_Toc453268944"/>
      <w:bookmarkStart w:id="2198" w:name="_Toc453271839"/>
      <w:bookmarkStart w:id="2199" w:name="_Toc453268945"/>
      <w:bookmarkStart w:id="2200" w:name="_Toc453271840"/>
      <w:bookmarkStart w:id="2201" w:name="_Toc453268946"/>
      <w:bookmarkStart w:id="2202" w:name="_Toc453271841"/>
      <w:bookmarkStart w:id="2203" w:name="_Toc453268947"/>
      <w:bookmarkStart w:id="2204" w:name="_Toc453271842"/>
      <w:bookmarkStart w:id="2205" w:name="_Toc453268948"/>
      <w:bookmarkStart w:id="2206" w:name="_Toc453271843"/>
      <w:bookmarkStart w:id="2207" w:name="_Toc453268949"/>
      <w:bookmarkStart w:id="2208" w:name="_Toc453271844"/>
      <w:bookmarkStart w:id="2209" w:name="_Toc453268950"/>
      <w:bookmarkStart w:id="2210" w:name="_Toc453271845"/>
      <w:bookmarkStart w:id="2211" w:name="_Toc453268951"/>
      <w:bookmarkStart w:id="2212" w:name="_Toc453271846"/>
      <w:bookmarkStart w:id="2213" w:name="_Toc453268952"/>
      <w:bookmarkStart w:id="2214" w:name="_Toc453271847"/>
      <w:bookmarkStart w:id="2215" w:name="_Toc453268953"/>
      <w:bookmarkStart w:id="2216" w:name="_Toc453271848"/>
      <w:bookmarkStart w:id="2217" w:name="_Toc453268954"/>
      <w:bookmarkStart w:id="2218" w:name="_Toc453271849"/>
      <w:bookmarkStart w:id="2219" w:name="_Toc453268955"/>
      <w:bookmarkStart w:id="2220" w:name="_Toc453271850"/>
      <w:bookmarkStart w:id="2221" w:name="_Toc453268956"/>
      <w:bookmarkStart w:id="2222" w:name="_Toc453271851"/>
      <w:bookmarkStart w:id="2223" w:name="_Toc453268957"/>
      <w:bookmarkStart w:id="2224" w:name="_Toc453271852"/>
      <w:bookmarkStart w:id="2225" w:name="_Toc453268976"/>
      <w:bookmarkStart w:id="2226" w:name="_Toc453271871"/>
      <w:bookmarkStart w:id="2227" w:name="_Toc453268977"/>
      <w:bookmarkStart w:id="2228" w:name="_Toc453271872"/>
      <w:bookmarkStart w:id="2229" w:name="_Toc453268985"/>
      <w:bookmarkStart w:id="2230" w:name="_Toc453271880"/>
      <w:bookmarkStart w:id="2231" w:name="_Toc453268986"/>
      <w:bookmarkStart w:id="2232" w:name="_Toc453271881"/>
      <w:bookmarkStart w:id="2233" w:name="_Toc453268987"/>
      <w:bookmarkStart w:id="2234" w:name="_Toc453271882"/>
      <w:bookmarkStart w:id="2235" w:name="_Toc453268988"/>
      <w:bookmarkStart w:id="2236" w:name="_Toc453271883"/>
      <w:bookmarkStart w:id="2237" w:name="_Toc453268989"/>
      <w:bookmarkStart w:id="2238" w:name="_Toc453271884"/>
      <w:bookmarkStart w:id="2239" w:name="_Toc453268990"/>
      <w:bookmarkStart w:id="2240" w:name="_Toc453271885"/>
      <w:bookmarkStart w:id="2241" w:name="_Toc453268991"/>
      <w:bookmarkStart w:id="2242" w:name="_Toc453271886"/>
      <w:bookmarkStart w:id="2243" w:name="_Toc453268992"/>
      <w:bookmarkStart w:id="2244" w:name="_Toc453271887"/>
      <w:bookmarkStart w:id="2245" w:name="_Toc453268993"/>
      <w:bookmarkStart w:id="2246" w:name="_Toc453271888"/>
      <w:bookmarkStart w:id="2247" w:name="_Toc453268994"/>
      <w:bookmarkStart w:id="2248" w:name="_Toc453271889"/>
      <w:bookmarkStart w:id="2249" w:name="_Toc453269011"/>
      <w:bookmarkStart w:id="2250" w:name="_Toc453271906"/>
      <w:bookmarkStart w:id="2251" w:name="_Toc453269012"/>
      <w:bookmarkStart w:id="2252" w:name="_Toc453271907"/>
      <w:bookmarkStart w:id="2253" w:name="_Toc453269013"/>
      <w:bookmarkStart w:id="2254" w:name="_Toc453271908"/>
      <w:bookmarkStart w:id="2255" w:name="_Toc453269014"/>
      <w:bookmarkStart w:id="2256" w:name="_Toc453271909"/>
      <w:bookmarkStart w:id="2257" w:name="_Toc453269015"/>
      <w:bookmarkStart w:id="2258" w:name="_Toc453271910"/>
      <w:bookmarkStart w:id="2259" w:name="_Toc453269016"/>
      <w:bookmarkStart w:id="2260" w:name="_Toc453271911"/>
      <w:bookmarkStart w:id="2261" w:name="_Toc453269017"/>
      <w:bookmarkStart w:id="2262" w:name="_Toc453271912"/>
      <w:bookmarkStart w:id="2263" w:name="_Toc453269018"/>
      <w:bookmarkStart w:id="2264" w:name="_Toc453271913"/>
      <w:bookmarkStart w:id="2265" w:name="_Toc453269019"/>
      <w:bookmarkStart w:id="2266" w:name="_Toc453271914"/>
      <w:bookmarkStart w:id="2267" w:name="_Toc453269020"/>
      <w:bookmarkStart w:id="2268" w:name="_Toc453271915"/>
      <w:bookmarkStart w:id="2269" w:name="_Toc453269021"/>
      <w:bookmarkStart w:id="2270" w:name="_Toc453271916"/>
      <w:bookmarkStart w:id="2271" w:name="_Toc453269022"/>
      <w:bookmarkStart w:id="2272" w:name="_Toc453271917"/>
      <w:bookmarkStart w:id="2273" w:name="_Toc453269023"/>
      <w:bookmarkStart w:id="2274" w:name="_Toc453271918"/>
      <w:bookmarkStart w:id="2275" w:name="_Toc453269024"/>
      <w:bookmarkStart w:id="2276" w:name="_Toc453271919"/>
      <w:bookmarkStart w:id="2277" w:name="_Toc453269025"/>
      <w:bookmarkStart w:id="2278" w:name="_Toc453271920"/>
      <w:bookmarkStart w:id="2279" w:name="_Toc453269026"/>
      <w:bookmarkStart w:id="2280" w:name="_Toc453271921"/>
      <w:bookmarkStart w:id="2281" w:name="_Toc453269027"/>
      <w:bookmarkStart w:id="2282" w:name="_Toc453271922"/>
      <w:bookmarkStart w:id="2283" w:name="_Toc453269028"/>
      <w:bookmarkStart w:id="2284" w:name="_Toc453271923"/>
      <w:bookmarkStart w:id="2285" w:name="_Toc453269039"/>
      <w:bookmarkStart w:id="2286" w:name="_Toc453271934"/>
      <w:bookmarkStart w:id="2287" w:name="_Toc453269040"/>
      <w:bookmarkStart w:id="2288" w:name="_Toc453271935"/>
      <w:bookmarkStart w:id="2289" w:name="_Toc453269054"/>
      <w:bookmarkStart w:id="2290" w:name="_Toc453271949"/>
      <w:bookmarkStart w:id="2291" w:name="_Toc453269063"/>
      <w:bookmarkStart w:id="2292" w:name="_Toc453271958"/>
      <w:bookmarkStart w:id="2293" w:name="_Toc453269064"/>
      <w:bookmarkStart w:id="2294" w:name="_Toc453271959"/>
      <w:bookmarkStart w:id="2295" w:name="_Toc453269071"/>
      <w:bookmarkStart w:id="2296" w:name="_Toc453271966"/>
      <w:bookmarkStart w:id="2297" w:name="_Toc453269072"/>
      <w:bookmarkStart w:id="2298" w:name="_Toc453271967"/>
      <w:bookmarkStart w:id="2299" w:name="_Toc453269073"/>
      <w:bookmarkStart w:id="2300" w:name="_Toc453271968"/>
      <w:bookmarkStart w:id="2301" w:name="_Toc453269074"/>
      <w:bookmarkStart w:id="2302" w:name="_Toc453271969"/>
      <w:bookmarkStart w:id="2303" w:name="_Toc453269075"/>
      <w:bookmarkStart w:id="2304" w:name="_Toc453271970"/>
      <w:bookmarkStart w:id="2305" w:name="_Toc453269076"/>
      <w:bookmarkStart w:id="2306" w:name="_Toc453271971"/>
      <w:bookmarkStart w:id="2307" w:name="_Toc453269077"/>
      <w:bookmarkStart w:id="2308" w:name="_Toc453271972"/>
      <w:bookmarkStart w:id="2309" w:name="_Toc453269078"/>
      <w:bookmarkStart w:id="2310" w:name="_Toc453271973"/>
      <w:bookmarkStart w:id="2311" w:name="_Toc453269079"/>
      <w:bookmarkStart w:id="2312" w:name="_Toc453271974"/>
      <w:bookmarkStart w:id="2313" w:name="_Toc453269080"/>
      <w:bookmarkStart w:id="2314" w:name="_Toc453271975"/>
      <w:bookmarkStart w:id="2315" w:name="_Toc453269081"/>
      <w:bookmarkStart w:id="2316" w:name="_Toc453271976"/>
      <w:bookmarkStart w:id="2317" w:name="_Toc453269082"/>
      <w:bookmarkStart w:id="2318" w:name="_Toc453271977"/>
      <w:bookmarkStart w:id="2319" w:name="_Toc453269083"/>
      <w:bookmarkStart w:id="2320" w:name="_Toc453271978"/>
      <w:bookmarkStart w:id="2321" w:name="_Toc453269084"/>
      <w:bookmarkStart w:id="2322" w:name="_Toc453271979"/>
      <w:bookmarkStart w:id="2323" w:name="_Toc453269085"/>
      <w:bookmarkStart w:id="2324" w:name="_Toc453271980"/>
      <w:bookmarkStart w:id="2325" w:name="_Toc453269086"/>
      <w:bookmarkStart w:id="2326" w:name="_Toc453271981"/>
      <w:bookmarkStart w:id="2327" w:name="_Toc453269087"/>
      <w:bookmarkStart w:id="2328" w:name="_Toc453271982"/>
      <w:bookmarkStart w:id="2329" w:name="_Toc453269088"/>
      <w:bookmarkStart w:id="2330" w:name="_Toc453271983"/>
      <w:bookmarkStart w:id="2331" w:name="_Toc453269089"/>
      <w:bookmarkStart w:id="2332" w:name="_Toc453271984"/>
      <w:bookmarkStart w:id="2333" w:name="_Toc453269090"/>
      <w:bookmarkStart w:id="2334" w:name="_Toc453271985"/>
      <w:bookmarkStart w:id="2335" w:name="_Toc453269091"/>
      <w:bookmarkStart w:id="2336" w:name="_Toc453271986"/>
      <w:bookmarkStart w:id="2337" w:name="_Toc453269092"/>
      <w:bookmarkStart w:id="2338" w:name="_Toc453271987"/>
      <w:bookmarkStart w:id="2339" w:name="_Toc453269103"/>
      <w:bookmarkStart w:id="2340" w:name="_Toc453271998"/>
      <w:bookmarkStart w:id="2341" w:name="_Toc453269111"/>
      <w:bookmarkStart w:id="2342" w:name="_Toc453272006"/>
      <w:bookmarkStart w:id="2343" w:name="_Toc453269115"/>
      <w:bookmarkStart w:id="2344" w:name="_Toc453272010"/>
      <w:bookmarkStart w:id="2345" w:name="_Toc453269116"/>
      <w:bookmarkStart w:id="2346" w:name="_Toc453272011"/>
      <w:bookmarkStart w:id="2347" w:name="_Toc453269117"/>
      <w:bookmarkStart w:id="2348" w:name="_Toc453272012"/>
      <w:bookmarkStart w:id="2349" w:name="_Toc453269118"/>
      <w:bookmarkStart w:id="2350" w:name="_Toc453272013"/>
      <w:bookmarkStart w:id="2351" w:name="_Toc453269119"/>
      <w:bookmarkStart w:id="2352" w:name="_Toc453272014"/>
      <w:bookmarkStart w:id="2353" w:name="_Toc453269120"/>
      <w:bookmarkStart w:id="2354" w:name="_Toc453272015"/>
      <w:bookmarkStart w:id="2355" w:name="_Toc453269121"/>
      <w:bookmarkStart w:id="2356" w:name="_Toc453272016"/>
      <w:bookmarkStart w:id="2357" w:name="_Toc453269122"/>
      <w:bookmarkStart w:id="2358" w:name="_Toc453272017"/>
      <w:bookmarkStart w:id="2359" w:name="_Toc453269123"/>
      <w:bookmarkStart w:id="2360" w:name="_Toc453272018"/>
      <w:bookmarkStart w:id="2361" w:name="_Toc453269124"/>
      <w:bookmarkStart w:id="2362" w:name="_Toc453272019"/>
      <w:bookmarkStart w:id="2363" w:name="_Toc453269125"/>
      <w:bookmarkStart w:id="2364" w:name="_Toc453272020"/>
      <w:bookmarkStart w:id="2365" w:name="_Toc453269126"/>
      <w:bookmarkStart w:id="2366" w:name="_Toc453272021"/>
      <w:bookmarkStart w:id="2367" w:name="_Toc453269127"/>
      <w:bookmarkStart w:id="2368" w:name="_Toc453272022"/>
      <w:bookmarkStart w:id="2369" w:name="_Toc453269128"/>
      <w:bookmarkStart w:id="2370" w:name="_Toc453272023"/>
      <w:bookmarkStart w:id="2371" w:name="_Toc453269129"/>
      <w:bookmarkStart w:id="2372" w:name="_Toc453272024"/>
      <w:bookmarkStart w:id="2373" w:name="_Toc453269130"/>
      <w:bookmarkStart w:id="2374" w:name="_Toc453272025"/>
      <w:bookmarkStart w:id="2375" w:name="_Toc453269139"/>
      <w:bookmarkStart w:id="2376" w:name="_Toc453272034"/>
      <w:bookmarkStart w:id="2377" w:name="_Toc453269140"/>
      <w:bookmarkStart w:id="2378" w:name="_Toc453272035"/>
      <w:bookmarkStart w:id="2379" w:name="_Toc453269141"/>
      <w:bookmarkStart w:id="2380" w:name="_Toc453272036"/>
      <w:bookmarkStart w:id="2381" w:name="_Toc453269142"/>
      <w:bookmarkStart w:id="2382" w:name="_Toc453272037"/>
      <w:bookmarkStart w:id="2383" w:name="_Toc453269151"/>
      <w:bookmarkStart w:id="2384" w:name="_Toc453272046"/>
      <w:bookmarkStart w:id="2385" w:name="_Toc453269152"/>
      <w:bookmarkStart w:id="2386" w:name="_Toc453272047"/>
      <w:bookmarkStart w:id="2387" w:name="_Toc453269153"/>
      <w:bookmarkStart w:id="2388" w:name="_Toc453272048"/>
      <w:bookmarkStart w:id="2389" w:name="_Toc453269154"/>
      <w:bookmarkStart w:id="2390" w:name="_Toc453272049"/>
      <w:bookmarkStart w:id="2391" w:name="_Toc453269163"/>
      <w:bookmarkStart w:id="2392" w:name="_Toc453272058"/>
      <w:bookmarkStart w:id="2393" w:name="_Toc453269164"/>
      <w:bookmarkStart w:id="2394" w:name="_Toc453272059"/>
      <w:bookmarkStart w:id="2395" w:name="_Toc453269165"/>
      <w:bookmarkStart w:id="2396" w:name="_Toc453272060"/>
      <w:bookmarkStart w:id="2397" w:name="_Toc453269166"/>
      <w:bookmarkStart w:id="2398" w:name="_Toc453272061"/>
      <w:bookmarkStart w:id="2399" w:name="_Toc453269167"/>
      <w:bookmarkStart w:id="2400" w:name="_Toc453272062"/>
      <w:bookmarkStart w:id="2401" w:name="_Toc453269168"/>
      <w:bookmarkStart w:id="2402" w:name="_Toc453272063"/>
      <w:bookmarkStart w:id="2403" w:name="_Toc453269169"/>
      <w:bookmarkStart w:id="2404" w:name="_Toc453272064"/>
      <w:bookmarkStart w:id="2405" w:name="_Toc453269170"/>
      <w:bookmarkStart w:id="2406" w:name="_Toc453272065"/>
      <w:bookmarkStart w:id="2407" w:name="_Toc453269171"/>
      <w:bookmarkStart w:id="2408" w:name="_Toc453272066"/>
      <w:bookmarkStart w:id="2409" w:name="_Toc453269172"/>
      <w:bookmarkStart w:id="2410" w:name="_Toc453272067"/>
      <w:bookmarkStart w:id="2411" w:name="_Toc453269173"/>
      <w:bookmarkStart w:id="2412" w:name="_Toc453272068"/>
      <w:bookmarkStart w:id="2413" w:name="_Toc453269174"/>
      <w:bookmarkStart w:id="2414" w:name="_Toc453272069"/>
      <w:bookmarkStart w:id="2415" w:name="_Toc453269187"/>
      <w:bookmarkStart w:id="2416" w:name="_Toc453272082"/>
      <w:bookmarkStart w:id="2417" w:name="_Toc453269188"/>
      <w:bookmarkStart w:id="2418" w:name="_Toc453272083"/>
      <w:bookmarkStart w:id="2419" w:name="_Toc453269198"/>
      <w:bookmarkStart w:id="2420" w:name="_Toc453272093"/>
      <w:bookmarkStart w:id="2421" w:name="_Toc453269199"/>
      <w:bookmarkStart w:id="2422" w:name="_Toc453272094"/>
      <w:bookmarkStart w:id="2423" w:name="_Toc453269200"/>
      <w:bookmarkStart w:id="2424" w:name="_Toc453272095"/>
      <w:bookmarkStart w:id="2425" w:name="_Toc453269201"/>
      <w:bookmarkStart w:id="2426" w:name="_Toc453272096"/>
      <w:bookmarkStart w:id="2427" w:name="_Toc453269211"/>
      <w:bookmarkStart w:id="2428" w:name="_Toc453272106"/>
      <w:bookmarkStart w:id="2429" w:name="_Toc453269212"/>
      <w:bookmarkStart w:id="2430" w:name="_Toc453272107"/>
      <w:bookmarkStart w:id="2431" w:name="_Toc453269213"/>
      <w:bookmarkStart w:id="2432" w:name="_Toc453272108"/>
      <w:bookmarkStart w:id="2433" w:name="_Toc453269214"/>
      <w:bookmarkStart w:id="2434" w:name="_Toc453272109"/>
      <w:bookmarkStart w:id="2435" w:name="_Toc453269215"/>
      <w:bookmarkStart w:id="2436" w:name="_Toc453272110"/>
      <w:bookmarkStart w:id="2437" w:name="_Toc453269216"/>
      <w:bookmarkStart w:id="2438" w:name="_Toc453272111"/>
      <w:bookmarkStart w:id="2439" w:name="_Toc453269217"/>
      <w:bookmarkStart w:id="2440" w:name="_Toc453272112"/>
      <w:bookmarkStart w:id="2441" w:name="_Toc453269218"/>
      <w:bookmarkStart w:id="2442" w:name="_Toc453272113"/>
      <w:bookmarkStart w:id="2443" w:name="_Toc453269219"/>
      <w:bookmarkStart w:id="2444" w:name="_Toc453272114"/>
      <w:bookmarkStart w:id="2445" w:name="_Toc453269220"/>
      <w:bookmarkStart w:id="2446" w:name="_Toc453272115"/>
      <w:bookmarkStart w:id="2447" w:name="_Toc453269221"/>
      <w:bookmarkStart w:id="2448" w:name="_Toc453272116"/>
      <w:bookmarkStart w:id="2449" w:name="_Toc453269222"/>
      <w:bookmarkStart w:id="2450" w:name="_Toc453272117"/>
      <w:bookmarkStart w:id="2451" w:name="_Toc453269223"/>
      <w:bookmarkStart w:id="2452" w:name="_Toc453272118"/>
      <w:bookmarkStart w:id="2453" w:name="_Toc453269224"/>
      <w:bookmarkStart w:id="2454" w:name="_Toc453272119"/>
      <w:bookmarkStart w:id="2455" w:name="_Toc453269225"/>
      <w:bookmarkStart w:id="2456" w:name="_Toc453272120"/>
      <w:bookmarkStart w:id="2457" w:name="_Toc453269226"/>
      <w:bookmarkStart w:id="2458" w:name="_Toc453272121"/>
      <w:bookmarkStart w:id="2459" w:name="_Toc453269227"/>
      <w:bookmarkStart w:id="2460" w:name="_Toc453272122"/>
      <w:bookmarkStart w:id="2461" w:name="_Toc453269228"/>
      <w:bookmarkStart w:id="2462" w:name="_Toc453272123"/>
      <w:bookmarkStart w:id="2463" w:name="_Toc453269229"/>
      <w:bookmarkStart w:id="2464" w:name="_Toc453272124"/>
      <w:bookmarkStart w:id="2465" w:name="_Toc453269230"/>
      <w:bookmarkStart w:id="2466" w:name="_Toc453272125"/>
      <w:bookmarkStart w:id="2467" w:name="_Toc453269231"/>
      <w:bookmarkStart w:id="2468" w:name="_Toc453272126"/>
      <w:bookmarkStart w:id="2469" w:name="_Toc453269232"/>
      <w:bookmarkStart w:id="2470" w:name="_Toc453272127"/>
      <w:bookmarkStart w:id="2471" w:name="_Toc453269233"/>
      <w:bookmarkStart w:id="2472" w:name="_Toc453272128"/>
      <w:bookmarkStart w:id="2473" w:name="_Toc453269234"/>
      <w:bookmarkStart w:id="2474" w:name="_Toc453272129"/>
      <w:bookmarkStart w:id="2475" w:name="_Toc453269235"/>
      <w:bookmarkStart w:id="2476" w:name="_Toc453272130"/>
      <w:bookmarkStart w:id="2477" w:name="_Toc453269236"/>
      <w:bookmarkStart w:id="2478" w:name="_Toc453272131"/>
      <w:bookmarkStart w:id="2479" w:name="_Toc453269237"/>
      <w:bookmarkStart w:id="2480" w:name="_Toc453272132"/>
      <w:bookmarkStart w:id="2481" w:name="_Toc453269238"/>
      <w:bookmarkStart w:id="2482" w:name="_Toc453272133"/>
      <w:bookmarkStart w:id="2483" w:name="_Toc453269239"/>
      <w:bookmarkStart w:id="2484" w:name="_Toc453272134"/>
      <w:bookmarkStart w:id="2485" w:name="_Toc453269240"/>
      <w:bookmarkStart w:id="2486" w:name="_Toc453272135"/>
      <w:bookmarkStart w:id="2487" w:name="_Toc453269241"/>
      <w:bookmarkStart w:id="2488" w:name="_Toc453272136"/>
      <w:bookmarkStart w:id="2489" w:name="_Toc453269248"/>
      <w:bookmarkStart w:id="2490" w:name="_Toc453272143"/>
      <w:bookmarkStart w:id="2491" w:name="_Toc453269249"/>
      <w:bookmarkStart w:id="2492" w:name="_Toc453272144"/>
      <w:bookmarkStart w:id="2493" w:name="_Toc453269250"/>
      <w:bookmarkStart w:id="2494" w:name="_Toc453272145"/>
      <w:bookmarkStart w:id="2495" w:name="_Toc453269251"/>
      <w:bookmarkStart w:id="2496" w:name="_Toc453272146"/>
      <w:bookmarkStart w:id="2497" w:name="_Toc453269252"/>
      <w:bookmarkStart w:id="2498" w:name="_Toc453272147"/>
      <w:bookmarkStart w:id="2499" w:name="_Toc453269253"/>
      <w:bookmarkStart w:id="2500" w:name="_Toc453272148"/>
      <w:bookmarkStart w:id="2501" w:name="_Toc453269254"/>
      <w:bookmarkStart w:id="2502" w:name="_Toc453272149"/>
      <w:bookmarkStart w:id="2503" w:name="_Toc453269255"/>
      <w:bookmarkStart w:id="2504" w:name="_Toc453272150"/>
      <w:bookmarkStart w:id="2505" w:name="_Toc453269256"/>
      <w:bookmarkStart w:id="2506" w:name="_Toc453272151"/>
      <w:bookmarkStart w:id="2507" w:name="_Toc453269257"/>
      <w:bookmarkStart w:id="2508" w:name="_Toc453272152"/>
      <w:bookmarkStart w:id="2509" w:name="_Toc453269258"/>
      <w:bookmarkStart w:id="2510" w:name="_Toc453272153"/>
      <w:bookmarkStart w:id="2511" w:name="_Toc453269259"/>
      <w:bookmarkStart w:id="2512" w:name="_Toc453272154"/>
      <w:bookmarkStart w:id="2513" w:name="_Toc453269260"/>
      <w:bookmarkStart w:id="2514" w:name="_Toc453272155"/>
      <w:bookmarkStart w:id="2515" w:name="_Toc453269261"/>
      <w:bookmarkStart w:id="2516" w:name="_Toc453272156"/>
      <w:bookmarkStart w:id="2517" w:name="_Toc453269262"/>
      <w:bookmarkStart w:id="2518" w:name="_Toc453272157"/>
      <w:bookmarkStart w:id="2519" w:name="_Toc453269263"/>
      <w:bookmarkStart w:id="2520" w:name="_Toc453272158"/>
      <w:bookmarkStart w:id="2521" w:name="_Toc453269276"/>
      <w:bookmarkStart w:id="2522" w:name="_Toc453272171"/>
      <w:bookmarkStart w:id="2523" w:name="_Toc453269277"/>
      <w:bookmarkStart w:id="2524" w:name="_Toc453272172"/>
      <w:bookmarkStart w:id="2525" w:name="_Toc453269278"/>
      <w:bookmarkStart w:id="2526" w:name="_Toc453272173"/>
      <w:bookmarkStart w:id="2527" w:name="_Toc453269279"/>
      <w:bookmarkStart w:id="2528" w:name="_Toc453272174"/>
      <w:bookmarkStart w:id="2529" w:name="_Toc453269280"/>
      <w:bookmarkStart w:id="2530" w:name="_Toc453272175"/>
      <w:bookmarkStart w:id="2531" w:name="_Toc453269281"/>
      <w:bookmarkStart w:id="2532" w:name="_Toc453272176"/>
      <w:bookmarkStart w:id="2533" w:name="_Toc453269282"/>
      <w:bookmarkStart w:id="2534" w:name="_Toc453272177"/>
      <w:bookmarkStart w:id="2535" w:name="_Toc453269283"/>
      <w:bookmarkStart w:id="2536" w:name="_Toc453272178"/>
      <w:bookmarkStart w:id="2537" w:name="_Toc453269284"/>
      <w:bookmarkStart w:id="2538" w:name="_Toc453272179"/>
      <w:bookmarkStart w:id="2539" w:name="_Toc453269285"/>
      <w:bookmarkStart w:id="2540" w:name="_Toc453272180"/>
      <w:bookmarkStart w:id="2541" w:name="_Toc453269286"/>
      <w:bookmarkStart w:id="2542" w:name="_Toc453272181"/>
      <w:bookmarkStart w:id="2543" w:name="_Toc453269287"/>
      <w:bookmarkStart w:id="2544" w:name="_Toc453272182"/>
      <w:bookmarkStart w:id="2545" w:name="_Toc453269288"/>
      <w:bookmarkStart w:id="2546" w:name="_Toc453272183"/>
      <w:bookmarkStart w:id="2547" w:name="_Toc453269289"/>
      <w:bookmarkStart w:id="2548" w:name="_Toc453272184"/>
      <w:bookmarkStart w:id="2549" w:name="_Toc453269290"/>
      <w:bookmarkStart w:id="2550" w:name="_Toc453272185"/>
      <w:bookmarkStart w:id="2551" w:name="_Toc453269291"/>
      <w:bookmarkStart w:id="2552" w:name="_Toc453272186"/>
      <w:bookmarkStart w:id="2553" w:name="_Toc453269292"/>
      <w:bookmarkStart w:id="2554" w:name="_Toc453272187"/>
      <w:bookmarkStart w:id="2555" w:name="_Toc453269293"/>
      <w:bookmarkStart w:id="2556" w:name="_Toc453272188"/>
      <w:bookmarkStart w:id="2557" w:name="_Toc453269294"/>
      <w:bookmarkStart w:id="2558" w:name="_Toc453272189"/>
      <w:bookmarkStart w:id="2559" w:name="_Toc453269295"/>
      <w:bookmarkStart w:id="2560" w:name="_Toc453272190"/>
      <w:bookmarkStart w:id="2561" w:name="_Toc453269296"/>
      <w:bookmarkStart w:id="2562" w:name="_Toc453272191"/>
      <w:bookmarkStart w:id="2563" w:name="_Toc453269297"/>
      <w:bookmarkStart w:id="2564" w:name="_Toc453272192"/>
      <w:bookmarkStart w:id="2565" w:name="_Toc453269304"/>
      <w:bookmarkStart w:id="2566" w:name="_Toc453272199"/>
      <w:bookmarkStart w:id="2567" w:name="_Toc453269305"/>
      <w:bookmarkStart w:id="2568" w:name="_Toc453272200"/>
      <w:bookmarkStart w:id="2569" w:name="_Toc453269306"/>
      <w:bookmarkStart w:id="2570" w:name="_Toc453272201"/>
      <w:bookmarkStart w:id="2571" w:name="_Toc453269307"/>
      <w:bookmarkStart w:id="2572" w:name="_Toc453272202"/>
      <w:bookmarkStart w:id="2573" w:name="_Toc453269314"/>
      <w:bookmarkStart w:id="2574" w:name="_Toc453272209"/>
      <w:bookmarkStart w:id="2575" w:name="_Toc453269320"/>
      <w:bookmarkStart w:id="2576" w:name="_Toc453272215"/>
      <w:bookmarkStart w:id="2577" w:name="_Toc453269323"/>
      <w:bookmarkStart w:id="2578" w:name="_Toc453272218"/>
      <w:bookmarkStart w:id="2579" w:name="_Toc453269324"/>
      <w:bookmarkStart w:id="2580" w:name="_Toc453272219"/>
      <w:bookmarkStart w:id="2581" w:name="_Toc453269325"/>
      <w:bookmarkStart w:id="2582" w:name="_Toc453272220"/>
      <w:bookmarkStart w:id="2583" w:name="_Toc453269326"/>
      <w:bookmarkStart w:id="2584" w:name="_Toc453272221"/>
      <w:bookmarkStart w:id="2585" w:name="_Toc453269327"/>
      <w:bookmarkStart w:id="2586" w:name="_Toc453272222"/>
      <w:bookmarkStart w:id="2587" w:name="_Toc453269328"/>
      <w:bookmarkStart w:id="2588" w:name="_Toc453272223"/>
      <w:bookmarkStart w:id="2589" w:name="_Toc453269329"/>
      <w:bookmarkStart w:id="2590" w:name="_Toc453272224"/>
      <w:bookmarkStart w:id="2591" w:name="_Toc453269330"/>
      <w:bookmarkStart w:id="2592" w:name="_Toc453272225"/>
      <w:bookmarkStart w:id="2593" w:name="_Toc453269331"/>
      <w:bookmarkStart w:id="2594" w:name="_Toc453272226"/>
      <w:bookmarkStart w:id="2595" w:name="_Toc453269332"/>
      <w:bookmarkStart w:id="2596" w:name="_Toc453272227"/>
      <w:bookmarkStart w:id="2597" w:name="_Toc453269333"/>
      <w:bookmarkStart w:id="2598" w:name="_Toc453272228"/>
      <w:bookmarkStart w:id="2599" w:name="_Toc453269334"/>
      <w:bookmarkStart w:id="2600" w:name="_Toc453272229"/>
      <w:bookmarkStart w:id="2601" w:name="_Toc453269335"/>
      <w:bookmarkStart w:id="2602" w:name="_Toc453272230"/>
      <w:bookmarkStart w:id="2603" w:name="_Toc453269371"/>
      <w:bookmarkStart w:id="2604" w:name="_Toc453272266"/>
      <w:bookmarkStart w:id="2605" w:name="_Toc453269372"/>
      <w:bookmarkStart w:id="2606" w:name="_Toc453272267"/>
      <w:bookmarkStart w:id="2607" w:name="_Toc453269373"/>
      <w:bookmarkStart w:id="2608" w:name="_Toc453272268"/>
      <w:bookmarkStart w:id="2609" w:name="_Toc453269374"/>
      <w:bookmarkStart w:id="2610" w:name="_Toc453272269"/>
      <w:bookmarkStart w:id="2611" w:name="_Toc453269375"/>
      <w:bookmarkStart w:id="2612" w:name="_Toc453272270"/>
      <w:bookmarkStart w:id="2613" w:name="_Toc453269376"/>
      <w:bookmarkStart w:id="2614" w:name="_Toc453272271"/>
      <w:bookmarkStart w:id="2615" w:name="_Toc453269377"/>
      <w:bookmarkStart w:id="2616" w:name="_Toc453272272"/>
      <w:bookmarkStart w:id="2617" w:name="_Toc453269378"/>
      <w:bookmarkStart w:id="2618" w:name="_Toc453272273"/>
      <w:bookmarkStart w:id="2619" w:name="_Toc453269379"/>
      <w:bookmarkStart w:id="2620" w:name="_Toc453272274"/>
      <w:bookmarkStart w:id="2621" w:name="_Toc453269380"/>
      <w:bookmarkStart w:id="2622" w:name="_Toc453272275"/>
      <w:bookmarkStart w:id="2623" w:name="_Toc453269381"/>
      <w:bookmarkStart w:id="2624" w:name="_Toc453272276"/>
      <w:bookmarkStart w:id="2625" w:name="_Toc453269382"/>
      <w:bookmarkStart w:id="2626" w:name="_Toc453272277"/>
      <w:bookmarkStart w:id="2627" w:name="_Toc453269383"/>
      <w:bookmarkStart w:id="2628" w:name="_Toc453272278"/>
      <w:bookmarkStart w:id="2629" w:name="_Toc453269384"/>
      <w:bookmarkStart w:id="2630" w:name="_Toc453272279"/>
      <w:bookmarkStart w:id="2631" w:name="_Toc453269385"/>
      <w:bookmarkStart w:id="2632" w:name="_Toc453272280"/>
      <w:bookmarkStart w:id="2633" w:name="_Toc453269386"/>
      <w:bookmarkStart w:id="2634" w:name="_Toc453272281"/>
      <w:bookmarkStart w:id="2635" w:name="_Toc453269387"/>
      <w:bookmarkStart w:id="2636" w:name="_Toc453272282"/>
      <w:bookmarkStart w:id="2637" w:name="_Toc453269388"/>
      <w:bookmarkStart w:id="2638" w:name="_Toc453272283"/>
      <w:bookmarkStart w:id="2639" w:name="_Toc453269389"/>
      <w:bookmarkStart w:id="2640" w:name="_Toc453272284"/>
      <w:bookmarkStart w:id="2641" w:name="_Toc453269390"/>
      <w:bookmarkStart w:id="2642" w:name="_Toc453272285"/>
      <w:bookmarkStart w:id="2643" w:name="_Toc453269391"/>
      <w:bookmarkStart w:id="2644" w:name="_Toc453272286"/>
      <w:bookmarkStart w:id="2645" w:name="_Toc453269392"/>
      <w:bookmarkStart w:id="2646" w:name="_Toc453272287"/>
      <w:bookmarkStart w:id="2647" w:name="_Toc453269393"/>
      <w:bookmarkStart w:id="2648" w:name="_Toc453272288"/>
      <w:bookmarkStart w:id="2649" w:name="_Toc453269394"/>
      <w:bookmarkStart w:id="2650" w:name="_Toc453272289"/>
      <w:bookmarkStart w:id="2651" w:name="_Toc453269395"/>
      <w:bookmarkStart w:id="2652" w:name="_Toc453272290"/>
      <w:bookmarkStart w:id="2653" w:name="_Toc453269396"/>
      <w:bookmarkStart w:id="2654" w:name="_Toc453272291"/>
      <w:bookmarkStart w:id="2655" w:name="_Toc453269397"/>
      <w:bookmarkStart w:id="2656" w:name="_Toc453272292"/>
      <w:bookmarkStart w:id="2657" w:name="_Toc453269398"/>
      <w:bookmarkStart w:id="2658" w:name="_Toc453272293"/>
      <w:bookmarkStart w:id="2659" w:name="_Toc453269399"/>
      <w:bookmarkStart w:id="2660" w:name="_Toc453272294"/>
      <w:bookmarkStart w:id="2661" w:name="_Toc453269400"/>
      <w:bookmarkStart w:id="2662" w:name="_Toc453272295"/>
      <w:bookmarkStart w:id="2663" w:name="_Toc453269401"/>
      <w:bookmarkStart w:id="2664" w:name="_Toc453272296"/>
      <w:bookmarkStart w:id="2665" w:name="_Toc453269402"/>
      <w:bookmarkStart w:id="2666" w:name="_Toc453272297"/>
      <w:bookmarkStart w:id="2667" w:name="_Toc453269403"/>
      <w:bookmarkStart w:id="2668" w:name="_Toc453272298"/>
      <w:bookmarkStart w:id="2669" w:name="_Toc453269404"/>
      <w:bookmarkStart w:id="2670" w:name="_Toc453272299"/>
      <w:bookmarkStart w:id="2671" w:name="_Toc453269405"/>
      <w:bookmarkStart w:id="2672" w:name="_Toc453272300"/>
      <w:bookmarkStart w:id="2673" w:name="_Toc453269406"/>
      <w:bookmarkStart w:id="2674" w:name="_Toc453272301"/>
      <w:bookmarkStart w:id="2675" w:name="_Toc453269407"/>
      <w:bookmarkStart w:id="2676" w:name="_Toc453272302"/>
      <w:bookmarkStart w:id="2677" w:name="_Toc453269408"/>
      <w:bookmarkStart w:id="2678" w:name="_Toc453272303"/>
      <w:bookmarkStart w:id="2679" w:name="_Toc453269409"/>
      <w:bookmarkStart w:id="2680" w:name="_Toc453272304"/>
      <w:bookmarkStart w:id="2681" w:name="_Toc453269410"/>
      <w:bookmarkStart w:id="2682" w:name="_Toc453272305"/>
      <w:bookmarkStart w:id="2683" w:name="_Toc453269411"/>
      <w:bookmarkStart w:id="2684" w:name="_Toc453272306"/>
      <w:bookmarkStart w:id="2685" w:name="_Toc453269412"/>
      <w:bookmarkStart w:id="2686" w:name="_Toc453272307"/>
      <w:bookmarkStart w:id="2687" w:name="_Toc453269424"/>
      <w:bookmarkStart w:id="2688" w:name="_Toc453272319"/>
      <w:bookmarkStart w:id="2689" w:name="_Toc453269425"/>
      <w:bookmarkStart w:id="2690" w:name="_Toc453272320"/>
      <w:bookmarkStart w:id="2691" w:name="_Toc453269426"/>
      <w:bookmarkStart w:id="2692" w:name="_Toc453272321"/>
      <w:bookmarkStart w:id="2693" w:name="_Toc453269427"/>
      <w:bookmarkStart w:id="2694" w:name="_Toc453272322"/>
      <w:bookmarkStart w:id="2695" w:name="_Toc453269428"/>
      <w:bookmarkStart w:id="2696" w:name="_Toc453272323"/>
      <w:bookmarkStart w:id="2697" w:name="_Toc453269429"/>
      <w:bookmarkStart w:id="2698" w:name="_Toc453272324"/>
      <w:bookmarkStart w:id="2699" w:name="_Toc453269430"/>
      <w:bookmarkStart w:id="2700" w:name="_Toc453272325"/>
      <w:bookmarkStart w:id="2701" w:name="_Toc453269442"/>
      <w:bookmarkStart w:id="2702" w:name="_Toc453272337"/>
      <w:bookmarkStart w:id="2703" w:name="_Toc453269443"/>
      <w:bookmarkStart w:id="2704" w:name="_Toc453272338"/>
      <w:bookmarkStart w:id="2705" w:name="_Toc453269444"/>
      <w:bookmarkStart w:id="2706" w:name="_Toc453272339"/>
      <w:bookmarkStart w:id="2707" w:name="_Toc453269445"/>
      <w:bookmarkStart w:id="2708" w:name="_Toc453272340"/>
      <w:bookmarkStart w:id="2709" w:name="_Toc453269446"/>
      <w:bookmarkStart w:id="2710" w:name="_Toc453272341"/>
      <w:bookmarkStart w:id="2711" w:name="_Toc453269447"/>
      <w:bookmarkStart w:id="2712" w:name="_Toc453272342"/>
      <w:bookmarkStart w:id="2713" w:name="_Toc453269448"/>
      <w:bookmarkStart w:id="2714" w:name="_Toc453272343"/>
      <w:bookmarkStart w:id="2715" w:name="_Toc453269449"/>
      <w:bookmarkStart w:id="2716" w:name="_Toc453272344"/>
      <w:bookmarkStart w:id="2717" w:name="_Toc453269450"/>
      <w:bookmarkStart w:id="2718" w:name="_Toc453272345"/>
      <w:bookmarkStart w:id="2719" w:name="_Toc453269451"/>
      <w:bookmarkStart w:id="2720" w:name="_Toc453272346"/>
      <w:bookmarkStart w:id="2721" w:name="_Toc453269452"/>
      <w:bookmarkStart w:id="2722" w:name="_Toc453272347"/>
      <w:bookmarkStart w:id="2723" w:name="_Toc453269453"/>
      <w:bookmarkStart w:id="2724" w:name="_Toc453272348"/>
      <w:bookmarkStart w:id="2725" w:name="_Toc453269454"/>
      <w:bookmarkStart w:id="2726" w:name="_Toc453272349"/>
      <w:bookmarkStart w:id="2727" w:name="_Toc453269455"/>
      <w:bookmarkStart w:id="2728" w:name="_Toc453272350"/>
      <w:bookmarkStart w:id="2729" w:name="_Toc453269456"/>
      <w:bookmarkStart w:id="2730" w:name="_Toc453272351"/>
      <w:bookmarkStart w:id="2731" w:name="_Toc453269457"/>
      <w:bookmarkStart w:id="2732" w:name="_Toc453272352"/>
      <w:bookmarkStart w:id="2733" w:name="_Toc453269458"/>
      <w:bookmarkStart w:id="2734" w:name="_Toc453272353"/>
      <w:bookmarkStart w:id="2735" w:name="_Toc453269459"/>
      <w:bookmarkStart w:id="2736" w:name="_Toc453272354"/>
      <w:bookmarkStart w:id="2737" w:name="_Toc453269460"/>
      <w:bookmarkStart w:id="2738" w:name="_Toc453272355"/>
      <w:bookmarkStart w:id="2739" w:name="_Toc453269501"/>
      <w:bookmarkStart w:id="2740" w:name="_Toc453272396"/>
      <w:bookmarkStart w:id="2741" w:name="_Toc453269502"/>
      <w:bookmarkStart w:id="2742" w:name="_Toc453272397"/>
      <w:bookmarkStart w:id="2743" w:name="_Toc453269503"/>
      <w:bookmarkStart w:id="2744" w:name="_Toc453272398"/>
      <w:bookmarkStart w:id="2745" w:name="_Toc453269504"/>
      <w:bookmarkStart w:id="2746" w:name="_Toc453272399"/>
      <w:bookmarkStart w:id="2747" w:name="_Toc453269505"/>
      <w:bookmarkStart w:id="2748" w:name="_Toc453272400"/>
      <w:bookmarkStart w:id="2749" w:name="_Toc453269515"/>
      <w:bookmarkStart w:id="2750" w:name="_Toc453272410"/>
      <w:bookmarkStart w:id="2751" w:name="_Toc453269516"/>
      <w:bookmarkStart w:id="2752" w:name="_Toc453272411"/>
      <w:bookmarkStart w:id="2753" w:name="_Toc453269517"/>
      <w:bookmarkStart w:id="2754" w:name="_Toc453272412"/>
      <w:bookmarkStart w:id="2755" w:name="_Toc453269518"/>
      <w:bookmarkStart w:id="2756" w:name="_Toc453272413"/>
      <w:bookmarkStart w:id="2757" w:name="_Toc453269519"/>
      <w:bookmarkStart w:id="2758" w:name="_Toc453272414"/>
      <w:bookmarkStart w:id="2759" w:name="_Toc453269520"/>
      <w:bookmarkStart w:id="2760" w:name="_Toc453272415"/>
      <w:bookmarkStart w:id="2761" w:name="_Toc453269521"/>
      <w:bookmarkStart w:id="2762" w:name="_Toc453272416"/>
      <w:bookmarkStart w:id="2763" w:name="_Toc453269522"/>
      <w:bookmarkStart w:id="2764" w:name="_Toc453272417"/>
      <w:bookmarkStart w:id="2765" w:name="_Toc453269523"/>
      <w:bookmarkStart w:id="2766" w:name="_Toc453272418"/>
      <w:bookmarkStart w:id="2767" w:name="_Toc453269524"/>
      <w:bookmarkStart w:id="2768" w:name="_Toc453272419"/>
      <w:bookmarkStart w:id="2769" w:name="_Toc453269525"/>
      <w:bookmarkStart w:id="2770" w:name="_Toc453272420"/>
      <w:bookmarkStart w:id="2771" w:name="_Toc453269526"/>
      <w:bookmarkStart w:id="2772" w:name="_Toc453272421"/>
      <w:bookmarkStart w:id="2773" w:name="_Toc453269527"/>
      <w:bookmarkStart w:id="2774" w:name="_Toc453272422"/>
      <w:bookmarkStart w:id="2775" w:name="_Toc453269528"/>
      <w:bookmarkStart w:id="2776" w:name="_Toc453272423"/>
      <w:bookmarkStart w:id="2777" w:name="_Toc453269529"/>
      <w:bookmarkStart w:id="2778" w:name="_Toc453272424"/>
      <w:bookmarkStart w:id="2779" w:name="_Toc453269530"/>
      <w:bookmarkStart w:id="2780" w:name="_Toc453272425"/>
      <w:bookmarkStart w:id="2781" w:name="_Toc453269531"/>
      <w:bookmarkStart w:id="2782" w:name="_Toc453272426"/>
      <w:bookmarkStart w:id="2783" w:name="_Toc453269532"/>
      <w:bookmarkStart w:id="2784" w:name="_Toc453272427"/>
      <w:bookmarkStart w:id="2785" w:name="_Toc453269533"/>
      <w:bookmarkStart w:id="2786" w:name="_Toc453272428"/>
      <w:bookmarkStart w:id="2787" w:name="_Toc453269534"/>
      <w:bookmarkStart w:id="2788" w:name="_Toc453272429"/>
      <w:bookmarkStart w:id="2789" w:name="_Toc453269535"/>
      <w:bookmarkStart w:id="2790" w:name="_Toc453272430"/>
      <w:bookmarkStart w:id="2791" w:name="_Toc453269536"/>
      <w:bookmarkStart w:id="2792" w:name="_Toc453272431"/>
      <w:bookmarkStart w:id="2793" w:name="_Toc453269537"/>
      <w:bookmarkStart w:id="2794" w:name="_Toc453272432"/>
      <w:bookmarkStart w:id="2795" w:name="_Toc453269538"/>
      <w:bookmarkStart w:id="2796" w:name="_Toc453272433"/>
      <w:bookmarkStart w:id="2797" w:name="_Toc453269539"/>
      <w:bookmarkStart w:id="2798" w:name="_Toc453272434"/>
      <w:bookmarkStart w:id="2799" w:name="_Toc453269540"/>
      <w:bookmarkStart w:id="2800" w:name="_Toc453272435"/>
      <w:bookmarkStart w:id="2801" w:name="_Toc453269541"/>
      <w:bookmarkStart w:id="2802" w:name="_Toc453272436"/>
      <w:bookmarkStart w:id="2803" w:name="_Toc453269542"/>
      <w:bookmarkStart w:id="2804" w:name="_Toc453272437"/>
      <w:bookmarkStart w:id="2805" w:name="_Toc453269543"/>
      <w:bookmarkStart w:id="2806" w:name="_Toc453272438"/>
      <w:bookmarkStart w:id="2807" w:name="_Toc453269561"/>
      <w:bookmarkStart w:id="2808" w:name="_Toc453272456"/>
      <w:bookmarkStart w:id="2809" w:name="_Toc453269562"/>
      <w:bookmarkStart w:id="2810" w:name="_Toc453272457"/>
      <w:bookmarkStart w:id="2811" w:name="_Toc453269563"/>
      <w:bookmarkStart w:id="2812" w:name="_Toc453272458"/>
      <w:bookmarkStart w:id="2813" w:name="_Toc453269564"/>
      <w:bookmarkStart w:id="2814" w:name="_Toc453272459"/>
      <w:bookmarkStart w:id="2815" w:name="_Toc453269565"/>
      <w:bookmarkStart w:id="2816" w:name="_Toc453272460"/>
      <w:bookmarkStart w:id="2817" w:name="_Toc453269566"/>
      <w:bookmarkStart w:id="2818" w:name="_Toc453272461"/>
      <w:bookmarkStart w:id="2819" w:name="_Toc453269567"/>
      <w:bookmarkStart w:id="2820" w:name="_Toc453272462"/>
      <w:bookmarkStart w:id="2821" w:name="_Toc453269568"/>
      <w:bookmarkStart w:id="2822" w:name="_Toc453272463"/>
      <w:bookmarkStart w:id="2823" w:name="_Toc453269569"/>
      <w:bookmarkStart w:id="2824" w:name="_Toc453272464"/>
      <w:bookmarkStart w:id="2825" w:name="_Toc453269570"/>
      <w:bookmarkStart w:id="2826" w:name="_Toc453272465"/>
      <w:bookmarkStart w:id="2827" w:name="_Toc453269571"/>
      <w:bookmarkStart w:id="2828" w:name="_Toc453272466"/>
      <w:bookmarkStart w:id="2829" w:name="_Toc453269572"/>
      <w:bookmarkStart w:id="2830" w:name="_Toc453272467"/>
      <w:bookmarkStart w:id="2831" w:name="_Toc453269573"/>
      <w:bookmarkStart w:id="2832" w:name="_Toc453272468"/>
      <w:bookmarkStart w:id="2833" w:name="_Toc453269574"/>
      <w:bookmarkStart w:id="2834" w:name="_Toc453272469"/>
      <w:bookmarkStart w:id="2835" w:name="_Toc453269581"/>
      <w:bookmarkStart w:id="2836" w:name="_Toc453272476"/>
      <w:bookmarkStart w:id="2837" w:name="_Toc453269582"/>
      <w:bookmarkStart w:id="2838" w:name="_Toc453272477"/>
      <w:bookmarkStart w:id="2839" w:name="_Toc453269583"/>
      <w:bookmarkStart w:id="2840" w:name="_Toc453272478"/>
      <w:bookmarkStart w:id="2841" w:name="_Toc453269584"/>
      <w:bookmarkStart w:id="2842" w:name="_Toc453272479"/>
      <w:bookmarkStart w:id="2843" w:name="_Toc453269585"/>
      <w:bookmarkStart w:id="2844" w:name="_Toc453272480"/>
      <w:bookmarkStart w:id="2845" w:name="_Toc453269586"/>
      <w:bookmarkStart w:id="2846" w:name="_Toc453272481"/>
      <w:bookmarkStart w:id="2847" w:name="_Toc453269587"/>
      <w:bookmarkStart w:id="2848" w:name="_Toc453272482"/>
      <w:bookmarkStart w:id="2849" w:name="_Toc453269588"/>
      <w:bookmarkStart w:id="2850" w:name="_Toc453272483"/>
      <w:bookmarkStart w:id="2851" w:name="_Toc453269589"/>
      <w:bookmarkStart w:id="2852" w:name="_Toc453272484"/>
      <w:bookmarkStart w:id="2853" w:name="_Toc453269590"/>
      <w:bookmarkStart w:id="2854" w:name="_Toc453272485"/>
      <w:bookmarkStart w:id="2855" w:name="_Toc453269591"/>
      <w:bookmarkStart w:id="2856" w:name="_Toc453272486"/>
      <w:bookmarkStart w:id="2857" w:name="_Toc453269592"/>
      <w:bookmarkStart w:id="2858" w:name="_Toc453272487"/>
      <w:bookmarkStart w:id="2859" w:name="_Toc453269593"/>
      <w:bookmarkStart w:id="2860" w:name="_Toc453272488"/>
      <w:bookmarkStart w:id="2861" w:name="_Toc453269594"/>
      <w:bookmarkStart w:id="2862" w:name="_Toc453272489"/>
      <w:bookmarkStart w:id="2863" w:name="_Toc453269595"/>
      <w:bookmarkStart w:id="2864" w:name="_Toc453272490"/>
      <w:bookmarkStart w:id="2865" w:name="_Toc453269606"/>
      <w:bookmarkStart w:id="2866" w:name="_Toc453272501"/>
      <w:bookmarkStart w:id="2867" w:name="_Toc453269607"/>
      <w:bookmarkStart w:id="2868" w:name="_Toc453272502"/>
      <w:bookmarkStart w:id="2869" w:name="_Toc453269608"/>
      <w:bookmarkStart w:id="2870" w:name="_Toc453272503"/>
      <w:bookmarkStart w:id="2871" w:name="_Toc453269609"/>
      <w:bookmarkStart w:id="2872" w:name="_Toc453272504"/>
      <w:bookmarkStart w:id="2873" w:name="_Toc453269620"/>
      <w:bookmarkStart w:id="2874" w:name="_Toc453272515"/>
      <w:bookmarkStart w:id="2875" w:name="_Toc453269621"/>
      <w:bookmarkStart w:id="2876" w:name="_Toc453272516"/>
      <w:bookmarkStart w:id="2877" w:name="_Toc453269622"/>
      <w:bookmarkStart w:id="2878" w:name="_Toc453272517"/>
      <w:bookmarkStart w:id="2879" w:name="_Toc453269623"/>
      <w:bookmarkStart w:id="2880" w:name="_Toc453272518"/>
      <w:bookmarkStart w:id="2881" w:name="_Toc453269624"/>
      <w:bookmarkStart w:id="2882" w:name="_Toc453272519"/>
      <w:bookmarkStart w:id="2883" w:name="_Toc453269625"/>
      <w:bookmarkStart w:id="2884" w:name="_Toc453272520"/>
      <w:bookmarkStart w:id="2885" w:name="_Toc453269626"/>
      <w:bookmarkStart w:id="2886" w:name="_Toc453272521"/>
      <w:bookmarkStart w:id="2887" w:name="_Toc453269627"/>
      <w:bookmarkStart w:id="2888" w:name="_Toc453272522"/>
      <w:bookmarkStart w:id="2889" w:name="_Toc453269628"/>
      <w:bookmarkStart w:id="2890" w:name="_Toc453272523"/>
      <w:bookmarkStart w:id="2891" w:name="_Toc453269629"/>
      <w:bookmarkStart w:id="2892" w:name="_Toc453272524"/>
      <w:bookmarkStart w:id="2893" w:name="_Toc453269630"/>
      <w:bookmarkStart w:id="2894" w:name="_Toc453272525"/>
      <w:bookmarkStart w:id="2895" w:name="_Toc453269631"/>
      <w:bookmarkStart w:id="2896" w:name="_Toc453272526"/>
      <w:bookmarkStart w:id="2897" w:name="_Toc453269632"/>
      <w:bookmarkStart w:id="2898" w:name="_Toc453272527"/>
      <w:bookmarkStart w:id="2899" w:name="_Toc453269633"/>
      <w:bookmarkStart w:id="2900" w:name="_Toc453272528"/>
      <w:bookmarkStart w:id="2901" w:name="_Toc453269634"/>
      <w:bookmarkStart w:id="2902" w:name="_Toc453272529"/>
      <w:bookmarkStart w:id="2903" w:name="_Toc453269635"/>
      <w:bookmarkStart w:id="2904" w:name="_Toc453272530"/>
      <w:bookmarkStart w:id="2905" w:name="_Toc453269636"/>
      <w:bookmarkStart w:id="2906" w:name="_Toc453272531"/>
      <w:bookmarkStart w:id="2907" w:name="_Toc453269637"/>
      <w:bookmarkStart w:id="2908" w:name="_Toc453272532"/>
      <w:bookmarkStart w:id="2909" w:name="_Toc453269638"/>
      <w:bookmarkStart w:id="2910" w:name="_Toc453272533"/>
      <w:bookmarkStart w:id="2911" w:name="_Toc453269639"/>
      <w:bookmarkStart w:id="2912" w:name="_Toc453272534"/>
      <w:bookmarkStart w:id="2913" w:name="_Toc453269640"/>
      <w:bookmarkStart w:id="2914" w:name="_Toc453272535"/>
      <w:bookmarkStart w:id="2915" w:name="_Toc453269641"/>
      <w:bookmarkStart w:id="2916" w:name="_Toc453272536"/>
      <w:bookmarkStart w:id="2917" w:name="_Toc453269642"/>
      <w:bookmarkStart w:id="2918" w:name="_Toc453272537"/>
      <w:bookmarkStart w:id="2919" w:name="_Toc453269643"/>
      <w:bookmarkStart w:id="2920" w:name="_Toc453272538"/>
      <w:bookmarkStart w:id="2921" w:name="_Toc453269644"/>
      <w:bookmarkStart w:id="2922" w:name="_Toc453272539"/>
      <w:bookmarkStart w:id="2923" w:name="_Toc453269645"/>
      <w:bookmarkStart w:id="2924" w:name="_Toc453272540"/>
      <w:bookmarkStart w:id="2925" w:name="_Toc453269646"/>
      <w:bookmarkStart w:id="2926" w:name="_Toc453272541"/>
      <w:bookmarkStart w:id="2927" w:name="_Toc453269647"/>
      <w:bookmarkStart w:id="2928" w:name="_Toc453272542"/>
      <w:bookmarkStart w:id="2929" w:name="_Toc453269648"/>
      <w:bookmarkStart w:id="2930" w:name="_Toc453272543"/>
      <w:bookmarkStart w:id="2931" w:name="_Toc453269649"/>
      <w:bookmarkStart w:id="2932" w:name="_Toc453272544"/>
      <w:bookmarkStart w:id="2933" w:name="_Toc453269650"/>
      <w:bookmarkStart w:id="2934" w:name="_Toc453272545"/>
      <w:bookmarkStart w:id="2935" w:name="_Toc453269651"/>
      <w:bookmarkStart w:id="2936" w:name="_Toc453272546"/>
      <w:bookmarkStart w:id="2937" w:name="_Toc453269652"/>
      <w:bookmarkStart w:id="2938" w:name="_Toc453272547"/>
      <w:bookmarkStart w:id="2939" w:name="_Toc453269653"/>
      <w:bookmarkStart w:id="2940" w:name="_Toc453272548"/>
      <w:bookmarkStart w:id="2941" w:name="_Toc453269654"/>
      <w:bookmarkStart w:id="2942" w:name="_Toc453272549"/>
      <w:bookmarkStart w:id="2943" w:name="_Toc453269655"/>
      <w:bookmarkStart w:id="2944" w:name="_Toc453272550"/>
      <w:bookmarkStart w:id="2945" w:name="_Toc453269656"/>
      <w:bookmarkStart w:id="2946" w:name="_Toc453272551"/>
      <w:bookmarkStart w:id="2947" w:name="_Toc453269832"/>
      <w:bookmarkStart w:id="2948" w:name="_Toc453272727"/>
      <w:bookmarkStart w:id="2949" w:name="_Toc453269833"/>
      <w:bookmarkStart w:id="2950" w:name="_Toc453272728"/>
      <w:bookmarkStart w:id="2951" w:name="_Toc453269834"/>
      <w:bookmarkStart w:id="2952" w:name="_Toc453272729"/>
      <w:bookmarkStart w:id="2953" w:name="_Toc453269835"/>
      <w:bookmarkStart w:id="2954" w:name="_Toc453272730"/>
      <w:bookmarkStart w:id="2955" w:name="_Toc453269836"/>
      <w:bookmarkStart w:id="2956" w:name="_Toc453272731"/>
      <w:bookmarkStart w:id="2957" w:name="_Toc453269837"/>
      <w:bookmarkStart w:id="2958" w:name="_Toc453272732"/>
      <w:bookmarkStart w:id="2959" w:name="_Toc453269838"/>
      <w:bookmarkStart w:id="2960" w:name="_Toc453272733"/>
      <w:bookmarkStart w:id="2961" w:name="_Toc453269839"/>
      <w:bookmarkStart w:id="2962" w:name="_Toc453272734"/>
      <w:bookmarkStart w:id="2963" w:name="_Toc453269840"/>
      <w:bookmarkStart w:id="2964" w:name="_Toc453272735"/>
      <w:bookmarkStart w:id="2965" w:name="_Toc453269841"/>
      <w:bookmarkStart w:id="2966" w:name="_Toc453272736"/>
      <w:bookmarkStart w:id="2967" w:name="_Toc453269842"/>
      <w:bookmarkStart w:id="2968" w:name="_Toc453272737"/>
      <w:bookmarkStart w:id="2969" w:name="_Toc453269843"/>
      <w:bookmarkStart w:id="2970" w:name="_Toc453272738"/>
      <w:bookmarkStart w:id="2971" w:name="_Toc453269844"/>
      <w:bookmarkStart w:id="2972" w:name="_Toc453272739"/>
      <w:bookmarkStart w:id="2973" w:name="_Toc453269845"/>
      <w:bookmarkStart w:id="2974" w:name="_Toc453272740"/>
      <w:bookmarkStart w:id="2975" w:name="_Toc453269846"/>
      <w:bookmarkStart w:id="2976" w:name="_Toc453272741"/>
      <w:bookmarkStart w:id="2977" w:name="_Toc453269847"/>
      <w:bookmarkStart w:id="2978" w:name="_Toc453272742"/>
      <w:bookmarkStart w:id="2979" w:name="_Toc453269848"/>
      <w:bookmarkStart w:id="2980" w:name="_Toc453272743"/>
      <w:bookmarkStart w:id="2981" w:name="_Toc453269853"/>
      <w:bookmarkStart w:id="2982" w:name="_Toc453272748"/>
      <w:bookmarkStart w:id="2983" w:name="_Toc453269972"/>
      <w:bookmarkStart w:id="2984" w:name="_Toc453272867"/>
      <w:bookmarkStart w:id="2985" w:name="_Toc453269973"/>
      <w:bookmarkStart w:id="2986" w:name="_Toc453272868"/>
      <w:bookmarkStart w:id="2987" w:name="_Toc453269974"/>
      <w:bookmarkStart w:id="2988" w:name="_Toc453272869"/>
      <w:bookmarkStart w:id="2989" w:name="_Toc453269975"/>
      <w:bookmarkStart w:id="2990" w:name="_Toc453272870"/>
      <w:bookmarkStart w:id="2991" w:name="_Toc453270121"/>
      <w:bookmarkStart w:id="2992" w:name="_Toc453273016"/>
      <w:bookmarkStart w:id="2993" w:name="_Toc453270122"/>
      <w:bookmarkStart w:id="2994" w:name="_Toc453273017"/>
      <w:bookmarkStart w:id="2995" w:name="_Toc453270123"/>
      <w:bookmarkStart w:id="2996" w:name="_Toc453273018"/>
      <w:bookmarkStart w:id="2997" w:name="_Toc453270124"/>
      <w:bookmarkStart w:id="2998" w:name="_Toc453273019"/>
      <w:bookmarkStart w:id="2999" w:name="_Toc453270125"/>
      <w:bookmarkStart w:id="3000" w:name="_Toc453273020"/>
      <w:bookmarkStart w:id="3001" w:name="_Toc453270684"/>
      <w:bookmarkStart w:id="3002" w:name="_Toc453273579"/>
      <w:bookmarkStart w:id="3003" w:name="_Toc453270685"/>
      <w:bookmarkStart w:id="3004" w:name="_Toc453273580"/>
      <w:bookmarkStart w:id="3005" w:name="_Toc453270686"/>
      <w:bookmarkStart w:id="3006" w:name="_Toc453273581"/>
      <w:bookmarkStart w:id="3007" w:name="_Toc453270817"/>
      <w:bookmarkStart w:id="3008" w:name="_Toc453273712"/>
      <w:bookmarkStart w:id="3009" w:name="_Toc453270818"/>
      <w:bookmarkStart w:id="3010" w:name="_Toc453273713"/>
      <w:bookmarkStart w:id="3011" w:name="_Toc453270819"/>
      <w:bookmarkStart w:id="3012" w:name="_Toc453273714"/>
      <w:bookmarkStart w:id="3013" w:name="_Toc453271206"/>
      <w:bookmarkStart w:id="3014" w:name="_Toc453274101"/>
      <w:bookmarkStart w:id="3015" w:name="_Toc453271207"/>
      <w:bookmarkStart w:id="3016" w:name="_Toc453274102"/>
      <w:bookmarkStart w:id="3017" w:name="_Toc453271578"/>
      <w:bookmarkStart w:id="3018" w:name="_Toc453274473"/>
      <w:bookmarkStart w:id="3019" w:name="_Toc453271579"/>
      <w:bookmarkStart w:id="3020" w:name="_Toc453274474"/>
      <w:bookmarkStart w:id="3021" w:name="_Toc357714438"/>
      <w:bookmarkStart w:id="3022" w:name="_Ref397183258"/>
      <w:bookmarkStart w:id="3023" w:name="_Toc397332185"/>
      <w:bookmarkStart w:id="3024" w:name="_Toc397607940"/>
      <w:bookmarkStart w:id="3025" w:name="_Toc399623775"/>
      <w:bookmarkStart w:id="3026" w:name="_Ref422012684"/>
      <w:bookmarkStart w:id="3027" w:name="_Toc453367647"/>
      <w:bookmarkStart w:id="3028" w:name="_Toc457603990"/>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rsidRPr="00C60AD1">
        <w:lastRenderedPageBreak/>
        <w:t>FUEL AND POWER PURCHASE COST ADJUSTMENT SURCHARGE</w:t>
      </w:r>
      <w:bookmarkEnd w:id="3021"/>
      <w:bookmarkEnd w:id="3022"/>
      <w:bookmarkEnd w:id="3023"/>
      <w:bookmarkEnd w:id="3024"/>
      <w:bookmarkEnd w:id="3025"/>
      <w:bookmarkEnd w:id="3026"/>
      <w:bookmarkEnd w:id="3027"/>
      <w:bookmarkEnd w:id="3028"/>
    </w:p>
    <w:p w:rsidR="00C34658" w:rsidRPr="00C60AD1" w:rsidRDefault="00C34658" w:rsidP="00C34658">
      <w:pPr>
        <w:pStyle w:val="Heading2"/>
        <w:keepNext/>
        <w:numPr>
          <w:ilvl w:val="0"/>
          <w:numId w:val="0"/>
        </w:numPr>
        <w:autoSpaceDE/>
        <w:autoSpaceDN/>
        <w:adjustRightInd/>
        <w:spacing w:before="0" w:line="276" w:lineRule="auto"/>
        <w:ind w:left="990"/>
        <w:contextualSpacing w:val="0"/>
      </w:pPr>
    </w:p>
    <w:p w:rsidR="00C34658" w:rsidRDefault="00573289" w:rsidP="00C34658">
      <w:pPr>
        <w:pStyle w:val="Heading3"/>
        <w:numPr>
          <w:ilvl w:val="0"/>
          <w:numId w:val="0"/>
        </w:numPr>
        <w:spacing w:before="0"/>
        <w:ind w:left="936"/>
        <w:jc w:val="center"/>
        <w:rPr>
          <w:b/>
        </w:rPr>
      </w:pPr>
      <w:bookmarkStart w:id="3029" w:name="_Toc357738760"/>
      <w:bookmarkStart w:id="3030" w:name="_Toc397332370"/>
      <w:bookmarkStart w:id="3031" w:name="_Toc397607645"/>
      <w:bookmarkStart w:id="3032" w:name="_Toc399624152"/>
      <w:bookmarkStart w:id="3033" w:name="_Toc453367733"/>
      <w:bookmarkStart w:id="3034" w:name="_Toc457604101"/>
      <w:r w:rsidRPr="005525A4">
        <w:rPr>
          <w:rFonts w:asciiTheme="minorHAnsi" w:hAnsiTheme="minorHAnsi" w:cstheme="minorHAnsi"/>
          <w:b/>
          <w:szCs w:val="24"/>
        </w:rPr>
        <w:t xml:space="preserve">Table </w:t>
      </w:r>
      <w:r>
        <w:rPr>
          <w:rFonts w:asciiTheme="minorHAnsi" w:hAnsiTheme="minorHAnsi" w:cstheme="minorHAnsi"/>
          <w:b/>
        </w:rPr>
        <w:t>11</w:t>
      </w:r>
      <w:r w:rsidRPr="005525A4">
        <w:rPr>
          <w:rFonts w:asciiTheme="minorHAnsi" w:hAnsiTheme="minorHAnsi" w:cstheme="minorHAnsi"/>
          <w:b/>
          <w:szCs w:val="24"/>
        </w:rPr>
        <w:noBreakHyphen/>
      </w:r>
      <w:r w:rsidR="009741CA" w:rsidRPr="005525A4">
        <w:rPr>
          <w:rFonts w:asciiTheme="minorHAnsi" w:hAnsiTheme="minorHAnsi" w:cstheme="minorHAnsi"/>
          <w:b/>
          <w:szCs w:val="24"/>
        </w:rPr>
        <w:fldChar w:fldCharType="begin"/>
      </w:r>
      <w:r w:rsidRPr="005525A4">
        <w:rPr>
          <w:rFonts w:asciiTheme="minorHAnsi" w:hAnsiTheme="minorHAnsi" w:cstheme="minorHAnsi"/>
          <w:b/>
          <w:szCs w:val="24"/>
        </w:rPr>
        <w:instrText xml:space="preserve"> SEQ Table \* ARABIC \s 1 </w:instrText>
      </w:r>
      <w:r w:rsidR="009741CA" w:rsidRPr="005525A4">
        <w:rPr>
          <w:rFonts w:asciiTheme="minorHAnsi" w:hAnsiTheme="minorHAnsi" w:cstheme="minorHAnsi"/>
          <w:b/>
          <w:szCs w:val="24"/>
        </w:rPr>
        <w:fldChar w:fldCharType="separate"/>
      </w:r>
      <w:r w:rsidR="00BA08F0">
        <w:rPr>
          <w:rFonts w:asciiTheme="minorHAnsi" w:hAnsiTheme="minorHAnsi" w:cstheme="minorHAnsi"/>
          <w:b/>
          <w:noProof/>
          <w:szCs w:val="24"/>
        </w:rPr>
        <w:t>4</w:t>
      </w:r>
      <w:r w:rsidR="009741CA" w:rsidRPr="005525A4">
        <w:rPr>
          <w:rFonts w:asciiTheme="minorHAnsi" w:hAnsiTheme="minorHAnsi" w:cstheme="minorHAnsi"/>
          <w:b/>
          <w:szCs w:val="24"/>
        </w:rPr>
        <w:fldChar w:fldCharType="end"/>
      </w:r>
      <w:r w:rsidRPr="005525A4">
        <w:rPr>
          <w:rFonts w:asciiTheme="minorHAnsi" w:hAnsiTheme="minorHAnsi" w:cstheme="minorHAnsi"/>
          <w:b/>
          <w:szCs w:val="24"/>
        </w:rPr>
        <w:t>:</w:t>
      </w:r>
      <w:r w:rsidRPr="00E34329">
        <w:rPr>
          <w:rFonts w:asciiTheme="minorHAnsi" w:hAnsiTheme="minorHAnsi" w:cstheme="minorHAnsi"/>
          <w:szCs w:val="24"/>
        </w:rPr>
        <w:t xml:space="preserve"> </w:t>
      </w:r>
      <w:r w:rsidR="002B70BB">
        <w:rPr>
          <w:rFonts w:asciiTheme="minorHAnsi" w:hAnsiTheme="minorHAnsi" w:cstheme="minorHAnsi"/>
          <w:b/>
          <w:bCs w:val="0"/>
          <w:szCs w:val="24"/>
        </w:rPr>
        <w:t>A</w:t>
      </w:r>
      <w:r w:rsidR="00C34658" w:rsidRPr="00C60AD1">
        <w:rPr>
          <w:b/>
        </w:rPr>
        <w:t xml:space="preserve">PPROPRIATION OF APPROVED POWER PURCHASE FOR FY </w:t>
      </w:r>
      <w:r w:rsidR="00C34658">
        <w:rPr>
          <w:b/>
        </w:rPr>
        <w:t>2016-17</w:t>
      </w:r>
      <w:r w:rsidR="00C34658" w:rsidRPr="00C60AD1">
        <w:rPr>
          <w:b/>
        </w:rPr>
        <w:t>: FPPCA</w:t>
      </w:r>
      <w:bookmarkEnd w:id="3029"/>
      <w:bookmarkEnd w:id="3030"/>
      <w:bookmarkEnd w:id="3031"/>
      <w:bookmarkEnd w:id="3032"/>
      <w:bookmarkEnd w:id="3033"/>
      <w:bookmarkEnd w:id="3034"/>
    </w:p>
    <w:tbl>
      <w:tblPr>
        <w:tblW w:w="5000" w:type="pct"/>
        <w:tblLayout w:type="fixed"/>
        <w:tblLook w:val="04A0"/>
      </w:tblPr>
      <w:tblGrid>
        <w:gridCol w:w="2899"/>
        <w:gridCol w:w="839"/>
        <w:gridCol w:w="9"/>
        <w:gridCol w:w="28"/>
        <w:gridCol w:w="9"/>
        <w:gridCol w:w="11"/>
        <w:gridCol w:w="748"/>
        <w:gridCol w:w="11"/>
        <w:gridCol w:w="28"/>
        <w:gridCol w:w="11"/>
        <w:gridCol w:w="99"/>
        <w:gridCol w:w="663"/>
        <w:gridCol w:w="11"/>
        <w:gridCol w:w="23"/>
        <w:gridCol w:w="14"/>
        <w:gridCol w:w="184"/>
        <w:gridCol w:w="490"/>
        <w:gridCol w:w="11"/>
        <w:gridCol w:w="20"/>
        <w:gridCol w:w="17"/>
        <w:gridCol w:w="366"/>
        <w:gridCol w:w="306"/>
        <w:gridCol w:w="11"/>
        <w:gridCol w:w="20"/>
        <w:gridCol w:w="14"/>
        <w:gridCol w:w="550"/>
        <w:gridCol w:w="147"/>
        <w:gridCol w:w="11"/>
        <w:gridCol w:w="9"/>
        <w:gridCol w:w="734"/>
        <w:gridCol w:w="60"/>
        <w:gridCol w:w="11"/>
        <w:gridCol w:w="9"/>
        <w:gridCol w:w="791"/>
        <w:gridCol w:w="11"/>
        <w:gridCol w:w="28"/>
        <w:gridCol w:w="777"/>
        <w:gridCol w:w="31"/>
        <w:gridCol w:w="9"/>
        <w:gridCol w:w="714"/>
        <w:gridCol w:w="14"/>
        <w:gridCol w:w="785"/>
        <w:gridCol w:w="26"/>
        <w:gridCol w:w="6"/>
        <w:gridCol w:w="870"/>
        <w:gridCol w:w="26"/>
        <w:gridCol w:w="6"/>
        <w:gridCol w:w="689"/>
        <w:gridCol w:w="116"/>
        <w:gridCol w:w="11"/>
        <w:gridCol w:w="887"/>
      </w:tblGrid>
      <w:tr w:rsidR="00116C0A" w:rsidRPr="00686CF8" w:rsidTr="003512AE">
        <w:trPr>
          <w:trHeight w:val="170"/>
          <w:tblHeader/>
        </w:trPr>
        <w:tc>
          <w:tcPr>
            <w:tcW w:w="5000" w:type="pct"/>
            <w:gridSpan w:val="51"/>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t>FY 2016-17</w:t>
            </w:r>
          </w:p>
        </w:tc>
      </w:tr>
      <w:tr w:rsidR="00116C0A" w:rsidRPr="00686CF8" w:rsidTr="003512AE">
        <w:trPr>
          <w:trHeight w:val="698"/>
        </w:trPr>
        <w:tc>
          <w:tcPr>
            <w:tcW w:w="1319" w:type="pct"/>
            <w:gridSpan w:val="2"/>
            <w:tcBorders>
              <w:top w:val="nil"/>
              <w:left w:val="single" w:sz="4" w:space="0" w:color="auto"/>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t>PVVNL</w:t>
            </w:r>
          </w:p>
        </w:tc>
        <w:tc>
          <w:tcPr>
            <w:tcW w:w="284"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Apr</w:t>
            </w:r>
          </w:p>
        </w:tc>
        <w:tc>
          <w:tcPr>
            <w:tcW w:w="287"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May</w:t>
            </w:r>
          </w:p>
        </w:tc>
        <w:tc>
          <w:tcPr>
            <w:tcW w:w="255"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June</w:t>
            </w:r>
          </w:p>
        </w:tc>
        <w:tc>
          <w:tcPr>
            <w:tcW w:w="254"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July</w:t>
            </w:r>
          </w:p>
        </w:tc>
        <w:tc>
          <w:tcPr>
            <w:tcW w:w="262"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Aug</w:t>
            </w:r>
          </w:p>
        </w:tc>
        <w:tc>
          <w:tcPr>
            <w:tcW w:w="287"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Sept</w:t>
            </w:r>
          </w:p>
        </w:tc>
        <w:tc>
          <w:tcPr>
            <w:tcW w:w="286"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Oct</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Nov</w:t>
            </w:r>
          </w:p>
        </w:tc>
        <w:tc>
          <w:tcPr>
            <w:tcW w:w="270"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Dec</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Jan</w:t>
            </w:r>
          </w:p>
        </w:tc>
        <w:tc>
          <w:tcPr>
            <w:tcW w:w="31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Feb</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Mar</w:t>
            </w:r>
          </w:p>
        </w:tc>
        <w:tc>
          <w:tcPr>
            <w:tcW w:w="314" w:type="pct"/>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Total</w:t>
            </w:r>
          </w:p>
        </w:tc>
      </w:tr>
      <w:tr w:rsidR="00116C0A" w:rsidRPr="00686CF8" w:rsidTr="003512AE">
        <w:trPr>
          <w:trHeight w:val="698"/>
        </w:trPr>
        <w:tc>
          <w:tcPr>
            <w:tcW w:w="1319" w:type="pct"/>
            <w:gridSpan w:val="2"/>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Allocation of Approved Power Purchase (MU)</w:t>
            </w:r>
          </w:p>
        </w:tc>
        <w:tc>
          <w:tcPr>
            <w:tcW w:w="28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3,231</w:t>
            </w:r>
          </w:p>
        </w:tc>
        <w:tc>
          <w:tcPr>
            <w:tcW w:w="28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3,550</w:t>
            </w: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3,540</w:t>
            </w: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3,544</w:t>
            </w:r>
          </w:p>
        </w:tc>
        <w:tc>
          <w:tcPr>
            <w:tcW w:w="262"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3,576</w:t>
            </w: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2,996</w:t>
            </w: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2,980</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2,661</w:t>
            </w:r>
          </w:p>
        </w:tc>
        <w:tc>
          <w:tcPr>
            <w:tcW w:w="270"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2,767</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2,826</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2,485</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2,893</w:t>
            </w: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37,048</w:t>
            </w:r>
          </w:p>
        </w:tc>
      </w:tr>
      <w:tr w:rsidR="00116C0A" w:rsidRPr="00686CF8" w:rsidTr="003512AE">
        <w:trPr>
          <w:trHeight w:val="698"/>
        </w:trPr>
        <w:tc>
          <w:tcPr>
            <w:tcW w:w="1319" w:type="pct"/>
            <w:gridSpan w:val="2"/>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Approved average power per unit (Rs/Unit)</w:t>
            </w:r>
          </w:p>
        </w:tc>
        <w:tc>
          <w:tcPr>
            <w:tcW w:w="28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62"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70"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4.26</w:t>
            </w:r>
          </w:p>
        </w:tc>
      </w:tr>
      <w:tr w:rsidR="00116C0A" w:rsidRPr="00686CF8" w:rsidTr="003512AE">
        <w:trPr>
          <w:trHeight w:val="698"/>
        </w:trPr>
        <w:tc>
          <w:tcPr>
            <w:tcW w:w="1319" w:type="pct"/>
            <w:gridSpan w:val="2"/>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Allocated Approved Power Purchase Cost (Rs. Crs)</w:t>
            </w:r>
          </w:p>
        </w:tc>
        <w:tc>
          <w:tcPr>
            <w:tcW w:w="28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1,377</w:t>
            </w:r>
          </w:p>
        </w:tc>
        <w:tc>
          <w:tcPr>
            <w:tcW w:w="28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1,513</w:t>
            </w: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1,509</w:t>
            </w: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1,511</w:t>
            </w:r>
          </w:p>
        </w:tc>
        <w:tc>
          <w:tcPr>
            <w:tcW w:w="262"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1,524</w:t>
            </w: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1,277</w:t>
            </w: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1,270</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1,134</w:t>
            </w:r>
          </w:p>
        </w:tc>
        <w:tc>
          <w:tcPr>
            <w:tcW w:w="270"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1,179</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1,204</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1,059</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1,233</w:t>
            </w: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15,791</w:t>
            </w:r>
          </w:p>
        </w:tc>
      </w:tr>
      <w:tr w:rsidR="00116C0A" w:rsidRPr="00686CF8" w:rsidTr="003512AE">
        <w:trPr>
          <w:trHeight w:val="287"/>
        </w:trPr>
        <w:tc>
          <w:tcPr>
            <w:tcW w:w="5000" w:type="pct"/>
            <w:gridSpan w:val="51"/>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FY 2016-17</w:t>
            </w:r>
          </w:p>
        </w:tc>
      </w:tr>
      <w:tr w:rsidR="00116C0A" w:rsidRPr="00686CF8" w:rsidTr="003512AE">
        <w:trPr>
          <w:trHeight w:val="698"/>
        </w:trPr>
        <w:tc>
          <w:tcPr>
            <w:tcW w:w="1319" w:type="pct"/>
            <w:gridSpan w:val="2"/>
            <w:tcBorders>
              <w:top w:val="nil"/>
              <w:left w:val="single" w:sz="4" w:space="0" w:color="auto"/>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t>DVVNL</w:t>
            </w:r>
          </w:p>
        </w:tc>
        <w:tc>
          <w:tcPr>
            <w:tcW w:w="284"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Apr</w:t>
            </w:r>
          </w:p>
        </w:tc>
        <w:tc>
          <w:tcPr>
            <w:tcW w:w="287"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May</w:t>
            </w:r>
          </w:p>
        </w:tc>
        <w:tc>
          <w:tcPr>
            <w:tcW w:w="255"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June</w:t>
            </w:r>
          </w:p>
        </w:tc>
        <w:tc>
          <w:tcPr>
            <w:tcW w:w="254"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July</w:t>
            </w:r>
          </w:p>
        </w:tc>
        <w:tc>
          <w:tcPr>
            <w:tcW w:w="262"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Aug</w:t>
            </w:r>
          </w:p>
        </w:tc>
        <w:tc>
          <w:tcPr>
            <w:tcW w:w="287"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Sept</w:t>
            </w:r>
          </w:p>
        </w:tc>
        <w:tc>
          <w:tcPr>
            <w:tcW w:w="286"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Oct</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Nov</w:t>
            </w:r>
          </w:p>
        </w:tc>
        <w:tc>
          <w:tcPr>
            <w:tcW w:w="270"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Dec</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Jan</w:t>
            </w:r>
          </w:p>
        </w:tc>
        <w:tc>
          <w:tcPr>
            <w:tcW w:w="31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Feb</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Mar</w:t>
            </w:r>
          </w:p>
        </w:tc>
        <w:tc>
          <w:tcPr>
            <w:tcW w:w="314" w:type="pct"/>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Total</w:t>
            </w:r>
          </w:p>
        </w:tc>
      </w:tr>
      <w:tr w:rsidR="00116C0A" w:rsidRPr="00686CF8" w:rsidTr="003512AE">
        <w:trPr>
          <w:trHeight w:val="698"/>
        </w:trPr>
        <w:tc>
          <w:tcPr>
            <w:tcW w:w="1319" w:type="pct"/>
            <w:gridSpan w:val="2"/>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Allocation of Approved Power Purchase (MU)</w:t>
            </w:r>
          </w:p>
        </w:tc>
        <w:tc>
          <w:tcPr>
            <w:tcW w:w="28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2,481</w:t>
            </w:r>
          </w:p>
        </w:tc>
        <w:tc>
          <w:tcPr>
            <w:tcW w:w="28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2,726</w:t>
            </w: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2,719</w:t>
            </w: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2,721</w:t>
            </w:r>
          </w:p>
        </w:tc>
        <w:tc>
          <w:tcPr>
            <w:tcW w:w="262"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2,747</w:t>
            </w: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2,301</w:t>
            </w: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2,289</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2,043</w:t>
            </w:r>
          </w:p>
        </w:tc>
        <w:tc>
          <w:tcPr>
            <w:tcW w:w="270"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2,125</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2,170</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1,908</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2,223</w:t>
            </w: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28,452</w:t>
            </w:r>
          </w:p>
        </w:tc>
      </w:tr>
      <w:tr w:rsidR="00116C0A" w:rsidRPr="00686CF8" w:rsidTr="003512AE">
        <w:trPr>
          <w:trHeight w:val="698"/>
        </w:trPr>
        <w:tc>
          <w:tcPr>
            <w:tcW w:w="1319" w:type="pct"/>
            <w:gridSpan w:val="2"/>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Approved average power power per unit (Rs/Unit)</w:t>
            </w:r>
          </w:p>
        </w:tc>
        <w:tc>
          <w:tcPr>
            <w:tcW w:w="28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62"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70"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4.26</w:t>
            </w:r>
          </w:p>
        </w:tc>
      </w:tr>
      <w:tr w:rsidR="00116C0A" w:rsidRPr="00686CF8" w:rsidTr="003512AE">
        <w:trPr>
          <w:trHeight w:val="698"/>
        </w:trPr>
        <w:tc>
          <w:tcPr>
            <w:tcW w:w="1319" w:type="pct"/>
            <w:gridSpan w:val="2"/>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Allocated Approved Power Purchase Cost (Rs. Crs)</w:t>
            </w:r>
          </w:p>
        </w:tc>
        <w:tc>
          <w:tcPr>
            <w:tcW w:w="28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1,057</w:t>
            </w:r>
          </w:p>
        </w:tc>
        <w:tc>
          <w:tcPr>
            <w:tcW w:w="28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1,162</w:t>
            </w: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1,159</w:t>
            </w: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1,160</w:t>
            </w:r>
          </w:p>
        </w:tc>
        <w:tc>
          <w:tcPr>
            <w:tcW w:w="262"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1,171</w:t>
            </w: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981</w:t>
            </w: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975</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871</w:t>
            </w:r>
          </w:p>
        </w:tc>
        <w:tc>
          <w:tcPr>
            <w:tcW w:w="270"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906</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925</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813</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947</w:t>
            </w: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12,127</w:t>
            </w:r>
          </w:p>
        </w:tc>
      </w:tr>
      <w:tr w:rsidR="00116C0A" w:rsidRPr="00686CF8" w:rsidTr="003512AE">
        <w:trPr>
          <w:trHeight w:val="368"/>
        </w:trPr>
        <w:tc>
          <w:tcPr>
            <w:tcW w:w="5000" w:type="pct"/>
            <w:gridSpan w:val="51"/>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t>FY 2016-17</w:t>
            </w:r>
          </w:p>
        </w:tc>
      </w:tr>
      <w:tr w:rsidR="00116C0A" w:rsidRPr="00686CF8" w:rsidTr="003512AE">
        <w:trPr>
          <w:trHeight w:val="698"/>
        </w:trPr>
        <w:tc>
          <w:tcPr>
            <w:tcW w:w="1322" w:type="pct"/>
            <w:gridSpan w:val="3"/>
            <w:tcBorders>
              <w:top w:val="nil"/>
              <w:left w:val="single" w:sz="4" w:space="0" w:color="auto"/>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lastRenderedPageBreak/>
              <w:t>MVVNL</w:t>
            </w:r>
          </w:p>
        </w:tc>
        <w:tc>
          <w:tcPr>
            <w:tcW w:w="285"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Apr</w:t>
            </w:r>
          </w:p>
        </w:tc>
        <w:tc>
          <w:tcPr>
            <w:tcW w:w="287"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May</w:t>
            </w:r>
          </w:p>
        </w:tc>
        <w:tc>
          <w:tcPr>
            <w:tcW w:w="255"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June</w:t>
            </w:r>
          </w:p>
        </w:tc>
        <w:tc>
          <w:tcPr>
            <w:tcW w:w="254"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July</w:t>
            </w:r>
          </w:p>
        </w:tc>
        <w:tc>
          <w:tcPr>
            <w:tcW w:w="258"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Aug</w:t>
            </w:r>
          </w:p>
        </w:tc>
        <w:tc>
          <w:tcPr>
            <w:tcW w:w="287"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Sept</w:t>
            </w:r>
          </w:p>
        </w:tc>
        <w:tc>
          <w:tcPr>
            <w:tcW w:w="286"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Oct</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Nov</w:t>
            </w:r>
          </w:p>
        </w:tc>
        <w:tc>
          <w:tcPr>
            <w:tcW w:w="270"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Dec</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Jan</w:t>
            </w:r>
          </w:p>
        </w:tc>
        <w:tc>
          <w:tcPr>
            <w:tcW w:w="31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Feb</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Mar</w:t>
            </w:r>
          </w:p>
        </w:tc>
        <w:tc>
          <w:tcPr>
            <w:tcW w:w="314" w:type="pct"/>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Total</w:t>
            </w:r>
          </w:p>
        </w:tc>
      </w:tr>
      <w:tr w:rsidR="00116C0A" w:rsidRPr="00686CF8" w:rsidTr="003512AE">
        <w:trPr>
          <w:trHeight w:val="698"/>
        </w:trPr>
        <w:tc>
          <w:tcPr>
            <w:tcW w:w="1322" w:type="pct"/>
            <w:gridSpan w:val="3"/>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Allocation of Approved Power Purchase (MU)</w:t>
            </w:r>
          </w:p>
        </w:tc>
        <w:tc>
          <w:tcPr>
            <w:tcW w:w="28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2,043</w:t>
            </w:r>
          </w:p>
        </w:tc>
        <w:tc>
          <w:tcPr>
            <w:tcW w:w="28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2,245</w:t>
            </w: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2,239</w:t>
            </w: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2,242</w:t>
            </w:r>
          </w:p>
        </w:tc>
        <w:tc>
          <w:tcPr>
            <w:tcW w:w="258"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2,261</w:t>
            </w: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1,894</w:t>
            </w: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1,884</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1,683</w:t>
            </w:r>
          </w:p>
        </w:tc>
        <w:tc>
          <w:tcPr>
            <w:tcW w:w="270"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1,750</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1,787</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1,571</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1,829</w:t>
            </w: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23,430</w:t>
            </w:r>
          </w:p>
        </w:tc>
      </w:tr>
      <w:tr w:rsidR="00116C0A" w:rsidRPr="00686CF8" w:rsidTr="003512AE">
        <w:trPr>
          <w:trHeight w:val="698"/>
        </w:trPr>
        <w:tc>
          <w:tcPr>
            <w:tcW w:w="1322" w:type="pct"/>
            <w:gridSpan w:val="3"/>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Approved average power power per unit (Rs/Unit)</w:t>
            </w:r>
          </w:p>
        </w:tc>
        <w:tc>
          <w:tcPr>
            <w:tcW w:w="28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8"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70"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4.26</w:t>
            </w:r>
          </w:p>
        </w:tc>
      </w:tr>
      <w:tr w:rsidR="00116C0A" w:rsidRPr="00686CF8" w:rsidTr="003512AE">
        <w:trPr>
          <w:trHeight w:val="698"/>
        </w:trPr>
        <w:tc>
          <w:tcPr>
            <w:tcW w:w="1322" w:type="pct"/>
            <w:gridSpan w:val="3"/>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Allocated Approved Power Purchase Cost (Rs. Crs)</w:t>
            </w:r>
          </w:p>
        </w:tc>
        <w:tc>
          <w:tcPr>
            <w:tcW w:w="28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871</w:t>
            </w:r>
          </w:p>
        </w:tc>
        <w:tc>
          <w:tcPr>
            <w:tcW w:w="28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957</w:t>
            </w: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954</w:t>
            </w: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956</w:t>
            </w:r>
          </w:p>
        </w:tc>
        <w:tc>
          <w:tcPr>
            <w:tcW w:w="258"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964</w:t>
            </w: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807</w:t>
            </w: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803</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717</w:t>
            </w:r>
          </w:p>
        </w:tc>
        <w:tc>
          <w:tcPr>
            <w:tcW w:w="270"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746</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762</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669</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780</w:t>
            </w: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9,986</w:t>
            </w:r>
          </w:p>
        </w:tc>
      </w:tr>
      <w:tr w:rsidR="00116C0A" w:rsidRPr="00686CF8" w:rsidTr="003512AE">
        <w:trPr>
          <w:trHeight w:val="233"/>
        </w:trPr>
        <w:tc>
          <w:tcPr>
            <w:tcW w:w="5000" w:type="pct"/>
            <w:gridSpan w:val="51"/>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t>FY 2016-17</w:t>
            </w:r>
          </w:p>
        </w:tc>
      </w:tr>
      <w:tr w:rsidR="00116C0A" w:rsidRPr="00686CF8" w:rsidTr="003512AE">
        <w:trPr>
          <w:trHeight w:val="698"/>
        </w:trPr>
        <w:tc>
          <w:tcPr>
            <w:tcW w:w="1332" w:type="pct"/>
            <w:gridSpan w:val="4"/>
            <w:tcBorders>
              <w:top w:val="nil"/>
              <w:left w:val="single" w:sz="4" w:space="0" w:color="auto"/>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t>PuVVNL</w:t>
            </w:r>
          </w:p>
        </w:tc>
        <w:tc>
          <w:tcPr>
            <w:tcW w:w="285"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Apr</w:t>
            </w:r>
          </w:p>
        </w:tc>
        <w:tc>
          <w:tcPr>
            <w:tcW w:w="285"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May</w:t>
            </w:r>
          </w:p>
        </w:tc>
        <w:tc>
          <w:tcPr>
            <w:tcW w:w="254"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June</w:t>
            </w:r>
          </w:p>
        </w:tc>
        <w:tc>
          <w:tcPr>
            <w:tcW w:w="254"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July</w:t>
            </w:r>
          </w:p>
        </w:tc>
        <w:tc>
          <w:tcPr>
            <w:tcW w:w="255"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Aug</w:t>
            </w:r>
          </w:p>
        </w:tc>
        <w:tc>
          <w:tcPr>
            <w:tcW w:w="287"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Sept</w:t>
            </w:r>
          </w:p>
        </w:tc>
        <w:tc>
          <w:tcPr>
            <w:tcW w:w="286"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Oct</w:t>
            </w:r>
          </w:p>
        </w:tc>
        <w:tc>
          <w:tcPr>
            <w:tcW w:w="297"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Nov</w:t>
            </w:r>
          </w:p>
        </w:tc>
        <w:tc>
          <w:tcPr>
            <w:tcW w:w="257" w:type="pct"/>
            <w:gridSpan w:val="2"/>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Dec</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Jan</w:t>
            </w:r>
          </w:p>
        </w:tc>
        <w:tc>
          <w:tcPr>
            <w:tcW w:w="31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Feb</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Mar</w:t>
            </w:r>
          </w:p>
        </w:tc>
        <w:tc>
          <w:tcPr>
            <w:tcW w:w="314" w:type="pct"/>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Total</w:t>
            </w:r>
          </w:p>
        </w:tc>
      </w:tr>
      <w:tr w:rsidR="00116C0A" w:rsidRPr="00686CF8" w:rsidTr="003512AE">
        <w:trPr>
          <w:trHeight w:val="698"/>
        </w:trPr>
        <w:tc>
          <w:tcPr>
            <w:tcW w:w="1332" w:type="pct"/>
            <w:gridSpan w:val="4"/>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Allocation of Approved Power Purchase (MU)</w:t>
            </w:r>
          </w:p>
        </w:tc>
        <w:tc>
          <w:tcPr>
            <w:tcW w:w="28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2,967</w:t>
            </w:r>
          </w:p>
        </w:tc>
        <w:tc>
          <w:tcPr>
            <w:tcW w:w="28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3,261</w:t>
            </w: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3,251</w:t>
            </w: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3,255</w:t>
            </w:r>
          </w:p>
        </w:tc>
        <w:tc>
          <w:tcPr>
            <w:tcW w:w="255"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3,284</w:t>
            </w: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2,752</w:t>
            </w: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2,736</w:t>
            </w:r>
          </w:p>
        </w:tc>
        <w:tc>
          <w:tcPr>
            <w:tcW w:w="29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2,443</w:t>
            </w:r>
          </w:p>
        </w:tc>
        <w:tc>
          <w:tcPr>
            <w:tcW w:w="257"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2,541</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2,594</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2,282</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2,657</w:t>
            </w: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34,022</w:t>
            </w:r>
          </w:p>
        </w:tc>
      </w:tr>
      <w:tr w:rsidR="00116C0A" w:rsidRPr="00686CF8" w:rsidTr="003512AE">
        <w:trPr>
          <w:trHeight w:val="698"/>
        </w:trPr>
        <w:tc>
          <w:tcPr>
            <w:tcW w:w="1332" w:type="pct"/>
            <w:gridSpan w:val="4"/>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Approved average power power per unit (Rs/Unit)</w:t>
            </w:r>
          </w:p>
        </w:tc>
        <w:tc>
          <w:tcPr>
            <w:tcW w:w="28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5"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9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7"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4.26</w:t>
            </w:r>
          </w:p>
        </w:tc>
      </w:tr>
      <w:tr w:rsidR="00116C0A" w:rsidRPr="00686CF8" w:rsidTr="003512AE">
        <w:trPr>
          <w:trHeight w:val="698"/>
        </w:trPr>
        <w:tc>
          <w:tcPr>
            <w:tcW w:w="1332" w:type="pct"/>
            <w:gridSpan w:val="4"/>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Allocated Approved Power Purchase Cost (Rs. Crs)</w:t>
            </w:r>
          </w:p>
        </w:tc>
        <w:tc>
          <w:tcPr>
            <w:tcW w:w="28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1,265</w:t>
            </w:r>
          </w:p>
        </w:tc>
        <w:tc>
          <w:tcPr>
            <w:tcW w:w="28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1,390</w:t>
            </w: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1,386</w:t>
            </w:r>
          </w:p>
        </w:tc>
        <w:tc>
          <w:tcPr>
            <w:tcW w:w="254"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1,387</w:t>
            </w:r>
          </w:p>
        </w:tc>
        <w:tc>
          <w:tcPr>
            <w:tcW w:w="255"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1,400</w:t>
            </w: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1,173</w:t>
            </w: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1,166</w:t>
            </w:r>
          </w:p>
        </w:tc>
        <w:tc>
          <w:tcPr>
            <w:tcW w:w="29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1,041</w:t>
            </w:r>
          </w:p>
        </w:tc>
        <w:tc>
          <w:tcPr>
            <w:tcW w:w="257"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1,083</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1,106</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973</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1,133</w:t>
            </w:r>
          </w:p>
        </w:tc>
        <w:tc>
          <w:tcPr>
            <w:tcW w:w="314" w:type="pct"/>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14,501</w:t>
            </w:r>
          </w:p>
        </w:tc>
      </w:tr>
      <w:tr w:rsidR="00116C0A" w:rsidRPr="00686CF8" w:rsidTr="003512AE">
        <w:trPr>
          <w:trHeight w:val="269"/>
        </w:trPr>
        <w:tc>
          <w:tcPr>
            <w:tcW w:w="5000" w:type="pct"/>
            <w:gridSpan w:val="51"/>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t>FY 2016-17</w:t>
            </w:r>
          </w:p>
        </w:tc>
      </w:tr>
      <w:tr w:rsidR="00116C0A" w:rsidRPr="00686CF8" w:rsidTr="003512AE">
        <w:trPr>
          <w:trHeight w:val="698"/>
        </w:trPr>
        <w:tc>
          <w:tcPr>
            <w:tcW w:w="1335" w:type="pct"/>
            <w:gridSpan w:val="5"/>
            <w:tcBorders>
              <w:top w:val="nil"/>
              <w:left w:val="single" w:sz="4" w:space="0" w:color="auto"/>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t>KeSCO</w:t>
            </w:r>
          </w:p>
        </w:tc>
        <w:tc>
          <w:tcPr>
            <w:tcW w:w="286"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Apr</w:t>
            </w:r>
          </w:p>
        </w:tc>
        <w:tc>
          <w:tcPr>
            <w:tcW w:w="286"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May</w:t>
            </w:r>
          </w:p>
        </w:tc>
        <w:tc>
          <w:tcPr>
            <w:tcW w:w="255"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June</w:t>
            </w:r>
          </w:p>
        </w:tc>
        <w:tc>
          <w:tcPr>
            <w:tcW w:w="253"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July</w:t>
            </w:r>
          </w:p>
        </w:tc>
        <w:tc>
          <w:tcPr>
            <w:tcW w:w="253"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Aug</w:t>
            </w:r>
          </w:p>
        </w:tc>
        <w:tc>
          <w:tcPr>
            <w:tcW w:w="287"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Sept</w:t>
            </w:r>
          </w:p>
        </w:tc>
        <w:tc>
          <w:tcPr>
            <w:tcW w:w="292"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Oct</w:t>
            </w:r>
          </w:p>
        </w:tc>
        <w:tc>
          <w:tcPr>
            <w:tcW w:w="28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Nov</w:t>
            </w:r>
          </w:p>
        </w:tc>
        <w:tc>
          <w:tcPr>
            <w:tcW w:w="257" w:type="pct"/>
            <w:gridSpan w:val="2"/>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Dec</w:t>
            </w:r>
          </w:p>
        </w:tc>
        <w:tc>
          <w:tcPr>
            <w:tcW w:w="286" w:type="pct"/>
            <w:gridSpan w:val="2"/>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Jan</w:t>
            </w:r>
          </w:p>
        </w:tc>
        <w:tc>
          <w:tcPr>
            <w:tcW w:w="31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Feb</w:t>
            </w:r>
          </w:p>
        </w:tc>
        <w:tc>
          <w:tcPr>
            <w:tcW w:w="286"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Mar</w:t>
            </w:r>
          </w:p>
        </w:tc>
        <w:tc>
          <w:tcPr>
            <w:tcW w:w="318" w:type="pct"/>
            <w:gridSpan w:val="2"/>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Total</w:t>
            </w:r>
          </w:p>
        </w:tc>
      </w:tr>
      <w:tr w:rsidR="00116C0A" w:rsidRPr="00686CF8" w:rsidTr="003512AE">
        <w:trPr>
          <w:trHeight w:val="698"/>
        </w:trPr>
        <w:tc>
          <w:tcPr>
            <w:tcW w:w="1335" w:type="pct"/>
            <w:gridSpan w:val="5"/>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Allocation of Approved Power Purchase (MU)</w:t>
            </w:r>
          </w:p>
        </w:tc>
        <w:tc>
          <w:tcPr>
            <w:tcW w:w="28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389</w:t>
            </w:r>
          </w:p>
        </w:tc>
        <w:tc>
          <w:tcPr>
            <w:tcW w:w="28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427</w:t>
            </w: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426</w:t>
            </w:r>
          </w:p>
        </w:tc>
        <w:tc>
          <w:tcPr>
            <w:tcW w:w="253"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426</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430</w:t>
            </w: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361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359</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321</w:t>
            </w:r>
          </w:p>
        </w:tc>
        <w:tc>
          <w:tcPr>
            <w:tcW w:w="257"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333</w:t>
            </w:r>
          </w:p>
        </w:tc>
        <w:tc>
          <w:tcPr>
            <w:tcW w:w="286"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340</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299</w:t>
            </w: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348</w:t>
            </w:r>
          </w:p>
        </w:tc>
        <w:tc>
          <w:tcPr>
            <w:tcW w:w="318"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4,462</w:t>
            </w:r>
          </w:p>
        </w:tc>
      </w:tr>
      <w:tr w:rsidR="00116C0A" w:rsidRPr="00686CF8" w:rsidTr="003512AE">
        <w:trPr>
          <w:trHeight w:val="698"/>
        </w:trPr>
        <w:tc>
          <w:tcPr>
            <w:tcW w:w="1335" w:type="pct"/>
            <w:gridSpan w:val="5"/>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lastRenderedPageBreak/>
              <w:t>Approved average power power per unit (Rs/Unit)</w:t>
            </w:r>
          </w:p>
        </w:tc>
        <w:tc>
          <w:tcPr>
            <w:tcW w:w="28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3"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3"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92"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7"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6"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8"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4.26</w:t>
            </w:r>
          </w:p>
        </w:tc>
      </w:tr>
      <w:tr w:rsidR="00116C0A" w:rsidRPr="00686CF8" w:rsidTr="003512AE">
        <w:trPr>
          <w:trHeight w:val="698"/>
        </w:trPr>
        <w:tc>
          <w:tcPr>
            <w:tcW w:w="1335" w:type="pct"/>
            <w:gridSpan w:val="5"/>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Allocated Approved Power Purchase Cost (Rs. Crs)</w:t>
            </w:r>
          </w:p>
        </w:tc>
        <w:tc>
          <w:tcPr>
            <w:tcW w:w="28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166</w:t>
            </w:r>
          </w:p>
        </w:tc>
        <w:tc>
          <w:tcPr>
            <w:tcW w:w="28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182</w:t>
            </w:r>
          </w:p>
        </w:tc>
        <w:tc>
          <w:tcPr>
            <w:tcW w:w="255"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182</w:t>
            </w:r>
          </w:p>
        </w:tc>
        <w:tc>
          <w:tcPr>
            <w:tcW w:w="253"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182</w:t>
            </w:r>
          </w:p>
        </w:tc>
        <w:tc>
          <w:tcPr>
            <w:tcW w:w="253"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183</w:t>
            </w:r>
          </w:p>
        </w:tc>
        <w:tc>
          <w:tcPr>
            <w:tcW w:w="287"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154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153</w:t>
            </w:r>
          </w:p>
        </w:tc>
        <w:tc>
          <w:tcPr>
            <w:tcW w:w="28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137</w:t>
            </w:r>
          </w:p>
        </w:tc>
        <w:tc>
          <w:tcPr>
            <w:tcW w:w="257"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142</w:t>
            </w:r>
          </w:p>
        </w:tc>
        <w:tc>
          <w:tcPr>
            <w:tcW w:w="286"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145</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127</w:t>
            </w:r>
          </w:p>
        </w:tc>
        <w:tc>
          <w:tcPr>
            <w:tcW w:w="286"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148</w:t>
            </w:r>
          </w:p>
        </w:tc>
        <w:tc>
          <w:tcPr>
            <w:tcW w:w="318"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1,902</w:t>
            </w:r>
          </w:p>
        </w:tc>
      </w:tr>
      <w:tr w:rsidR="00116C0A" w:rsidRPr="00686CF8" w:rsidTr="003512AE">
        <w:trPr>
          <w:trHeight w:val="224"/>
        </w:trPr>
        <w:tc>
          <w:tcPr>
            <w:tcW w:w="5000" w:type="pct"/>
            <w:gridSpan w:val="51"/>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t>FY 2016-17</w:t>
            </w:r>
          </w:p>
        </w:tc>
      </w:tr>
      <w:tr w:rsidR="00116C0A" w:rsidRPr="00686CF8" w:rsidTr="003512AE">
        <w:trPr>
          <w:trHeight w:val="698"/>
        </w:trPr>
        <w:tc>
          <w:tcPr>
            <w:tcW w:w="1023" w:type="pct"/>
            <w:tcBorders>
              <w:top w:val="nil"/>
              <w:left w:val="single" w:sz="4" w:space="0" w:color="auto"/>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left"/>
              <w:rPr>
                <w:rFonts w:asciiTheme="minorHAnsi" w:hAnsiTheme="minorHAnsi"/>
                <w:b/>
                <w:sz w:val="22"/>
                <w:szCs w:val="22"/>
                <w:lang w:val="en-US"/>
              </w:rPr>
            </w:pPr>
            <w:r>
              <w:rPr>
                <w:rFonts w:asciiTheme="minorHAnsi" w:hAnsiTheme="minorHAnsi"/>
                <w:b/>
                <w:sz w:val="22"/>
                <w:szCs w:val="22"/>
                <w:lang w:val="en-US"/>
              </w:rPr>
              <w:t>UPPCL</w:t>
            </w:r>
          </w:p>
        </w:tc>
        <w:tc>
          <w:tcPr>
            <w:tcW w:w="316"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Apr</w:t>
            </w:r>
          </w:p>
        </w:tc>
        <w:tc>
          <w:tcPr>
            <w:tcW w:w="317"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May</w:t>
            </w:r>
          </w:p>
        </w:tc>
        <w:tc>
          <w:tcPr>
            <w:tcW w:w="316"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June</w:t>
            </w:r>
          </w:p>
        </w:tc>
        <w:tc>
          <w:tcPr>
            <w:tcW w:w="319"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July</w:t>
            </w:r>
          </w:p>
        </w:tc>
        <w:tc>
          <w:tcPr>
            <w:tcW w:w="318" w:type="pct"/>
            <w:gridSpan w:val="5"/>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Aug</w:t>
            </w:r>
          </w:p>
        </w:tc>
        <w:tc>
          <w:tcPr>
            <w:tcW w:w="318" w:type="pct"/>
            <w:gridSpan w:val="4"/>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Sept</w:t>
            </w:r>
          </w:p>
        </w:tc>
        <w:tc>
          <w:tcPr>
            <w:tcW w:w="321" w:type="pct"/>
            <w:gridSpan w:val="6"/>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Oct</w:t>
            </w:r>
          </w:p>
        </w:tc>
        <w:tc>
          <w:tcPr>
            <w:tcW w:w="285" w:type="pct"/>
            <w:gridSpan w:val="2"/>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Nov</w:t>
            </w:r>
          </w:p>
        </w:tc>
        <w:tc>
          <w:tcPr>
            <w:tcW w:w="255" w:type="pct"/>
            <w:gridSpan w:val="2"/>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Dec</w:t>
            </w:r>
          </w:p>
        </w:tc>
        <w:tc>
          <w:tcPr>
            <w:tcW w:w="282" w:type="pct"/>
            <w:gridSpan w:val="2"/>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Jan</w:t>
            </w:r>
          </w:p>
        </w:tc>
        <w:tc>
          <w:tcPr>
            <w:tcW w:w="318"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Feb</w:t>
            </w:r>
          </w:p>
        </w:tc>
        <w:tc>
          <w:tcPr>
            <w:tcW w:w="254"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Mar</w:t>
            </w:r>
          </w:p>
        </w:tc>
        <w:tc>
          <w:tcPr>
            <w:tcW w:w="359" w:type="pct"/>
            <w:gridSpan w:val="3"/>
            <w:tcBorders>
              <w:top w:val="nil"/>
              <w:left w:val="nil"/>
              <w:bottom w:val="single" w:sz="4" w:space="0" w:color="auto"/>
              <w:right w:val="single" w:sz="4" w:space="0" w:color="auto"/>
            </w:tcBorders>
            <w:shd w:val="clear" w:color="000000" w:fill="DBE5F1"/>
            <w:vAlign w:val="center"/>
            <w:hideMark/>
          </w:tcPr>
          <w:p w:rsidR="00116C0A" w:rsidRDefault="00116C0A" w:rsidP="003512AE">
            <w:pPr>
              <w:spacing w:before="0" w:line="240" w:lineRule="auto"/>
              <w:jc w:val="right"/>
              <w:rPr>
                <w:rFonts w:asciiTheme="minorHAnsi" w:hAnsiTheme="minorHAnsi"/>
                <w:b/>
                <w:sz w:val="22"/>
                <w:szCs w:val="22"/>
                <w:lang w:val="en-US"/>
              </w:rPr>
            </w:pPr>
            <w:r>
              <w:rPr>
                <w:rFonts w:asciiTheme="minorHAnsi" w:hAnsiTheme="minorHAnsi"/>
                <w:b/>
                <w:sz w:val="22"/>
                <w:szCs w:val="22"/>
                <w:lang w:val="en-US"/>
              </w:rPr>
              <w:t>Total</w:t>
            </w:r>
          </w:p>
        </w:tc>
      </w:tr>
      <w:tr w:rsidR="00116C0A" w:rsidRPr="00686CF8" w:rsidTr="003512AE">
        <w:trPr>
          <w:trHeight w:val="698"/>
        </w:trPr>
        <w:tc>
          <w:tcPr>
            <w:tcW w:w="1023" w:type="pct"/>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Allocation of Approved Power Purchase (MU)</w:t>
            </w:r>
          </w:p>
        </w:tc>
        <w:tc>
          <w:tcPr>
            <w:tcW w:w="31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11,111</w:t>
            </w:r>
          </w:p>
        </w:tc>
        <w:tc>
          <w:tcPr>
            <w:tcW w:w="31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12,211</w:t>
            </w:r>
          </w:p>
        </w:tc>
        <w:tc>
          <w:tcPr>
            <w:tcW w:w="31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12,174</w:t>
            </w:r>
          </w:p>
        </w:tc>
        <w:tc>
          <w:tcPr>
            <w:tcW w:w="319"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12,190</w:t>
            </w:r>
          </w:p>
        </w:tc>
        <w:tc>
          <w:tcPr>
            <w:tcW w:w="318"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12,299</w:t>
            </w:r>
          </w:p>
        </w:tc>
        <w:tc>
          <w:tcPr>
            <w:tcW w:w="318"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10,305</w:t>
            </w:r>
          </w:p>
        </w:tc>
        <w:tc>
          <w:tcPr>
            <w:tcW w:w="321" w:type="pct"/>
            <w:gridSpan w:val="6"/>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10,248</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9,151</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9,515</w:t>
            </w:r>
          </w:p>
        </w:tc>
        <w:tc>
          <w:tcPr>
            <w:tcW w:w="282"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9,717</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8,544</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9,952</w:t>
            </w:r>
          </w:p>
        </w:tc>
        <w:tc>
          <w:tcPr>
            <w:tcW w:w="359"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127,414</w:t>
            </w:r>
          </w:p>
        </w:tc>
      </w:tr>
      <w:tr w:rsidR="00116C0A" w:rsidRPr="00686CF8" w:rsidTr="003512AE">
        <w:trPr>
          <w:trHeight w:val="698"/>
        </w:trPr>
        <w:tc>
          <w:tcPr>
            <w:tcW w:w="1023" w:type="pct"/>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Approved average power power per unit (Rs/Unit)</w:t>
            </w:r>
          </w:p>
        </w:tc>
        <w:tc>
          <w:tcPr>
            <w:tcW w:w="31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9"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8"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8"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21" w:type="pct"/>
            <w:gridSpan w:val="6"/>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5"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82"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254"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p>
        </w:tc>
        <w:tc>
          <w:tcPr>
            <w:tcW w:w="359"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4.26</w:t>
            </w:r>
          </w:p>
        </w:tc>
      </w:tr>
      <w:tr w:rsidR="00116C0A" w:rsidRPr="00686CF8" w:rsidTr="003512AE">
        <w:trPr>
          <w:trHeight w:val="698"/>
        </w:trPr>
        <w:tc>
          <w:tcPr>
            <w:tcW w:w="1023" w:type="pct"/>
            <w:tcBorders>
              <w:top w:val="nil"/>
              <w:left w:val="single" w:sz="4" w:space="0" w:color="auto"/>
              <w:bottom w:val="single" w:sz="4" w:space="0" w:color="auto"/>
              <w:right w:val="single" w:sz="4" w:space="0" w:color="auto"/>
            </w:tcBorders>
            <w:shd w:val="clear" w:color="auto" w:fill="auto"/>
            <w:vAlign w:val="center"/>
            <w:hideMark/>
          </w:tcPr>
          <w:p w:rsidR="00116C0A" w:rsidRDefault="00116C0A" w:rsidP="003512AE">
            <w:pPr>
              <w:spacing w:before="0" w:line="240" w:lineRule="auto"/>
              <w:jc w:val="left"/>
              <w:rPr>
                <w:rFonts w:asciiTheme="minorHAnsi" w:hAnsiTheme="minorHAnsi"/>
                <w:sz w:val="22"/>
                <w:szCs w:val="22"/>
                <w:lang w:val="en-US"/>
              </w:rPr>
            </w:pPr>
            <w:r>
              <w:rPr>
                <w:rFonts w:asciiTheme="minorHAnsi" w:hAnsiTheme="minorHAnsi"/>
                <w:sz w:val="22"/>
                <w:szCs w:val="22"/>
                <w:lang w:val="en-US"/>
              </w:rPr>
              <w:t>Allocated Approved Power Purchase Cost (Rs. Crs)</w:t>
            </w:r>
          </w:p>
        </w:tc>
        <w:tc>
          <w:tcPr>
            <w:tcW w:w="31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4,736</w:t>
            </w:r>
          </w:p>
        </w:tc>
        <w:tc>
          <w:tcPr>
            <w:tcW w:w="317"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5,205</w:t>
            </w:r>
          </w:p>
        </w:tc>
        <w:tc>
          <w:tcPr>
            <w:tcW w:w="316"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5,189</w:t>
            </w:r>
          </w:p>
        </w:tc>
        <w:tc>
          <w:tcPr>
            <w:tcW w:w="319"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5,196</w:t>
            </w:r>
          </w:p>
        </w:tc>
        <w:tc>
          <w:tcPr>
            <w:tcW w:w="318" w:type="pct"/>
            <w:gridSpan w:val="5"/>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5,242</w:t>
            </w:r>
          </w:p>
        </w:tc>
        <w:tc>
          <w:tcPr>
            <w:tcW w:w="318" w:type="pct"/>
            <w:gridSpan w:val="4"/>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4,392</w:t>
            </w:r>
          </w:p>
        </w:tc>
        <w:tc>
          <w:tcPr>
            <w:tcW w:w="321" w:type="pct"/>
            <w:gridSpan w:val="6"/>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4,368</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3,901</w:t>
            </w:r>
          </w:p>
        </w:tc>
        <w:tc>
          <w:tcPr>
            <w:tcW w:w="255"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4,056</w:t>
            </w:r>
          </w:p>
        </w:tc>
        <w:tc>
          <w:tcPr>
            <w:tcW w:w="282" w:type="pct"/>
            <w:gridSpan w:val="2"/>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4,142</w:t>
            </w:r>
          </w:p>
        </w:tc>
        <w:tc>
          <w:tcPr>
            <w:tcW w:w="318"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3,642</w:t>
            </w:r>
          </w:p>
        </w:tc>
        <w:tc>
          <w:tcPr>
            <w:tcW w:w="254"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4,242</w:t>
            </w:r>
          </w:p>
        </w:tc>
        <w:tc>
          <w:tcPr>
            <w:tcW w:w="359" w:type="pct"/>
            <w:gridSpan w:val="3"/>
            <w:tcBorders>
              <w:top w:val="nil"/>
              <w:left w:val="nil"/>
              <w:bottom w:val="single" w:sz="4" w:space="0" w:color="auto"/>
              <w:right w:val="single" w:sz="4" w:space="0" w:color="auto"/>
            </w:tcBorders>
            <w:shd w:val="clear" w:color="auto" w:fill="auto"/>
            <w:noWrap/>
            <w:vAlign w:val="center"/>
            <w:hideMark/>
          </w:tcPr>
          <w:p w:rsidR="00116C0A" w:rsidRDefault="00116C0A" w:rsidP="003512AE">
            <w:pPr>
              <w:spacing w:before="0" w:line="240" w:lineRule="auto"/>
              <w:jc w:val="right"/>
              <w:rPr>
                <w:rFonts w:asciiTheme="minorHAnsi" w:hAnsiTheme="minorHAnsi"/>
                <w:sz w:val="22"/>
                <w:szCs w:val="22"/>
                <w:lang w:val="en-US"/>
              </w:rPr>
            </w:pPr>
            <w:r w:rsidRPr="00D27775">
              <w:rPr>
                <w:rFonts w:asciiTheme="minorHAnsi" w:hAnsiTheme="minorHAnsi"/>
                <w:sz w:val="22"/>
                <w:szCs w:val="22"/>
              </w:rPr>
              <w:t>54,307</w:t>
            </w:r>
          </w:p>
        </w:tc>
      </w:tr>
    </w:tbl>
    <w:p w:rsidR="00116C0A" w:rsidRPr="00C60AD1" w:rsidRDefault="00116C0A" w:rsidP="00C34658">
      <w:pPr>
        <w:pStyle w:val="Heading3"/>
        <w:numPr>
          <w:ilvl w:val="0"/>
          <w:numId w:val="0"/>
        </w:numPr>
        <w:spacing w:before="0"/>
        <w:ind w:left="936"/>
        <w:jc w:val="center"/>
        <w:rPr>
          <w:b/>
        </w:rPr>
      </w:pPr>
    </w:p>
    <w:p w:rsidR="00D5771F" w:rsidRDefault="00D5771F">
      <w:pPr>
        <w:pStyle w:val="Heading3"/>
        <w:numPr>
          <w:ilvl w:val="0"/>
          <w:numId w:val="0"/>
        </w:numPr>
        <w:spacing w:before="0"/>
        <w:ind w:left="936"/>
        <w:rPr>
          <w:b/>
        </w:rPr>
      </w:pPr>
    </w:p>
    <w:p w:rsidR="00D5771F" w:rsidRDefault="00D5771F">
      <w:pPr>
        <w:pStyle w:val="Heading3"/>
        <w:numPr>
          <w:ilvl w:val="0"/>
          <w:numId w:val="0"/>
        </w:numPr>
        <w:spacing w:before="0"/>
        <w:rPr>
          <w:b/>
        </w:rPr>
      </w:pPr>
    </w:p>
    <w:p w:rsidR="00D5771F" w:rsidRDefault="00D5771F">
      <w:pPr>
        <w:pStyle w:val="Heading3"/>
        <w:numPr>
          <w:ilvl w:val="0"/>
          <w:numId w:val="0"/>
        </w:numPr>
        <w:spacing w:before="0"/>
        <w:rPr>
          <w:b/>
        </w:rPr>
      </w:pPr>
    </w:p>
    <w:p w:rsidR="00D5771F" w:rsidRDefault="00D5771F">
      <w:pPr>
        <w:pStyle w:val="Heading3"/>
        <w:numPr>
          <w:ilvl w:val="0"/>
          <w:numId w:val="0"/>
        </w:numPr>
        <w:spacing w:before="0"/>
        <w:rPr>
          <w:b/>
        </w:rPr>
      </w:pPr>
    </w:p>
    <w:p w:rsidR="00D5771F" w:rsidRDefault="00D5771F">
      <w:pPr>
        <w:pStyle w:val="Heading3"/>
        <w:numPr>
          <w:ilvl w:val="0"/>
          <w:numId w:val="0"/>
        </w:numPr>
        <w:spacing w:before="0"/>
        <w:rPr>
          <w:b/>
        </w:rPr>
      </w:pPr>
    </w:p>
    <w:p w:rsidR="00D5771F" w:rsidRDefault="00D5771F">
      <w:pPr>
        <w:pStyle w:val="Heading3"/>
        <w:numPr>
          <w:ilvl w:val="0"/>
          <w:numId w:val="0"/>
        </w:numPr>
        <w:spacing w:before="0"/>
        <w:rPr>
          <w:b/>
        </w:rPr>
      </w:pPr>
    </w:p>
    <w:p w:rsidR="00D5771F" w:rsidRDefault="00D5771F">
      <w:pPr>
        <w:pStyle w:val="Heading3"/>
        <w:numPr>
          <w:ilvl w:val="0"/>
          <w:numId w:val="0"/>
        </w:numPr>
        <w:spacing w:before="0"/>
        <w:rPr>
          <w:b/>
        </w:rPr>
      </w:pPr>
    </w:p>
    <w:p w:rsidR="00D5771F" w:rsidRDefault="00D5771F">
      <w:pPr>
        <w:pStyle w:val="Heading3"/>
        <w:numPr>
          <w:ilvl w:val="0"/>
          <w:numId w:val="0"/>
        </w:numPr>
        <w:spacing w:before="0"/>
        <w:rPr>
          <w:b/>
        </w:rPr>
      </w:pPr>
    </w:p>
    <w:p w:rsidR="004A2974" w:rsidRDefault="004A2974">
      <w:pPr>
        <w:pStyle w:val="Heading2"/>
        <w:numPr>
          <w:ilvl w:val="1"/>
          <w:numId w:val="29"/>
        </w:numPr>
        <w:sectPr w:rsidR="004A2974" w:rsidSect="00C34658">
          <w:pgSz w:w="16834" w:h="11909" w:orient="landscape"/>
          <w:pgMar w:top="1800" w:right="1440" w:bottom="1440" w:left="1440" w:header="720" w:footer="720" w:gutter="0"/>
          <w:pgNumType w:chapSep="colon"/>
          <w:cols w:space="720"/>
          <w:docGrid w:linePitch="326"/>
        </w:sectPr>
      </w:pPr>
      <w:bookmarkStart w:id="3035" w:name="_Toc454752752"/>
      <w:bookmarkStart w:id="3036" w:name="_Toc455416014"/>
      <w:bookmarkStart w:id="3037" w:name="_Toc455482525"/>
      <w:bookmarkStart w:id="3038" w:name="_Toc455483239"/>
      <w:bookmarkStart w:id="3039" w:name="_Toc455483952"/>
      <w:bookmarkStart w:id="3040" w:name="_Toc455505561"/>
      <w:bookmarkStart w:id="3041" w:name="_Toc455575520"/>
      <w:bookmarkStart w:id="3042" w:name="_Toc455576234"/>
      <w:bookmarkStart w:id="3043" w:name="_Toc455576948"/>
      <w:bookmarkEnd w:id="3035"/>
      <w:bookmarkEnd w:id="3036"/>
      <w:bookmarkEnd w:id="3037"/>
      <w:bookmarkEnd w:id="3038"/>
      <w:bookmarkEnd w:id="3039"/>
      <w:bookmarkEnd w:id="3040"/>
      <w:bookmarkEnd w:id="3041"/>
      <w:bookmarkEnd w:id="3042"/>
      <w:bookmarkEnd w:id="3043"/>
    </w:p>
    <w:p w:rsidR="00D5771F" w:rsidRDefault="00E34329">
      <w:pPr>
        <w:pStyle w:val="Heading2"/>
        <w:numPr>
          <w:ilvl w:val="1"/>
          <w:numId w:val="29"/>
        </w:numPr>
        <w:rPr>
          <w:b w:val="0"/>
        </w:rPr>
      </w:pPr>
      <w:bookmarkStart w:id="3044" w:name="_Toc457603991"/>
      <w:r w:rsidRPr="00E34329">
        <w:lastRenderedPageBreak/>
        <w:t>ACTION TAKEN REPORT ON THE DIRECTIONS ISSUED BY THE COMMISSION IN THE ARR / TARIFF ORDER FOR FY 2016-17</w:t>
      </w:r>
      <w:bookmarkEnd w:id="3044"/>
    </w:p>
    <w:p w:rsidR="0002746C" w:rsidRDefault="0002746C" w:rsidP="00C34658">
      <w:pPr>
        <w:pStyle w:val="Heading3"/>
        <w:numPr>
          <w:ilvl w:val="0"/>
          <w:numId w:val="0"/>
        </w:numPr>
        <w:tabs>
          <w:tab w:val="clear" w:pos="720"/>
        </w:tabs>
        <w:spacing w:before="0"/>
        <w:rPr>
          <w:rFonts w:asciiTheme="minorHAnsi" w:hAnsiTheme="minorHAnsi"/>
          <w:b/>
        </w:rPr>
      </w:pPr>
    </w:p>
    <w:tbl>
      <w:tblPr>
        <w:tblW w:w="5025" w:type="pct"/>
        <w:tblInd w:w="-72" w:type="dxa"/>
        <w:tblLayout w:type="fixed"/>
        <w:tblLook w:val="04A0"/>
      </w:tblPr>
      <w:tblGrid>
        <w:gridCol w:w="787"/>
        <w:gridCol w:w="8305"/>
        <w:gridCol w:w="2905"/>
        <w:gridCol w:w="2244"/>
      </w:tblGrid>
      <w:tr w:rsidR="0002746C" w:rsidRPr="002E5937" w:rsidTr="005828E5">
        <w:trPr>
          <w:trHeight w:val="630"/>
          <w:tblHeader/>
        </w:trPr>
        <w:tc>
          <w:tcPr>
            <w:tcW w:w="276" w:type="pct"/>
            <w:tcBorders>
              <w:top w:val="single" w:sz="4" w:space="0" w:color="auto"/>
              <w:left w:val="single" w:sz="4" w:space="0" w:color="auto"/>
              <w:bottom w:val="single" w:sz="4" w:space="0" w:color="auto"/>
              <w:right w:val="single" w:sz="4" w:space="0" w:color="auto"/>
            </w:tcBorders>
            <w:shd w:val="clear" w:color="000000" w:fill="C5D9F1"/>
            <w:hideMark/>
          </w:tcPr>
          <w:p w:rsidR="00337C98" w:rsidRPr="002E5937" w:rsidRDefault="006C63AF" w:rsidP="00337C98">
            <w:pPr>
              <w:spacing w:before="0" w:line="240" w:lineRule="auto"/>
              <w:jc w:val="center"/>
              <w:rPr>
                <w:rFonts w:asciiTheme="minorHAnsi" w:hAnsiTheme="minorHAnsi" w:cstheme="minorHAnsi"/>
                <w:b/>
                <w:bCs/>
                <w:color w:val="000000" w:themeColor="text1"/>
              </w:rPr>
            </w:pPr>
            <w:r w:rsidRPr="006C63AF">
              <w:rPr>
                <w:rFonts w:asciiTheme="minorHAnsi" w:hAnsiTheme="minorHAnsi" w:cstheme="minorHAnsi"/>
                <w:b/>
                <w:bCs/>
                <w:color w:val="000000" w:themeColor="text1"/>
              </w:rPr>
              <w:t>Sl.No.</w:t>
            </w:r>
          </w:p>
        </w:tc>
        <w:tc>
          <w:tcPr>
            <w:tcW w:w="2916" w:type="pct"/>
            <w:tcBorders>
              <w:top w:val="single" w:sz="4" w:space="0" w:color="auto"/>
              <w:left w:val="nil"/>
              <w:bottom w:val="single" w:sz="4" w:space="0" w:color="auto"/>
              <w:right w:val="single" w:sz="4" w:space="0" w:color="auto"/>
            </w:tcBorders>
            <w:shd w:val="clear" w:color="000000" w:fill="C5D9F1"/>
            <w:hideMark/>
          </w:tcPr>
          <w:p w:rsidR="00337C98" w:rsidRPr="002E5937" w:rsidRDefault="006C63AF" w:rsidP="00337C98">
            <w:pPr>
              <w:spacing w:before="0" w:line="240" w:lineRule="auto"/>
              <w:jc w:val="center"/>
              <w:rPr>
                <w:rFonts w:asciiTheme="minorHAnsi" w:hAnsiTheme="minorHAnsi" w:cstheme="minorHAnsi"/>
                <w:b/>
                <w:bCs/>
                <w:color w:val="000000" w:themeColor="text1"/>
              </w:rPr>
            </w:pPr>
            <w:r w:rsidRPr="006C63AF">
              <w:rPr>
                <w:rFonts w:asciiTheme="minorHAnsi" w:hAnsiTheme="minorHAnsi" w:cstheme="minorHAnsi"/>
                <w:b/>
                <w:bCs/>
                <w:color w:val="000000" w:themeColor="text1"/>
              </w:rPr>
              <w:t>Description of Directive</w:t>
            </w:r>
          </w:p>
        </w:tc>
        <w:tc>
          <w:tcPr>
            <w:tcW w:w="1020" w:type="pct"/>
            <w:tcBorders>
              <w:top w:val="single" w:sz="4" w:space="0" w:color="auto"/>
              <w:left w:val="nil"/>
              <w:bottom w:val="single" w:sz="4" w:space="0" w:color="auto"/>
              <w:right w:val="single" w:sz="4" w:space="0" w:color="auto"/>
            </w:tcBorders>
            <w:shd w:val="clear" w:color="000000" w:fill="C5D9F1"/>
            <w:hideMark/>
          </w:tcPr>
          <w:p w:rsidR="00337C98" w:rsidRPr="002E5937" w:rsidRDefault="006C63AF" w:rsidP="00337C98">
            <w:pPr>
              <w:spacing w:before="0" w:line="240" w:lineRule="auto"/>
              <w:jc w:val="center"/>
              <w:rPr>
                <w:rFonts w:asciiTheme="minorHAnsi" w:hAnsiTheme="minorHAnsi" w:cstheme="minorHAnsi"/>
                <w:b/>
                <w:bCs/>
                <w:color w:val="000000" w:themeColor="text1"/>
              </w:rPr>
            </w:pPr>
            <w:r w:rsidRPr="006C63AF">
              <w:rPr>
                <w:rFonts w:asciiTheme="minorHAnsi" w:hAnsiTheme="minorHAnsi" w:cstheme="minorHAnsi"/>
                <w:b/>
                <w:bCs/>
                <w:color w:val="000000" w:themeColor="text1"/>
              </w:rPr>
              <w:t>Time Period for compliance from the date of issue of the Tariff Order</w:t>
            </w:r>
          </w:p>
        </w:tc>
        <w:tc>
          <w:tcPr>
            <w:tcW w:w="788" w:type="pct"/>
            <w:tcBorders>
              <w:top w:val="single" w:sz="4" w:space="0" w:color="auto"/>
              <w:left w:val="nil"/>
              <w:bottom w:val="single" w:sz="4" w:space="0" w:color="auto"/>
              <w:right w:val="single" w:sz="4" w:space="0" w:color="auto"/>
            </w:tcBorders>
            <w:shd w:val="clear" w:color="000000" w:fill="C5D9F1"/>
          </w:tcPr>
          <w:p w:rsidR="00337C98" w:rsidRPr="002E5937" w:rsidRDefault="006C63AF" w:rsidP="00337C98">
            <w:pPr>
              <w:spacing w:before="0" w:line="240" w:lineRule="auto"/>
              <w:jc w:val="center"/>
              <w:rPr>
                <w:rFonts w:asciiTheme="minorHAnsi" w:hAnsiTheme="minorHAnsi" w:cstheme="minorHAnsi"/>
                <w:b/>
                <w:bCs/>
                <w:color w:val="000000" w:themeColor="text1"/>
              </w:rPr>
            </w:pPr>
            <w:r w:rsidRPr="006C63AF">
              <w:rPr>
                <w:rFonts w:asciiTheme="minorHAnsi" w:hAnsiTheme="minorHAnsi" w:cstheme="minorHAnsi"/>
                <w:b/>
                <w:bCs/>
                <w:color w:val="000000" w:themeColor="text1"/>
              </w:rPr>
              <w:t>Status of Compliance</w:t>
            </w:r>
          </w:p>
        </w:tc>
      </w:tr>
      <w:tr w:rsidR="0002746C" w:rsidRPr="002E5937" w:rsidTr="005828E5">
        <w:trPr>
          <w:trHeight w:val="386"/>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1</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Licensee to pressingly pursue the GoUP for finalisation of the Transfer Scheme and submit a copy of the same.</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2</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again reiterates its direction to the Licensee to ensure proper maintenance of detailed fixed assets registers as specified in the Distribution Tariff Regulations. As the fixed asset registers are pending since the creation of Discom, the Commission directs the Licensee to submit a status report and provide the proposed timelines / milestones for clearing the backlog. Also, the Petitioner must submit the Fixed Asset Register from FY 2012-13 to FY 2015-16 along with the petition for FY 2017-18.</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With next ARR filings</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53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3</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Licensee to frame an appropriate policy on capitalization of (i) employee costs, and (ii) A&amp;G expenses.</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57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4</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Licensee to submit Fresh Actuarial Valuation Study Report in respect to employee expenses.</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5</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As lack of approved transparent policy on identifying and writing off bad debts is hindering allowance of bad debts as an ARR component; the Commission directs the Licensee to submit ten sample cases of LT &amp; HT consumers where orders have been issued for writing off bad debts, clearly depicting the procedure adopted for writing off bad debts along with policy framework for managing bad debts for the Commission’s perusal.</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24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6</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 xml:space="preserve">The Commission directs the Licensee to evolve principles for prudent segregation of ARR towards wheeling function and retail supply function embedded in the </w:t>
            </w:r>
            <w:r w:rsidRPr="006C63AF">
              <w:rPr>
                <w:rFonts w:asciiTheme="minorHAnsi" w:hAnsiTheme="minorHAnsi" w:cstheme="minorHAnsi"/>
                <w:color w:val="000000" w:themeColor="text1"/>
              </w:rPr>
              <w:lastRenderedPageBreak/>
              <w:t>distribution function in accordance with Regulation 36 of the Multi Year Tariff Regulations, 2014. Further the Licensee is directed to submit the draft Term of Reference for the approval of the Commission.</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lastRenderedPageBreak/>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lastRenderedPageBreak/>
              <w:t>7</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Licensee to submit a business plan for the control period i.e. from April 1, 2017 to March 31, 2020   in accordance with Regulation 5, 12.1 &amp; 13.1 of the Multi Year Tariff Regulations, 2014. The Licensee in such business plan shall submit but not limited  to  detailed  category-wise  sales  and  demand  projections,  power  procurement  plan, capital investment plan, financing plan and physical targets. The licensee should note that the specified timeline of June 1, 2016 for submission of the same under the Multi Year Tariff Regulation is over. The Licensee should submit the same at the earliest.</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24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8</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Licensee to conduct benchmarking studies to determine the desired performance standards in accordance with Regulation 4.2.1 of the Multi Year Tariff Regulations, 2014. The licensee should note that specified timeline of September 30, 2015 for submission of the same under the Multi Year Tariff Regulation, 2014 is over. The Licensee should submit the same at the earliest.</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728"/>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9</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Licensee to ensure compliance of the Commission's Orders and targets to achieve 100% metering. The Licensee should submit the Quarterly progress report in this regard</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75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10</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 xml:space="preserve">The Commission directs the Licensee to submit data related to its peak demand and off peak demand in MW along with its sales projections in accordance with Clause 3.1.4 of the Distribution Tariff Regulations. Licensee should submit the </w:t>
            </w:r>
            <w:r w:rsidRPr="006C63AF">
              <w:rPr>
                <w:rFonts w:asciiTheme="minorHAnsi" w:hAnsiTheme="minorHAnsi" w:cstheme="minorHAnsi"/>
                <w:color w:val="000000" w:themeColor="text1"/>
              </w:rPr>
              <w:lastRenderedPageBreak/>
              <w:t>same for its licensee area.</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lastRenderedPageBreak/>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341"/>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lastRenderedPageBreak/>
              <w:t>11</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once again directs the Licensee to reconcile the inter-unit balances lying un-reconciled either itself or through independent chartered accountant firms. The Commission has trued-up the ARR for various years. However, it has been observed that the amount shown in head of inter-unit balance is very high and a detailed reconciliation and breakup of the same should be submitted to the Commission. The above details should be submitted for FY 2011-12, FY 2012-13, 2013-14, 2014-15 and 2015-16.</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12</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once again directs the licensee that they should file FPPCA in a timely and regular manner failing which the Commission may have to resort to take strict action against the Licensee like disallowance of additional power purchase expenses and the associated carrying cost on account of additional Power Purchase expenses or any other action that the Commission may deem fit while doing the Truing up.</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13</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Licensee to submit the consumer category and sub-category wise Regulatory Surcharges separately for Regulatory Surcharge-1 &amp; Regulatory Surcharge-2 collected for each year since inception at the earliest.</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14</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 xml:space="preserve">The Commission reiterates that the Licensee should adhere to the time line outlined in Uttar Pradesh Electricity Regulatory Commission (Multi Year Distribution Tariff) Regulations, 2014 for conducting a detailed study to provide accurate and effective consumption norms as specified by the Commission in its earlier directions. The licensee should note that specified timeline of December 1, </w:t>
            </w:r>
            <w:r w:rsidRPr="006C63AF">
              <w:rPr>
                <w:rFonts w:asciiTheme="minorHAnsi" w:hAnsiTheme="minorHAnsi" w:cstheme="minorHAnsi"/>
                <w:color w:val="000000" w:themeColor="text1"/>
              </w:rPr>
              <w:lastRenderedPageBreak/>
              <w:t>2015 for submission of the same under the Multi Year Tariff Regulation, 2014 has expired. The Licensee should submit the same at the earliest.</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lastRenderedPageBreak/>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24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lastRenderedPageBreak/>
              <w:t>15</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once again directs the Distribution Licensee to formulate a mechanism so as to make their officials accountable by providing incentives or disincentives for achievement or non-achievement of the distribution loss and the collection efficiency targets.  The Licensee should submit the same at the earliest.</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57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16</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Petitioner to sign the MoUs to be implemented at all levels and submit the copy of the same to the Commission</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17</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Petitioner should complete the Assessment Study of metered consumers as per the Regulations 16.2 notified vide MYT Regulations, 2014 and subsequently submit the report to the Commission. The licensee should note that specified timeline of September 30, 2015 for submission of the same under the Multi Year Tariff Regulation, 2014 has expired. The Licensee should submit the same at the earliest.</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18</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Petitioner should complete the Assessment Study of un-metered consumers to establish base line norms as per the Regulations 17.1 notified vide MYT Regulations, 2014 and subsequently submit the report to the Commission. The licensee should note that specified timeline of December 1, 2015 for submission of the same under the Multi Year Tariff Regulation, 2014 is over . The Licensee should submit the same at the earliest.</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lastRenderedPageBreak/>
              <w:t>19</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Petitioner should complete the Study of Agriculture  feeders segregated and not segregated in significant numbers to determine base line norms as per the Regulations17.2, 17.3 notified vide MYT Regulations, 2014 and subsequently submit the report to the Commission. The licensee should note that specified timeline of December 1, 2015 for submission of the same under the Multi Year Tariff Regulation, 2014 is over. The Licensee should submit the same at the earliest.</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15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20</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Petitioner should submit Roadmap for Reduction of Cross Subsidy as per the Regulation 39 notified vide MYT Regulations, 2014. The licensee should note that specified timeline of October , 2014 for submission of the same under the Multi Year Tariff Regulation, 2014 is over . The Licensee should submit the same at the earliest.</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42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21</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Petitioner should submit month wise details of number of supply hours for rural and urban area for FY 2014-15 &amp; FY 2015-16</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Within one month from issue of this  Order</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24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22</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Petitioner should submit information with regard to the performance parameters like number of consumers added, number of unmetered consumers converted to metered consumers and actual distribution loss in FY 2014-15 &amp; FY 2015-16. The Petitioner is hereby directed to submit the relevant information at the earliest from the issuance of this Order.</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At the earliest</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701"/>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23</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Petitioner to frame guidelines and procedures for identifying, physically verifying and writing off the bad debts and also to fix responsibility of its employees in this regard and submit the same to the Commission for its approval.</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Immediate</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828E5">
        <w:trPr>
          <w:trHeight w:val="737"/>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lastRenderedPageBreak/>
              <w:t>24</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Licensee that it should clearly depict the total power purchase cost incurred at UPPCL level, total power purchase cost paid by the Licensee to UPPCL and power cost payable to UPPCL for the year 2016.</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At the time of next ARR filings</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02746C" w:rsidRPr="002E5937" w:rsidTr="0059575F">
        <w:trPr>
          <w:trHeight w:val="35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25</w:t>
            </w:r>
          </w:p>
        </w:tc>
        <w:tc>
          <w:tcPr>
            <w:tcW w:w="2916" w:type="pct"/>
            <w:tcBorders>
              <w:top w:val="nil"/>
              <w:left w:val="nil"/>
              <w:bottom w:val="single" w:sz="4" w:space="0" w:color="auto"/>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Licensees to submit every month a report comprising the details of the power purchased from all the sources demonstrating that the Merit Order Dispatch Principle has been strictly followed and that the procurement was optimal in regard to cost taking into consideration of the power available at the power exchanges etc.</w:t>
            </w:r>
          </w:p>
        </w:tc>
        <w:tc>
          <w:tcPr>
            <w:tcW w:w="1020" w:type="pct"/>
            <w:tcBorders>
              <w:top w:val="nil"/>
              <w:left w:val="nil"/>
              <w:bottom w:val="single" w:sz="4" w:space="0" w:color="auto"/>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Monthly Basis</w:t>
            </w: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bCs/>
                <w:color w:val="000000" w:themeColor="text1"/>
              </w:rPr>
            </w:pPr>
          </w:p>
        </w:tc>
      </w:tr>
      <w:tr w:rsidR="0059575F" w:rsidRPr="002E5937" w:rsidTr="00D81F9B">
        <w:trPr>
          <w:trHeight w:val="773"/>
        </w:trPr>
        <w:tc>
          <w:tcPr>
            <w:tcW w:w="276" w:type="pct"/>
            <w:tcBorders>
              <w:top w:val="single" w:sz="4" w:space="0" w:color="auto"/>
              <w:left w:val="single" w:sz="4" w:space="0" w:color="auto"/>
              <w:bottom w:val="nil"/>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26</w:t>
            </w:r>
          </w:p>
        </w:tc>
        <w:tc>
          <w:tcPr>
            <w:tcW w:w="2916" w:type="pct"/>
            <w:tcBorders>
              <w:top w:val="single" w:sz="4" w:space="0" w:color="auto"/>
              <w:left w:val="nil"/>
              <w:bottom w:val="nil"/>
              <w:right w:val="single" w:sz="4" w:space="0" w:color="auto"/>
            </w:tcBorders>
            <w:shd w:val="clear" w:color="auto" w:fill="auto"/>
            <w:noWrap/>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The Petitioner should file the MYT Petition for the Control FY 2017-18 to FY 2019-20 as per the Regulations 12.2, 12.7, 12.8 &amp; 12.9 as per MYT Regulations, 2014</w:t>
            </w:r>
          </w:p>
        </w:tc>
        <w:tc>
          <w:tcPr>
            <w:tcW w:w="1020" w:type="pct"/>
            <w:tcBorders>
              <w:top w:val="single" w:sz="4" w:space="0" w:color="auto"/>
              <w:left w:val="nil"/>
              <w:bottom w:val="nil"/>
              <w:right w:val="single" w:sz="4" w:space="0" w:color="auto"/>
            </w:tcBorders>
            <w:shd w:val="clear" w:color="auto" w:fill="auto"/>
            <w:hideMark/>
          </w:tcPr>
          <w:p w:rsidR="00337C98" w:rsidRPr="002E5937" w:rsidRDefault="006C63AF" w:rsidP="00337C98">
            <w:pPr>
              <w:spacing w:before="0" w:line="240" w:lineRule="auto"/>
              <w:rPr>
                <w:rFonts w:asciiTheme="minorHAnsi" w:hAnsiTheme="minorHAnsi" w:cstheme="minorHAnsi"/>
                <w:color w:val="000000" w:themeColor="text1"/>
              </w:rPr>
            </w:pPr>
            <w:r w:rsidRPr="006C63AF">
              <w:rPr>
                <w:rFonts w:asciiTheme="minorHAnsi" w:hAnsiTheme="minorHAnsi" w:cstheme="minorHAnsi"/>
                <w:color w:val="000000" w:themeColor="text1"/>
              </w:rPr>
              <w:t>As per MYT timeline</w:t>
            </w:r>
          </w:p>
        </w:tc>
        <w:tc>
          <w:tcPr>
            <w:tcW w:w="788" w:type="pct"/>
            <w:tcBorders>
              <w:top w:val="single" w:sz="4" w:space="0" w:color="auto"/>
              <w:left w:val="nil"/>
              <w:bottom w:val="nil"/>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color w:val="000000" w:themeColor="text1"/>
              </w:rPr>
            </w:pPr>
          </w:p>
        </w:tc>
      </w:tr>
      <w:tr w:rsidR="00B61184" w:rsidRPr="002E5937" w:rsidTr="0059575F">
        <w:trPr>
          <w:trHeight w:val="629"/>
        </w:trPr>
        <w:tc>
          <w:tcPr>
            <w:tcW w:w="276" w:type="pct"/>
            <w:tcBorders>
              <w:top w:val="single" w:sz="4" w:space="0" w:color="auto"/>
              <w:left w:val="single" w:sz="4" w:space="0" w:color="auto"/>
              <w:bottom w:val="nil"/>
              <w:right w:val="single" w:sz="4" w:space="0" w:color="auto"/>
            </w:tcBorders>
            <w:shd w:val="clear" w:color="auto" w:fill="auto"/>
            <w:vAlign w:val="center"/>
            <w:hideMark/>
          </w:tcPr>
          <w:p w:rsidR="00337C98" w:rsidRPr="002E5937" w:rsidRDefault="006C63AF" w:rsidP="00337C98">
            <w:pPr>
              <w:spacing w:before="0" w:line="240" w:lineRule="auto"/>
              <w:jc w:val="center"/>
              <w:rPr>
                <w:rFonts w:asciiTheme="minorHAnsi" w:hAnsiTheme="minorHAnsi" w:cstheme="minorHAnsi"/>
                <w:color w:val="000000" w:themeColor="text1"/>
              </w:rPr>
            </w:pPr>
            <w:r w:rsidRPr="006C63AF">
              <w:rPr>
                <w:rFonts w:asciiTheme="minorHAnsi" w:hAnsiTheme="minorHAnsi" w:cstheme="minorHAnsi"/>
                <w:color w:val="000000" w:themeColor="text1"/>
              </w:rPr>
              <w:t>27</w:t>
            </w:r>
          </w:p>
        </w:tc>
        <w:tc>
          <w:tcPr>
            <w:tcW w:w="2916" w:type="pct"/>
            <w:tcBorders>
              <w:top w:val="single" w:sz="4" w:space="0" w:color="auto"/>
              <w:left w:val="nil"/>
              <w:bottom w:val="nil"/>
              <w:right w:val="single" w:sz="4" w:space="0" w:color="auto"/>
            </w:tcBorders>
            <w:shd w:val="clear" w:color="auto" w:fill="auto"/>
            <w:noWrap/>
            <w:hideMark/>
          </w:tcPr>
          <w:p w:rsidR="00337C98" w:rsidRPr="002E5937" w:rsidRDefault="006C63AF" w:rsidP="00337C98">
            <w:pPr>
              <w:spacing w:before="0" w:line="240" w:lineRule="auto"/>
              <w:ind w:left="-720" w:right="29" w:firstLine="720"/>
              <w:rPr>
                <w:rFonts w:asciiTheme="minorHAnsi" w:hAnsiTheme="minorHAnsi" w:cstheme="minorHAnsi"/>
                <w:color w:val="000000" w:themeColor="text1"/>
              </w:rPr>
            </w:pPr>
            <w:r w:rsidRPr="006C63AF">
              <w:rPr>
                <w:rFonts w:asciiTheme="minorHAnsi" w:hAnsiTheme="minorHAnsi" w:cstheme="minorHAnsi"/>
                <w:color w:val="000000" w:themeColor="text1"/>
              </w:rPr>
              <w:t>The Commission directs the Petitioner to submit a proposal for “Rate Schedule” linked to number of hours of supply.</w:t>
            </w:r>
          </w:p>
        </w:tc>
        <w:tc>
          <w:tcPr>
            <w:tcW w:w="1020" w:type="pct"/>
            <w:tcBorders>
              <w:top w:val="single" w:sz="4" w:space="0" w:color="auto"/>
              <w:left w:val="nil"/>
              <w:bottom w:val="nil"/>
              <w:right w:val="single" w:sz="4" w:space="0" w:color="auto"/>
            </w:tcBorders>
            <w:shd w:val="clear" w:color="auto" w:fill="auto"/>
            <w:hideMark/>
          </w:tcPr>
          <w:p w:rsidR="00337C98" w:rsidRPr="002E5937" w:rsidRDefault="006C63AF" w:rsidP="00337C98">
            <w:pPr>
              <w:spacing w:before="0" w:line="240" w:lineRule="auto"/>
              <w:ind w:left="-720" w:right="29" w:firstLine="720"/>
              <w:rPr>
                <w:rFonts w:asciiTheme="minorHAnsi" w:hAnsiTheme="minorHAnsi" w:cstheme="minorHAnsi"/>
                <w:color w:val="000000" w:themeColor="text1"/>
              </w:rPr>
            </w:pPr>
            <w:r w:rsidRPr="006C63AF">
              <w:rPr>
                <w:rFonts w:asciiTheme="minorHAnsi" w:hAnsiTheme="minorHAnsi" w:cstheme="minorHAnsi"/>
                <w:color w:val="000000" w:themeColor="text1"/>
              </w:rPr>
              <w:t>At the time of next ARR filings</w:t>
            </w:r>
          </w:p>
        </w:tc>
        <w:tc>
          <w:tcPr>
            <w:tcW w:w="788" w:type="pct"/>
            <w:tcBorders>
              <w:top w:val="single" w:sz="4" w:space="0" w:color="auto"/>
              <w:left w:val="nil"/>
              <w:bottom w:val="nil"/>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color w:val="000000" w:themeColor="text1"/>
              </w:rPr>
            </w:pPr>
          </w:p>
        </w:tc>
      </w:tr>
      <w:tr w:rsidR="00150688" w:rsidRPr="002E5937" w:rsidTr="00150688">
        <w:trPr>
          <w:trHeight w:val="629"/>
        </w:trPr>
        <w:tc>
          <w:tcPr>
            <w:tcW w:w="276" w:type="pct"/>
            <w:tcBorders>
              <w:top w:val="single" w:sz="4" w:space="0" w:color="auto"/>
              <w:left w:val="single" w:sz="4" w:space="0" w:color="auto"/>
              <w:bottom w:val="nil"/>
              <w:right w:val="single" w:sz="4" w:space="0" w:color="auto"/>
            </w:tcBorders>
            <w:shd w:val="clear" w:color="auto" w:fill="auto"/>
            <w:vAlign w:val="center"/>
            <w:hideMark/>
          </w:tcPr>
          <w:p w:rsidR="00150688" w:rsidRPr="006C63AF" w:rsidRDefault="00150688" w:rsidP="00337C98">
            <w:pPr>
              <w:spacing w:before="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28</w:t>
            </w:r>
          </w:p>
        </w:tc>
        <w:tc>
          <w:tcPr>
            <w:tcW w:w="2916" w:type="pct"/>
            <w:tcBorders>
              <w:top w:val="single" w:sz="4" w:space="0" w:color="auto"/>
              <w:left w:val="nil"/>
              <w:bottom w:val="nil"/>
              <w:right w:val="single" w:sz="4" w:space="0" w:color="auto"/>
            </w:tcBorders>
            <w:shd w:val="clear" w:color="auto" w:fill="auto"/>
            <w:noWrap/>
            <w:hideMark/>
          </w:tcPr>
          <w:p w:rsidR="00150688" w:rsidRPr="006C63AF" w:rsidRDefault="00150688" w:rsidP="00337C98">
            <w:pPr>
              <w:spacing w:before="0" w:line="240" w:lineRule="auto"/>
              <w:ind w:left="-720" w:right="29" w:firstLine="720"/>
              <w:rPr>
                <w:rFonts w:asciiTheme="minorHAnsi" w:hAnsiTheme="minorHAnsi" w:cstheme="minorHAnsi"/>
                <w:color w:val="000000" w:themeColor="text1"/>
              </w:rPr>
            </w:pPr>
            <w:r>
              <w:rPr>
                <w:rFonts w:cstheme="minorHAnsi"/>
                <w:color w:val="000000" w:themeColor="text1"/>
              </w:rPr>
              <w:t>The Licensee is directed to explore the possibility of having TOD tariff structure for domestic and non-domestic categories and submit their proposal.</w:t>
            </w:r>
          </w:p>
        </w:tc>
        <w:tc>
          <w:tcPr>
            <w:tcW w:w="1020" w:type="pct"/>
            <w:tcBorders>
              <w:top w:val="single" w:sz="4" w:space="0" w:color="auto"/>
              <w:left w:val="nil"/>
              <w:bottom w:val="nil"/>
              <w:right w:val="single" w:sz="4" w:space="0" w:color="auto"/>
            </w:tcBorders>
            <w:shd w:val="clear" w:color="auto" w:fill="auto"/>
            <w:hideMark/>
          </w:tcPr>
          <w:p w:rsidR="00150688" w:rsidRDefault="00150688" w:rsidP="00150688">
            <w:pPr>
              <w:spacing w:before="0" w:line="240" w:lineRule="auto"/>
              <w:jc w:val="left"/>
              <w:rPr>
                <w:rFonts w:cstheme="minorHAnsi"/>
                <w:color w:val="000000" w:themeColor="text1"/>
                <w:sz w:val="22"/>
                <w:szCs w:val="22"/>
              </w:rPr>
            </w:pPr>
            <w:r>
              <w:rPr>
                <w:rFonts w:cstheme="minorHAnsi"/>
                <w:color w:val="000000" w:themeColor="text1"/>
              </w:rPr>
              <w:t>At the time of next ARR filings</w:t>
            </w:r>
          </w:p>
          <w:p w:rsidR="00150688" w:rsidRPr="006C63AF" w:rsidRDefault="00150688" w:rsidP="00150688">
            <w:pPr>
              <w:spacing w:before="0" w:line="240" w:lineRule="auto"/>
              <w:ind w:left="-720" w:right="29" w:firstLine="720"/>
              <w:jc w:val="left"/>
              <w:rPr>
                <w:rFonts w:asciiTheme="minorHAnsi" w:hAnsiTheme="minorHAnsi" w:cstheme="minorHAnsi"/>
                <w:color w:val="000000" w:themeColor="text1"/>
              </w:rPr>
            </w:pPr>
          </w:p>
        </w:tc>
        <w:tc>
          <w:tcPr>
            <w:tcW w:w="788" w:type="pct"/>
            <w:tcBorders>
              <w:top w:val="single" w:sz="4" w:space="0" w:color="auto"/>
              <w:left w:val="nil"/>
              <w:bottom w:val="nil"/>
              <w:right w:val="single" w:sz="4" w:space="0" w:color="auto"/>
            </w:tcBorders>
          </w:tcPr>
          <w:p w:rsidR="00150688" w:rsidRPr="002E5937" w:rsidRDefault="00150688" w:rsidP="00B028E7">
            <w:pPr>
              <w:tabs>
                <w:tab w:val="left" w:pos="720"/>
              </w:tabs>
              <w:spacing w:before="0" w:line="240" w:lineRule="auto"/>
              <w:ind w:left="1929"/>
              <w:outlineLvl w:val="2"/>
              <w:rPr>
                <w:rFonts w:asciiTheme="minorHAnsi" w:hAnsiTheme="minorHAnsi" w:cstheme="minorHAnsi"/>
                <w:color w:val="000000" w:themeColor="text1"/>
              </w:rPr>
            </w:pPr>
          </w:p>
        </w:tc>
      </w:tr>
      <w:tr w:rsidR="00B61184" w:rsidRPr="002E5937" w:rsidTr="00D501D3">
        <w:trPr>
          <w:trHeight w:val="87"/>
        </w:trPr>
        <w:tc>
          <w:tcPr>
            <w:tcW w:w="276" w:type="pct"/>
            <w:tcBorders>
              <w:top w:val="nil"/>
              <w:left w:val="single" w:sz="4" w:space="0" w:color="auto"/>
              <w:bottom w:val="single" w:sz="4" w:space="0" w:color="auto"/>
              <w:right w:val="single" w:sz="4" w:space="0" w:color="auto"/>
            </w:tcBorders>
            <w:shd w:val="clear" w:color="auto" w:fill="auto"/>
            <w:vAlign w:val="center"/>
          </w:tcPr>
          <w:p w:rsidR="00337C98" w:rsidRPr="002E5937" w:rsidRDefault="00337C98" w:rsidP="00337C98">
            <w:pPr>
              <w:numPr>
                <w:ilvl w:val="2"/>
                <w:numId w:val="11"/>
              </w:numPr>
              <w:tabs>
                <w:tab w:val="left" w:pos="720"/>
              </w:tabs>
              <w:spacing w:before="0" w:line="240" w:lineRule="auto"/>
              <w:jc w:val="center"/>
              <w:outlineLvl w:val="2"/>
              <w:rPr>
                <w:rFonts w:asciiTheme="minorHAnsi" w:hAnsiTheme="minorHAnsi" w:cstheme="minorHAnsi"/>
                <w:color w:val="000000" w:themeColor="text1"/>
              </w:rPr>
            </w:pPr>
          </w:p>
        </w:tc>
        <w:tc>
          <w:tcPr>
            <w:tcW w:w="2916" w:type="pct"/>
            <w:tcBorders>
              <w:top w:val="nil"/>
              <w:left w:val="nil"/>
              <w:bottom w:val="single" w:sz="4" w:space="0" w:color="auto"/>
              <w:right w:val="single" w:sz="4" w:space="0" w:color="auto"/>
            </w:tcBorders>
            <w:shd w:val="clear" w:color="auto" w:fill="auto"/>
            <w:noWrap/>
          </w:tcPr>
          <w:p w:rsidR="00337C98" w:rsidRPr="002E5937" w:rsidRDefault="00337C98" w:rsidP="00B028E7">
            <w:pPr>
              <w:tabs>
                <w:tab w:val="left" w:pos="720"/>
              </w:tabs>
              <w:spacing w:before="0" w:line="240" w:lineRule="auto"/>
              <w:outlineLvl w:val="2"/>
              <w:rPr>
                <w:rFonts w:asciiTheme="minorHAnsi" w:hAnsiTheme="minorHAnsi" w:cstheme="minorHAnsi"/>
                <w:color w:val="000000" w:themeColor="text1"/>
              </w:rPr>
            </w:pPr>
          </w:p>
        </w:tc>
        <w:tc>
          <w:tcPr>
            <w:tcW w:w="1020" w:type="pct"/>
            <w:tcBorders>
              <w:top w:val="nil"/>
              <w:left w:val="nil"/>
              <w:bottom w:val="single" w:sz="4" w:space="0" w:color="auto"/>
              <w:right w:val="single" w:sz="4" w:space="0" w:color="auto"/>
            </w:tcBorders>
            <w:shd w:val="clear" w:color="auto" w:fill="auto"/>
          </w:tcPr>
          <w:p w:rsidR="00337C98" w:rsidRPr="002E5937" w:rsidRDefault="00337C98" w:rsidP="00B028E7">
            <w:pPr>
              <w:tabs>
                <w:tab w:val="left" w:pos="720"/>
              </w:tabs>
              <w:spacing w:before="0" w:line="240" w:lineRule="auto"/>
              <w:ind w:left="1929"/>
              <w:outlineLvl w:val="2"/>
              <w:rPr>
                <w:rFonts w:asciiTheme="minorHAnsi" w:hAnsiTheme="minorHAnsi" w:cstheme="minorHAnsi"/>
                <w:color w:val="000000" w:themeColor="text1"/>
              </w:rPr>
            </w:pPr>
          </w:p>
        </w:tc>
        <w:tc>
          <w:tcPr>
            <w:tcW w:w="788" w:type="pct"/>
            <w:tcBorders>
              <w:top w:val="nil"/>
              <w:left w:val="nil"/>
              <w:bottom w:val="single" w:sz="4" w:space="0" w:color="auto"/>
              <w:right w:val="single" w:sz="4" w:space="0" w:color="auto"/>
            </w:tcBorders>
          </w:tcPr>
          <w:p w:rsidR="00337C98" w:rsidRPr="002E5937" w:rsidRDefault="00337C98" w:rsidP="00B028E7">
            <w:pPr>
              <w:tabs>
                <w:tab w:val="left" w:pos="720"/>
              </w:tabs>
              <w:spacing w:before="0" w:line="240" w:lineRule="auto"/>
              <w:ind w:left="1929"/>
              <w:outlineLvl w:val="2"/>
              <w:rPr>
                <w:rFonts w:asciiTheme="minorHAnsi" w:hAnsiTheme="minorHAnsi" w:cstheme="minorHAnsi"/>
                <w:color w:val="000000" w:themeColor="text1"/>
              </w:rPr>
            </w:pPr>
          </w:p>
        </w:tc>
      </w:tr>
    </w:tbl>
    <w:p w:rsidR="007B00DC" w:rsidRDefault="007B00DC">
      <w:pPr>
        <w:pStyle w:val="Heading3"/>
        <w:numPr>
          <w:ilvl w:val="0"/>
          <w:numId w:val="0"/>
        </w:numPr>
        <w:tabs>
          <w:tab w:val="clear" w:pos="720"/>
        </w:tabs>
        <w:spacing w:before="0"/>
        <w:rPr>
          <w:rFonts w:asciiTheme="minorHAnsi" w:hAnsiTheme="minorHAnsi"/>
          <w:b/>
        </w:rPr>
      </w:pPr>
    </w:p>
    <w:sectPr w:rsidR="007B00DC" w:rsidSect="00C34658">
      <w:pgSz w:w="16834" w:h="11909" w:orient="landscape"/>
      <w:pgMar w:top="1800" w:right="1440" w:bottom="1440" w:left="1440" w:header="720" w:footer="720" w:gutter="0"/>
      <w:pgNumType w:chapSep="colon"/>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EF2" w:rsidRDefault="00E27EF2">
      <w:r>
        <w:separator/>
      </w:r>
    </w:p>
  </w:endnote>
  <w:endnote w:type="continuationSeparator" w:id="1">
    <w:p w:rsidR="00E27EF2" w:rsidRDefault="00E27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TE23FEB8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39" w:rsidRDefault="009741CA" w:rsidP="004B0510">
    <w:pPr>
      <w:pStyle w:val="Footer"/>
      <w:rPr>
        <w:rFonts w:cs="Tahoma"/>
        <w:b/>
        <w:bCs/>
        <w:i/>
        <w:iCs/>
        <w:sz w:val="8"/>
        <w:lang w:val="en-US"/>
      </w:rPr>
    </w:pPr>
    <w:r w:rsidRPr="009741CA">
      <w:rPr>
        <w:rFonts w:cs="Tahoma"/>
        <w:b/>
        <w:bCs/>
        <w:i/>
        <w:iCs/>
        <w:noProof/>
        <w:sz w:val="8"/>
        <w:lang w:val="en-US"/>
      </w:rPr>
      <w:pict>
        <v:line id="_x0000_s2062" style="position:absolute;left:0;text-align:left;z-index:251653120;visibility:visible" from="90pt,787.35pt" to="525.6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" strokecolor="#1f497d" strokeweight="1.25pt"/>
      </w:pict>
    </w:r>
    <w:r w:rsidRPr="009741CA">
      <w:rPr>
        <w:rFonts w:cs="Tahoma"/>
        <w:b/>
        <w:bCs/>
        <w:i/>
        <w:iCs/>
        <w:noProof/>
        <w:sz w:val="8"/>
        <w:lang w:val="en-US"/>
      </w:rPr>
      <w:pict>
        <v:line id="_x0000_s2061" style="position:absolute;left:0;text-align:left;z-index:251652096;visibility:visible" from="90pt,787.35pt" to="525.6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" strokecolor="#1f497d" strokeweight="1.25pt"/>
      </w:pict>
    </w:r>
  </w:p>
  <w:p w:rsidR="00FC7239" w:rsidRPr="007E05F1" w:rsidRDefault="009741CA" w:rsidP="004B0510">
    <w:pPr>
      <w:pStyle w:val="Footer"/>
      <w:tabs>
        <w:tab w:val="clear" w:pos="4320"/>
        <w:tab w:val="clear" w:pos="8640"/>
      </w:tabs>
      <w:jc w:val="left"/>
      <w:rPr>
        <w:rFonts w:cs="Tahoma"/>
        <w:sz w:val="20"/>
        <w:szCs w:val="20"/>
        <w:lang w:val="en-US"/>
      </w:rPr>
    </w:pPr>
    <w:r w:rsidRPr="009741CA">
      <w:rPr>
        <w:noProof/>
        <w:lang w:val="en-IN" w:eastAsia="en-IN"/>
      </w:rPr>
      <w:pict>
        <v:line id="_x0000_s2064" style="position:absolute;z-index:251655168;visibility:visible" from="10.35pt,-.1pt" to="46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" strokecolor="#1f497d" strokeweight="1.25pt"/>
      </w:pict>
    </w:r>
    <w:r w:rsidR="00FC7239">
      <w:rPr>
        <w:rFonts w:cs="Tahoma"/>
        <w:sz w:val="20"/>
        <w:szCs w:val="20"/>
        <w:lang w:val="en-US"/>
      </w:rPr>
      <w:tab/>
    </w:r>
    <w:r w:rsidR="00FC7239">
      <w:rPr>
        <w:rFonts w:cs="Tahoma"/>
        <w:sz w:val="20"/>
        <w:szCs w:val="20"/>
        <w:lang w:val="en-US"/>
      </w:rPr>
      <w:tab/>
    </w:r>
    <w:r w:rsidR="00FC7239">
      <w:rPr>
        <w:rFonts w:cs="Tahoma"/>
        <w:sz w:val="20"/>
        <w:szCs w:val="20"/>
        <w:lang w:val="en-US"/>
      </w:rPr>
      <w:tab/>
    </w:r>
    <w:r w:rsidR="00FC7239">
      <w:rPr>
        <w:rFonts w:cs="Tahoma"/>
        <w:sz w:val="20"/>
        <w:szCs w:val="20"/>
        <w:lang w:val="en-US"/>
      </w:rPr>
      <w:tab/>
    </w:r>
    <w:r w:rsidR="00FC7239">
      <w:rPr>
        <w:rFonts w:cs="Tahoma"/>
        <w:sz w:val="20"/>
        <w:szCs w:val="20"/>
        <w:lang w:val="en-US"/>
      </w:rPr>
      <w:tab/>
    </w:r>
    <w:r w:rsidR="00FC7239">
      <w:rPr>
        <w:rFonts w:cs="Tahoma"/>
        <w:sz w:val="20"/>
        <w:szCs w:val="20"/>
        <w:lang w:val="en-US"/>
      </w:rPr>
      <w:tab/>
    </w:r>
    <w:r w:rsidR="00FC7239">
      <w:rPr>
        <w:rFonts w:cs="Tahoma"/>
        <w:sz w:val="20"/>
        <w:szCs w:val="20"/>
        <w:lang w:val="en-US"/>
      </w:rPr>
      <w:tab/>
    </w:r>
    <w:r w:rsidR="00FC7239">
      <w:rPr>
        <w:rFonts w:cs="Tahoma"/>
        <w:sz w:val="20"/>
        <w:szCs w:val="20"/>
        <w:lang w:val="en-US"/>
      </w:rPr>
      <w:tab/>
    </w:r>
    <w:r w:rsidR="00FC7239">
      <w:rPr>
        <w:rFonts w:cs="Tahoma"/>
        <w:sz w:val="20"/>
        <w:szCs w:val="20"/>
        <w:lang w:val="en-US"/>
      </w:rPr>
      <w:tab/>
    </w:r>
    <w:r w:rsidR="00FC7239">
      <w:rPr>
        <w:rFonts w:cs="Tahoma"/>
        <w:sz w:val="20"/>
        <w:szCs w:val="20"/>
        <w:lang w:val="en-US"/>
      </w:rPr>
      <w:tab/>
    </w:r>
    <w:r w:rsidR="00FC7239">
      <w:rPr>
        <w:rFonts w:cs="Tahoma"/>
        <w:sz w:val="20"/>
        <w:szCs w:val="20"/>
        <w:lang w:val="en-US"/>
      </w:rPr>
      <w:tab/>
    </w:r>
    <w:r w:rsidR="00FC7239" w:rsidRPr="007E05F1">
      <w:rPr>
        <w:rFonts w:cs="Tahoma"/>
        <w:sz w:val="20"/>
        <w:szCs w:val="20"/>
        <w:lang w:val="en-US"/>
      </w:rPr>
      <w:t xml:space="preserve">Page </w:t>
    </w:r>
    <w:r w:rsidRPr="007E05F1">
      <w:rPr>
        <w:rFonts w:cs="Tahoma"/>
        <w:sz w:val="20"/>
        <w:szCs w:val="20"/>
        <w:lang w:val="en-US"/>
      </w:rPr>
      <w:fldChar w:fldCharType="begin"/>
    </w:r>
    <w:r w:rsidR="00FC7239" w:rsidRPr="007E05F1">
      <w:rPr>
        <w:rFonts w:cs="Tahoma"/>
        <w:sz w:val="20"/>
        <w:szCs w:val="20"/>
        <w:lang w:val="en-US"/>
      </w:rPr>
      <w:instrText xml:space="preserve"> PAGE </w:instrText>
    </w:r>
    <w:r w:rsidRPr="007E05F1">
      <w:rPr>
        <w:rFonts w:cs="Tahoma"/>
        <w:sz w:val="20"/>
        <w:szCs w:val="20"/>
        <w:lang w:val="en-US"/>
      </w:rPr>
      <w:fldChar w:fldCharType="separate"/>
    </w:r>
    <w:r w:rsidR="00533A6B">
      <w:rPr>
        <w:rFonts w:cs="Tahoma"/>
        <w:noProof/>
        <w:sz w:val="20"/>
        <w:szCs w:val="20"/>
        <w:lang w:val="en-US"/>
      </w:rPr>
      <w:t>5</w:t>
    </w:r>
    <w:r w:rsidRPr="007E05F1">
      <w:rPr>
        <w:rFonts w:cs="Tahoma"/>
        <w:sz w:val="20"/>
        <w:szCs w:val="20"/>
        <w:lang w:val="en-US"/>
      </w:rPr>
      <w:fldChar w:fldCharType="end"/>
    </w:r>
  </w:p>
  <w:p w:rsidR="00FC7239" w:rsidRDefault="009741CA">
    <w:pPr>
      <w:pStyle w:val="Footer"/>
    </w:pPr>
    <w:r w:rsidRPr="009741CA">
      <w:rPr>
        <w:rFonts w:cs="Tahoma"/>
        <w:b/>
        <w:bCs/>
        <w:i/>
        <w:iCs/>
        <w:noProof/>
        <w:sz w:val="8"/>
        <w:lang w:val="en-IN" w:eastAsia="en-IN"/>
      </w:rPr>
      <w:pict>
        <v:line id="_x0000_s2063" style="position:absolute;left:0;text-align:left;z-index:251654144;visibility:visible" from="88.5pt,1213.75pt" to="513.7pt,1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" strokecolor="#1f497d" strokeweight="1.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39" w:rsidRDefault="009741CA">
    <w:pPr>
      <w:pStyle w:val="Footer"/>
      <w:rPr>
        <w:rFonts w:cs="Tahoma"/>
        <w:b/>
        <w:bCs/>
        <w:i/>
        <w:iCs/>
        <w:sz w:val="8"/>
        <w:lang w:val="en-US"/>
      </w:rPr>
    </w:pPr>
    <w:r w:rsidRPr="009741CA">
      <w:rPr>
        <w:rFonts w:cs="Tahoma"/>
        <w:b/>
        <w:bCs/>
        <w:i/>
        <w:iCs/>
        <w:noProof/>
        <w:sz w:val="8"/>
        <w:lang w:val="en-US"/>
      </w:rPr>
      <w:pict>
        <v:line id="Straight Connector 43" o:spid="_x0000_s2091" style="position:absolute;left:0;text-align:left;z-index:251679744;visibility:visible" from="90pt,787.35pt" to="525.6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" strokecolor="#1f497d" strokeweight="1.25pt"/>
      </w:pict>
    </w:r>
    <w:r w:rsidRPr="009741CA">
      <w:rPr>
        <w:rFonts w:cs="Tahoma"/>
        <w:b/>
        <w:bCs/>
        <w:i/>
        <w:iCs/>
        <w:noProof/>
        <w:sz w:val="8"/>
        <w:lang w:val="en-US"/>
      </w:rPr>
      <w:pict>
        <v:line id="Straight Connector 44" o:spid="_x0000_s2090" style="position:absolute;left:0;text-align:left;z-index:251678720;visibility:visible" from="90pt,787.35pt" to="525.6pt,7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" strokecolor="#1f497d" strokeweight="1.25pt"/>
      </w:pict>
    </w:r>
  </w:p>
  <w:p w:rsidR="00FC7239" w:rsidRDefault="00FC7239">
    <w:pPr>
      <w:pStyle w:val="Footer"/>
      <w:tabs>
        <w:tab w:val="clear" w:pos="4320"/>
        <w:tab w:val="clear" w:pos="8640"/>
      </w:tabs>
      <w:jc w:val="right"/>
      <w:rPr>
        <w:rFonts w:cs="Tahoma"/>
        <w:sz w:val="20"/>
        <w:szCs w:val="20"/>
        <w:lang w:val="en-US"/>
      </w:rPr>
    </w:pP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noProof/>
        <w:sz w:val="20"/>
        <w:szCs w:val="20"/>
        <w:lang w:val="en-IN" w:eastAsia="en-IN"/>
      </w:rPr>
      <w:drawing>
        <wp:inline distT="0" distB="0" distL="0" distR="0">
          <wp:extent cx="5561965" cy="381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1965" cy="38100"/>
                  </a:xfrm>
                  <a:prstGeom prst="rect">
                    <a:avLst/>
                  </a:prstGeom>
                  <a:noFill/>
                </pic:spPr>
              </pic:pic>
            </a:graphicData>
          </a:graphic>
        </wp:inline>
      </w:drawing>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Pr>
        <w:rFonts w:cs="Tahoma"/>
        <w:sz w:val="20"/>
        <w:szCs w:val="20"/>
        <w:lang w:val="en-US"/>
      </w:rPr>
      <w:tab/>
    </w:r>
    <w:r w:rsidRPr="007E05F1">
      <w:rPr>
        <w:rFonts w:cs="Tahoma"/>
        <w:sz w:val="20"/>
        <w:szCs w:val="20"/>
        <w:lang w:val="en-US"/>
      </w:rPr>
      <w:t xml:space="preserve">Page </w:t>
    </w:r>
    <w:r w:rsidR="009741CA" w:rsidRPr="007E05F1">
      <w:rPr>
        <w:rFonts w:cs="Tahoma"/>
        <w:sz w:val="20"/>
        <w:szCs w:val="20"/>
        <w:lang w:val="en-US"/>
      </w:rPr>
      <w:fldChar w:fldCharType="begin"/>
    </w:r>
    <w:r w:rsidRPr="007E05F1">
      <w:rPr>
        <w:rFonts w:cs="Tahoma"/>
        <w:sz w:val="20"/>
        <w:szCs w:val="20"/>
        <w:lang w:val="en-US"/>
      </w:rPr>
      <w:instrText xml:space="preserve"> PAGE </w:instrText>
    </w:r>
    <w:r w:rsidR="009741CA" w:rsidRPr="007E05F1">
      <w:rPr>
        <w:rFonts w:cs="Tahoma"/>
        <w:sz w:val="20"/>
        <w:szCs w:val="20"/>
        <w:lang w:val="en-US"/>
      </w:rPr>
      <w:fldChar w:fldCharType="separate"/>
    </w:r>
    <w:r w:rsidR="00DF7698">
      <w:rPr>
        <w:rFonts w:cs="Tahoma"/>
        <w:noProof/>
        <w:sz w:val="20"/>
        <w:szCs w:val="20"/>
        <w:lang w:val="en-US"/>
      </w:rPr>
      <w:t>117</w:t>
    </w:r>
    <w:r w:rsidR="009741CA" w:rsidRPr="007E05F1">
      <w:rPr>
        <w:rFonts w:cs="Tahoma"/>
        <w:sz w:val="20"/>
        <w:szCs w:val="20"/>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39" w:rsidRDefault="009741CA">
    <w:pPr>
      <w:pStyle w:val="Footer"/>
      <w:rPr>
        <w:rFonts w:cs="Tahoma"/>
        <w:b/>
        <w:bCs/>
        <w:i/>
        <w:iCs/>
        <w:sz w:val="8"/>
        <w:lang w:val="en-US"/>
      </w:rPr>
    </w:pPr>
    <w:r w:rsidRPr="009741CA">
      <w:rPr>
        <w:rFonts w:cs="Tahoma"/>
        <w:noProof/>
        <w:sz w:val="8"/>
        <w:lang w:val="en-US"/>
      </w:rPr>
      <w:pict>
        <v:line id="_x0000_s2089" style="position:absolute;left:0;text-align:left;z-index:251676672;visibility:visible" from="0,1.3pt" to="4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" strokecolor="#1f497d" strokeweight="1.25pt"/>
      </w:pict>
    </w:r>
  </w:p>
  <w:p w:rsidR="00FC7239" w:rsidRPr="007E05F1" w:rsidRDefault="00FC7239" w:rsidP="00AF16B8">
    <w:pPr>
      <w:pStyle w:val="Footer"/>
      <w:tabs>
        <w:tab w:val="clear" w:pos="4320"/>
        <w:tab w:val="clear" w:pos="8640"/>
      </w:tabs>
      <w:jc w:val="right"/>
      <w:rPr>
        <w:rFonts w:cs="Tahoma"/>
        <w:sz w:val="20"/>
        <w:szCs w:val="20"/>
        <w:lang w:val="en-US"/>
      </w:rPr>
    </w:pPr>
    <w:r w:rsidRPr="007E05F1">
      <w:rPr>
        <w:rFonts w:cs="Tahoma"/>
        <w:sz w:val="20"/>
        <w:szCs w:val="20"/>
        <w:lang w:val="en-US"/>
      </w:rPr>
      <w:t xml:space="preserve">Page </w:t>
    </w:r>
    <w:r w:rsidR="009741CA" w:rsidRPr="007E05F1">
      <w:rPr>
        <w:rFonts w:cs="Tahoma"/>
        <w:sz w:val="20"/>
        <w:szCs w:val="20"/>
        <w:lang w:val="en-US"/>
      </w:rPr>
      <w:fldChar w:fldCharType="begin"/>
    </w:r>
    <w:r w:rsidRPr="007E05F1">
      <w:rPr>
        <w:rFonts w:cs="Tahoma"/>
        <w:sz w:val="20"/>
        <w:szCs w:val="20"/>
        <w:lang w:val="en-US"/>
      </w:rPr>
      <w:instrText xml:space="preserve"> PAGE </w:instrText>
    </w:r>
    <w:r w:rsidR="009741CA" w:rsidRPr="007E05F1">
      <w:rPr>
        <w:rFonts w:cs="Tahoma"/>
        <w:sz w:val="20"/>
        <w:szCs w:val="20"/>
        <w:lang w:val="en-US"/>
      </w:rPr>
      <w:fldChar w:fldCharType="separate"/>
    </w:r>
    <w:r w:rsidR="00533A6B">
      <w:rPr>
        <w:rFonts w:cs="Tahoma"/>
        <w:noProof/>
        <w:sz w:val="20"/>
        <w:szCs w:val="20"/>
        <w:lang w:val="en-US"/>
      </w:rPr>
      <w:t>299</w:t>
    </w:r>
    <w:r w:rsidR="009741CA" w:rsidRPr="007E05F1">
      <w:rPr>
        <w:rFonts w:cs="Tahoma"/>
        <w:sz w:val="20"/>
        <w:szCs w:val="20"/>
        <w:lang w:val="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F2" w:rsidRDefault="009741CA">
    <w:pPr>
      <w:pStyle w:val="Footer"/>
      <w:rPr>
        <w:rFonts w:cs="Tahoma"/>
        <w:b/>
        <w:bCs/>
        <w:i/>
        <w:iCs/>
        <w:sz w:val="8"/>
        <w:lang w:val="en-US"/>
      </w:rPr>
    </w:pPr>
    <w:r w:rsidRPr="009741CA">
      <w:rPr>
        <w:rFonts w:cs="Tahoma"/>
        <w:noProof/>
        <w:sz w:val="8"/>
        <w:lang w:val="en-US"/>
      </w:rPr>
      <w:pict>
        <v:line id="_x0000_s2111" style="position:absolute;left:0;text-align:left;z-index:251705344;visibility:visible" from="0,1.3pt" to="4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" strokecolor="#4f81bd" strokeweight="1.25pt"/>
      </w:pict>
    </w:r>
  </w:p>
  <w:p w:rsidR="00D555F2" w:rsidRDefault="00D555F2" w:rsidP="006F02AD">
    <w:pPr>
      <w:pStyle w:val="Footer"/>
      <w:tabs>
        <w:tab w:val="clear" w:pos="4320"/>
        <w:tab w:val="clear" w:pos="8640"/>
      </w:tabs>
      <w:jc w:val="right"/>
      <w:rPr>
        <w:rFonts w:cs="Tahoma"/>
        <w:sz w:val="20"/>
        <w:szCs w:val="20"/>
        <w:lang w:val="en-US"/>
      </w:rPr>
    </w:pPr>
    <w:r w:rsidRPr="007E05F1">
      <w:rPr>
        <w:rFonts w:cs="Tahoma"/>
        <w:sz w:val="20"/>
        <w:szCs w:val="20"/>
        <w:lang w:val="en-US"/>
      </w:rPr>
      <w:t xml:space="preserve">Page </w:t>
    </w:r>
    <w:r w:rsidR="009741CA" w:rsidRPr="007E05F1">
      <w:rPr>
        <w:rFonts w:cs="Tahoma"/>
        <w:sz w:val="20"/>
        <w:szCs w:val="20"/>
        <w:lang w:val="en-US"/>
      </w:rPr>
      <w:fldChar w:fldCharType="begin"/>
    </w:r>
    <w:r w:rsidRPr="007E05F1">
      <w:rPr>
        <w:rFonts w:cs="Tahoma"/>
        <w:sz w:val="20"/>
        <w:szCs w:val="20"/>
        <w:lang w:val="en-US"/>
      </w:rPr>
      <w:instrText xml:space="preserve"> PAGE </w:instrText>
    </w:r>
    <w:r w:rsidR="009741CA" w:rsidRPr="007E05F1">
      <w:rPr>
        <w:rFonts w:cs="Tahoma"/>
        <w:sz w:val="20"/>
        <w:szCs w:val="20"/>
        <w:lang w:val="en-US"/>
      </w:rPr>
      <w:fldChar w:fldCharType="separate"/>
    </w:r>
    <w:r w:rsidR="00DF7698">
      <w:rPr>
        <w:rFonts w:cs="Tahoma"/>
        <w:noProof/>
        <w:sz w:val="20"/>
        <w:szCs w:val="20"/>
        <w:lang w:val="en-US"/>
      </w:rPr>
      <w:t>321</w:t>
    </w:r>
    <w:r w:rsidR="009741CA" w:rsidRPr="007E05F1">
      <w:rPr>
        <w:rFonts w:cs="Tahoma"/>
        <w:sz w:val="20"/>
        <w:szCs w:val="20"/>
        <w:lang w:val="en-US"/>
      </w:rPr>
      <w:fldChar w:fldCharType="end"/>
    </w:r>
    <w:r w:rsidRPr="007E05F1">
      <w:rPr>
        <w:rFonts w:cs="Tahoma"/>
        <w:sz w:val="20"/>
        <w:szCs w:val="20"/>
        <w:lang w:val="en-US"/>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39" w:rsidRDefault="009741CA">
    <w:pPr>
      <w:pStyle w:val="Footer"/>
      <w:rPr>
        <w:rFonts w:cs="Tahoma"/>
        <w:b/>
        <w:bCs/>
        <w:i/>
        <w:iCs/>
        <w:sz w:val="8"/>
        <w:lang w:val="en-US"/>
      </w:rPr>
    </w:pPr>
    <w:r w:rsidRPr="009741CA">
      <w:rPr>
        <w:rFonts w:cs="Tahoma"/>
        <w:noProof/>
        <w:sz w:val="8"/>
        <w:lang w:val="en-US"/>
      </w:rPr>
      <w:pict>
        <v:line id="Straight Connector 18" o:spid="_x0000_s2105" style="position:absolute;left:0;text-align:left;z-index:251699200;visibility:visible" from="0,1.3pt" to="4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" strokecolor="#1f497d" strokeweight="1.25pt"/>
      </w:pict>
    </w:r>
  </w:p>
  <w:p w:rsidR="00FC7239" w:rsidRDefault="00FC7239" w:rsidP="00364041">
    <w:pPr>
      <w:pStyle w:val="Footer"/>
      <w:tabs>
        <w:tab w:val="clear" w:pos="4320"/>
        <w:tab w:val="clear" w:pos="8640"/>
      </w:tabs>
      <w:jc w:val="right"/>
      <w:rPr>
        <w:rFonts w:cs="Tahoma"/>
        <w:sz w:val="20"/>
        <w:szCs w:val="20"/>
        <w:lang w:val="en-US"/>
      </w:rPr>
    </w:pPr>
    <w:r w:rsidRPr="007E05F1">
      <w:rPr>
        <w:rFonts w:cs="Tahoma"/>
        <w:sz w:val="20"/>
        <w:szCs w:val="20"/>
        <w:lang w:val="en-US"/>
      </w:rPr>
      <w:t xml:space="preserve">Page </w:t>
    </w:r>
    <w:r w:rsidR="009741CA" w:rsidRPr="007E05F1">
      <w:rPr>
        <w:rFonts w:cs="Tahoma"/>
        <w:sz w:val="20"/>
        <w:szCs w:val="20"/>
        <w:lang w:val="en-US"/>
      </w:rPr>
      <w:fldChar w:fldCharType="begin"/>
    </w:r>
    <w:r w:rsidRPr="007E05F1">
      <w:rPr>
        <w:rFonts w:cs="Tahoma"/>
        <w:sz w:val="20"/>
        <w:szCs w:val="20"/>
        <w:lang w:val="en-US"/>
      </w:rPr>
      <w:instrText xml:space="preserve"> PAGE </w:instrText>
    </w:r>
    <w:r w:rsidR="009741CA" w:rsidRPr="007E05F1">
      <w:rPr>
        <w:rFonts w:cs="Tahoma"/>
        <w:sz w:val="20"/>
        <w:szCs w:val="20"/>
        <w:lang w:val="en-US"/>
      </w:rPr>
      <w:fldChar w:fldCharType="separate"/>
    </w:r>
    <w:r w:rsidR="00533A6B">
      <w:rPr>
        <w:rFonts w:cs="Tahoma"/>
        <w:noProof/>
        <w:sz w:val="20"/>
        <w:szCs w:val="20"/>
        <w:lang w:val="en-US"/>
      </w:rPr>
      <w:t>376</w:t>
    </w:r>
    <w:r w:rsidR="009741CA" w:rsidRPr="007E05F1">
      <w:rPr>
        <w:rFonts w:cs="Tahoma"/>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EF2" w:rsidRDefault="00E27EF2">
      <w:r>
        <w:separator/>
      </w:r>
    </w:p>
  </w:footnote>
  <w:footnote w:type="continuationSeparator" w:id="1">
    <w:p w:rsidR="00E27EF2" w:rsidRDefault="00E27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39" w:rsidRPr="00331ACB" w:rsidRDefault="00FC7239" w:rsidP="00D97F7F">
    <w:pPr>
      <w:pStyle w:val="Header"/>
      <w:ind w:left="4620" w:hanging="4620"/>
    </w:pPr>
    <w:r>
      <w:rPr>
        <w:noProof/>
        <w:lang w:val="en-IN" w:eastAsia="en-IN"/>
      </w:rPr>
      <w:drawing>
        <wp:inline distT="0" distB="0" distL="0" distR="0">
          <wp:extent cx="647700" cy="647700"/>
          <wp:effectExtent l="0" t="0" r="0" b="0"/>
          <wp:docPr id="4" name="Picture 25" descr="up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c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inline>
      </w:drawing>
    </w:r>
    <w:r>
      <w:rPr>
        <w:i/>
        <w:sz w:val="20"/>
        <w:szCs w:val="20"/>
      </w:rPr>
      <w:tab/>
      <w:t xml:space="preserve">                                                                                Determination of ARR and </w:t>
    </w:r>
    <w:r w:rsidRPr="00B6794F">
      <w:rPr>
        <w:i/>
        <w:sz w:val="20"/>
        <w:szCs w:val="20"/>
      </w:rPr>
      <w:t xml:space="preserve">Tariff of </w:t>
    </w:r>
    <w:r>
      <w:rPr>
        <w:i/>
        <w:sz w:val="20"/>
        <w:szCs w:val="20"/>
      </w:rPr>
      <w:t>D</w:t>
    </w:r>
    <w:r w:rsidRPr="00BB0B38">
      <w:rPr>
        <w:i/>
        <w:sz w:val="20"/>
        <w:szCs w:val="20"/>
      </w:rPr>
      <w:t>VVNL</w:t>
    </w:r>
    <w:r>
      <w:rPr>
        <w:i/>
        <w:sz w:val="20"/>
        <w:szCs w:val="20"/>
      </w:rPr>
      <w:t xml:space="preserve"> for FY 2016-17 and True-up of FY 2013-14</w:t>
    </w:r>
  </w:p>
  <w:p w:rsidR="00FC7239" w:rsidRDefault="009741CA" w:rsidP="004B0510">
    <w:pPr>
      <w:pStyle w:val="Header"/>
    </w:pPr>
    <w:r w:rsidRPr="009741CA">
      <w:rPr>
        <w:noProof/>
        <w:lang w:val="en-US"/>
      </w:rPr>
      <w:pict>
        <v:line id="_x0000_s2060" style="position:absolute;left:0;text-align:left;z-index:251651072;visibility:visible" from="-1.5pt,1.1pt" to="43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" strokecolor="#1f497d" strokeweight="1.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39" w:rsidRPr="00331ACB" w:rsidRDefault="00FC7239" w:rsidP="00FD2199">
    <w:pPr>
      <w:pStyle w:val="Header"/>
      <w:ind w:left="4620" w:hanging="4620"/>
    </w:pPr>
    <w:r>
      <w:rPr>
        <w:noProof/>
        <w:lang w:val="en-IN" w:eastAsia="en-IN"/>
      </w:rPr>
      <w:drawing>
        <wp:inline distT="0" distB="0" distL="0" distR="0">
          <wp:extent cx="647700" cy="647700"/>
          <wp:effectExtent l="0" t="0" r="0" b="0"/>
          <wp:docPr id="3" name="Picture 25" descr="up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c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inline>
      </w:drawing>
    </w:r>
    <w:r>
      <w:rPr>
        <w:i/>
        <w:sz w:val="20"/>
        <w:szCs w:val="20"/>
      </w:rPr>
      <w:tab/>
      <w:t xml:space="preserve">                                                                                Determination of ARR and </w:t>
    </w:r>
    <w:r w:rsidRPr="00B6794F">
      <w:rPr>
        <w:i/>
        <w:sz w:val="20"/>
        <w:szCs w:val="20"/>
      </w:rPr>
      <w:t xml:space="preserve">Tariff of </w:t>
    </w:r>
    <w:r>
      <w:rPr>
        <w:i/>
        <w:sz w:val="20"/>
        <w:szCs w:val="20"/>
      </w:rPr>
      <w:t>D</w:t>
    </w:r>
    <w:r w:rsidRPr="00BB0B38">
      <w:rPr>
        <w:i/>
        <w:sz w:val="20"/>
        <w:szCs w:val="20"/>
      </w:rPr>
      <w:t>VVNL</w:t>
    </w:r>
    <w:r>
      <w:rPr>
        <w:i/>
        <w:sz w:val="20"/>
        <w:szCs w:val="20"/>
      </w:rPr>
      <w:t xml:space="preserve"> for FY 2016-17 and True-up of FY 2013-14</w:t>
    </w:r>
  </w:p>
  <w:p w:rsidR="00FC7239" w:rsidRDefault="009741CA" w:rsidP="00D51BD0">
    <w:pPr>
      <w:pStyle w:val="Header"/>
    </w:pPr>
    <w:r w:rsidRPr="009741CA">
      <w:rPr>
        <w:noProof/>
        <w:lang w:val="en-US"/>
      </w:rPr>
      <w:pict>
        <v:line id="_x0000_s2092" style="position:absolute;left:0;text-align:left;z-index:251680768;visibility:visible" from="-1.5pt,1.1pt" to="43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" strokecolor="#1f497d" strokeweight="1.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F2" w:rsidRDefault="00D555F2" w:rsidP="006F02AD">
    <w:pPr>
      <w:pStyle w:val="Header"/>
      <w:spacing w:before="0" w:line="240" w:lineRule="auto"/>
      <w:jc w:val="right"/>
      <w:rPr>
        <w:i/>
        <w:sz w:val="20"/>
        <w:szCs w:val="20"/>
      </w:rPr>
    </w:pPr>
    <w:r w:rsidRPr="00B64D64">
      <w:rPr>
        <w:i/>
        <w:noProof/>
        <w:sz w:val="20"/>
        <w:szCs w:val="20"/>
        <w:lang w:val="en-IN" w:eastAsia="en-IN"/>
      </w:rPr>
      <w:drawing>
        <wp:inline distT="0" distB="0" distL="0" distR="0">
          <wp:extent cx="647700" cy="647700"/>
          <wp:effectExtent l="0" t="0" r="0" b="0"/>
          <wp:docPr id="5" name="Picture 25" descr="upe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erc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47700" cy="647700"/>
                  </a:xfrm>
                  <a:prstGeom prst="rect">
                    <a:avLst/>
                  </a:prstGeom>
                  <a:noFill/>
                  <a:ln>
                    <a:noFill/>
                  </a:ln>
                </pic:spPr>
              </pic:pic>
            </a:graphicData>
          </a:graphic>
        </wp:inline>
      </w:drawing>
    </w:r>
    <w:r>
      <w:rPr>
        <w:i/>
        <w:sz w:val="20"/>
        <w:szCs w:val="20"/>
      </w:rPr>
      <w:tab/>
    </w:r>
    <w:r>
      <w:rPr>
        <w:i/>
        <w:sz w:val="20"/>
        <w:szCs w:val="20"/>
      </w:rPr>
      <w:tab/>
    </w:r>
    <w:r>
      <w:rPr>
        <w:i/>
        <w:sz w:val="20"/>
        <w:szCs w:val="20"/>
      </w:rPr>
      <w:tab/>
      <w:t xml:space="preserve">Determination of ARR and </w:t>
    </w:r>
    <w:r w:rsidRPr="00B6794F">
      <w:rPr>
        <w:i/>
        <w:sz w:val="20"/>
        <w:szCs w:val="20"/>
      </w:rPr>
      <w:t xml:space="preserve">Tariff of </w:t>
    </w:r>
    <w:r>
      <w:rPr>
        <w:i/>
        <w:sz w:val="20"/>
        <w:szCs w:val="20"/>
      </w:rPr>
      <w:t>D</w:t>
    </w:r>
    <w:r w:rsidRPr="00BB0B38">
      <w:rPr>
        <w:i/>
        <w:sz w:val="20"/>
        <w:szCs w:val="20"/>
      </w:rPr>
      <w:t>VVNL</w:t>
    </w:r>
    <w:r>
      <w:rPr>
        <w:i/>
        <w:sz w:val="20"/>
        <w:szCs w:val="20"/>
      </w:rPr>
      <w:t xml:space="preserve"> for FY </w:t>
    </w:r>
  </w:p>
  <w:p w:rsidR="00D555F2" w:rsidRDefault="00D555F2" w:rsidP="006F02AD">
    <w:pPr>
      <w:pStyle w:val="Header"/>
      <w:spacing w:before="0" w:line="240" w:lineRule="auto"/>
      <w:jc w:val="right"/>
      <w:rPr>
        <w:i/>
      </w:rPr>
    </w:pPr>
    <w:r>
      <w:rPr>
        <w:i/>
        <w:sz w:val="20"/>
        <w:szCs w:val="20"/>
      </w:rPr>
      <w:t>2016-17 and True-up of FY 2013-14</w:t>
    </w:r>
    <w:r w:rsidRPr="001A498A">
      <w:rPr>
        <w:i/>
      </w:rPr>
      <w:t xml:space="preserve"> </w:t>
    </w:r>
  </w:p>
  <w:p w:rsidR="00D555F2" w:rsidRPr="000873E5" w:rsidRDefault="009741CA" w:rsidP="006F02AD">
    <w:pPr>
      <w:jc w:val="right"/>
      <w:rPr>
        <w:i/>
      </w:rPr>
    </w:pPr>
    <w:r>
      <w:rPr>
        <w:i/>
        <w:noProof/>
        <w:lang w:val="en-IN" w:eastAsia="en-IN"/>
      </w:rPr>
      <w:pict>
        <v:shapetype id="_x0000_t32" coordsize="21600,21600" o:spt="32" o:oned="t" path="m,l21600,21600e" filled="f">
          <v:path arrowok="t" fillok="f" o:connecttype="none"/>
          <o:lock v:ext="edit" shapetype="t"/>
        </v:shapetype>
        <v:shape id="_x0000_s2112" type="#_x0000_t32" style="position:absolute;left:0;text-align:left;margin-left:-10.7pt;margin-top:7.95pt;width:460.5pt;height:0;z-index:251706368" o:connectortype="straight" strokecolor="#365f91 [2404]"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5F6"/>
    <w:multiLevelType w:val="multilevel"/>
    <w:tmpl w:val="6AFCDCD2"/>
    <w:lvl w:ilvl="0">
      <w:start w:val="1"/>
      <w:numFmt w:val="decimal"/>
      <w:lvlText w:val="%1."/>
      <w:lvlJc w:val="left"/>
      <w:pPr>
        <w:ind w:left="600" w:hanging="600"/>
      </w:pPr>
      <w:rPr>
        <w:rFonts w:hint="default"/>
      </w:rPr>
    </w:lvl>
    <w:lvl w:ilvl="1">
      <w:start w:val="2"/>
      <w:numFmt w:val="decimal"/>
      <w:lvlText w:val="%1.%2"/>
      <w:lvlJc w:val="left"/>
      <w:pPr>
        <w:ind w:left="780" w:hanging="780"/>
      </w:pPr>
      <w:rPr>
        <w:rFonts w:hint="default"/>
        <w:b/>
      </w:rPr>
    </w:lvl>
    <w:lvl w:ilvl="2">
      <w:start w:val="1"/>
      <w:numFmt w:val="bullet"/>
      <w:lvlText w:val=""/>
      <w:lvlJc w:val="left"/>
      <w:pPr>
        <w:tabs>
          <w:tab w:val="num" w:pos="936"/>
        </w:tabs>
        <w:ind w:left="936" w:hanging="936"/>
      </w:pPr>
      <w:rPr>
        <w:rFonts w:ascii="Symbol" w:hAnsi="Symbol" w:hint="default"/>
        <w:b w:val="0"/>
        <w:bCs/>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0A036EC"/>
    <w:multiLevelType w:val="hybridMultilevel"/>
    <w:tmpl w:val="76C83A34"/>
    <w:lvl w:ilvl="0" w:tplc="4F7A69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42B3F"/>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AA00DE"/>
    <w:multiLevelType w:val="hybridMultilevel"/>
    <w:tmpl w:val="D6DC7220"/>
    <w:lvl w:ilvl="0" w:tplc="B20E4DB6">
      <w:start w:val="1"/>
      <w:numFmt w:val="lowerRoman"/>
      <w:lvlText w:val="(%1)"/>
      <w:lvlJc w:val="left"/>
      <w:pPr>
        <w:tabs>
          <w:tab w:val="num" w:pos="1080"/>
        </w:tabs>
        <w:ind w:left="720" w:hanging="360"/>
      </w:pPr>
    </w:lvl>
    <w:lvl w:ilvl="1" w:tplc="7E503096">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1F0092C"/>
    <w:multiLevelType w:val="hybridMultilevel"/>
    <w:tmpl w:val="33D621B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2675F32"/>
    <w:multiLevelType w:val="hybridMultilevel"/>
    <w:tmpl w:val="BB52EE1C"/>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2AD50DB"/>
    <w:multiLevelType w:val="hybridMultilevel"/>
    <w:tmpl w:val="B866D108"/>
    <w:lvl w:ilvl="0" w:tplc="AFB094B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2EE2036"/>
    <w:multiLevelType w:val="hybridMultilevel"/>
    <w:tmpl w:val="1B9E0596"/>
    <w:lvl w:ilvl="0" w:tplc="0409000F">
      <w:start w:val="1"/>
      <w:numFmt w:val="decimal"/>
      <w:lvlText w:val="%1."/>
      <w:lvlJc w:val="left"/>
      <w:pPr>
        <w:ind w:left="540" w:hanging="360"/>
      </w:pPr>
    </w:lvl>
    <w:lvl w:ilvl="1" w:tplc="0409000B">
      <w:start w:val="1"/>
      <w:numFmt w:val="bullet"/>
      <w:lvlText w:val=""/>
      <w:lvlJc w:val="left"/>
      <w:pPr>
        <w:ind w:left="1260" w:hanging="360"/>
      </w:pPr>
      <w:rPr>
        <w:rFonts w:ascii="Wingdings" w:hAnsi="Wingdings" w:hint="default"/>
      </w:rPr>
    </w:lvl>
    <w:lvl w:ilvl="2" w:tplc="0409001B">
      <w:start w:val="1"/>
      <w:numFmt w:val="lowerRoman"/>
      <w:lvlText w:val="%3."/>
      <w:lvlJc w:val="right"/>
      <w:pPr>
        <w:ind w:left="1980" w:hanging="180"/>
      </w:pPr>
    </w:lvl>
    <w:lvl w:ilvl="3" w:tplc="FE187BD8">
      <w:start w:val="1"/>
      <w:numFmt w:val="lowerLetter"/>
      <w:lvlText w:val="%4."/>
      <w:lvlJc w:val="left"/>
      <w:pPr>
        <w:ind w:left="3060" w:hanging="72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3B86B8C"/>
    <w:multiLevelType w:val="hybridMultilevel"/>
    <w:tmpl w:val="843C73F6"/>
    <w:lvl w:ilvl="0" w:tplc="40090001">
      <w:start w:val="1"/>
      <w:numFmt w:val="bullet"/>
      <w:lvlText w:val=""/>
      <w:lvlJc w:val="left"/>
      <w:pPr>
        <w:ind w:left="1267" w:hanging="360"/>
      </w:pPr>
      <w:rPr>
        <w:rFonts w:ascii="Symbol" w:hAnsi="Symbol" w:hint="default"/>
      </w:rPr>
    </w:lvl>
    <w:lvl w:ilvl="1" w:tplc="40090001">
      <w:start w:val="1"/>
      <w:numFmt w:val="bullet"/>
      <w:lvlText w:val=""/>
      <w:lvlJc w:val="left"/>
      <w:pPr>
        <w:ind w:left="1987" w:hanging="360"/>
      </w:pPr>
      <w:rPr>
        <w:rFonts w:ascii="Symbol" w:hAnsi="Symbol"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9">
    <w:nsid w:val="04056378"/>
    <w:multiLevelType w:val="hybridMultilevel"/>
    <w:tmpl w:val="A7D40F36"/>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40C7404"/>
    <w:multiLevelType w:val="hybridMultilevel"/>
    <w:tmpl w:val="C55001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4107C38"/>
    <w:multiLevelType w:val="hybridMultilevel"/>
    <w:tmpl w:val="6C080898"/>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4695659"/>
    <w:multiLevelType w:val="hybridMultilevel"/>
    <w:tmpl w:val="5C1C274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5943257"/>
    <w:multiLevelType w:val="hybridMultilevel"/>
    <w:tmpl w:val="C928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AE1F84"/>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6397BCC"/>
    <w:multiLevelType w:val="hybridMultilevel"/>
    <w:tmpl w:val="064AA3C8"/>
    <w:lvl w:ilvl="0" w:tplc="04090005">
      <w:start w:val="1"/>
      <w:numFmt w:val="bullet"/>
      <w:lvlText w:val=""/>
      <w:lvlJc w:val="left"/>
      <w:pPr>
        <w:ind w:left="2433" w:hanging="360"/>
      </w:pPr>
      <w:rPr>
        <w:rFonts w:ascii="Wingdings" w:hAnsi="Wingdings"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6">
    <w:nsid w:val="07FE57B0"/>
    <w:multiLevelType w:val="hybridMultilevel"/>
    <w:tmpl w:val="968E2A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1">
      <w:start w:val="1"/>
      <w:numFmt w:val="bullet"/>
      <w:lvlText w:val=""/>
      <w:lvlJc w:val="left"/>
      <w:pPr>
        <w:ind w:left="2250" w:hanging="360"/>
      </w:pPr>
      <w:rPr>
        <w:rFonts w:ascii="Symbol" w:hAnsi="Symbol"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08FC4CF1"/>
    <w:multiLevelType w:val="hybridMultilevel"/>
    <w:tmpl w:val="B866D108"/>
    <w:lvl w:ilvl="0" w:tplc="AFB094B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92177BE"/>
    <w:multiLevelType w:val="hybridMultilevel"/>
    <w:tmpl w:val="5644D868"/>
    <w:lvl w:ilvl="0" w:tplc="D5C81474">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0BCF31DE"/>
    <w:multiLevelType w:val="hybridMultilevel"/>
    <w:tmpl w:val="7B7CB488"/>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C915064"/>
    <w:multiLevelType w:val="hybridMultilevel"/>
    <w:tmpl w:val="BFAA6892"/>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D39700C"/>
    <w:multiLevelType w:val="hybridMultilevel"/>
    <w:tmpl w:val="A5D8E9AE"/>
    <w:lvl w:ilvl="0" w:tplc="A6A69DF0">
      <w:numFmt w:val="bullet"/>
      <w:lvlText w:val="•"/>
      <w:lvlJc w:val="left"/>
      <w:pPr>
        <w:ind w:left="1584" w:hanging="360"/>
      </w:pPr>
      <w:rPr>
        <w:rFonts w:ascii="Calibri" w:eastAsia="Times New Roman"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0E591395"/>
    <w:multiLevelType w:val="hybridMultilevel"/>
    <w:tmpl w:val="B99894A4"/>
    <w:lvl w:ilvl="0" w:tplc="76029B6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002465"/>
    <w:multiLevelType w:val="hybridMultilevel"/>
    <w:tmpl w:val="D0F62B6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0FB2BBC"/>
    <w:multiLevelType w:val="hybridMultilevel"/>
    <w:tmpl w:val="0F06B4E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nsid w:val="11DF4F60"/>
    <w:multiLevelType w:val="hybridMultilevel"/>
    <w:tmpl w:val="720A8822"/>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4646C32"/>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4D96E7A"/>
    <w:multiLevelType w:val="hybridMultilevel"/>
    <w:tmpl w:val="32A42A4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14F53A6B"/>
    <w:multiLevelType w:val="hybridMultilevel"/>
    <w:tmpl w:val="94B672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5B85AF9"/>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5D7167A"/>
    <w:multiLevelType w:val="hybridMultilevel"/>
    <w:tmpl w:val="7CD8FE98"/>
    <w:lvl w:ilvl="0" w:tplc="B20E4DB6">
      <w:start w:val="1"/>
      <w:numFmt w:val="lowerRoman"/>
      <w:lvlText w:val="(%1)"/>
      <w:lvlJc w:val="left"/>
      <w:pPr>
        <w:tabs>
          <w:tab w:val="num" w:pos="1080"/>
        </w:tabs>
        <w:ind w:left="720" w:hanging="360"/>
      </w:pPr>
    </w:lvl>
    <w:lvl w:ilvl="1" w:tplc="98A22EEE">
      <w:start w:val="5"/>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15E47274"/>
    <w:multiLevelType w:val="hybridMultilevel"/>
    <w:tmpl w:val="490CB090"/>
    <w:lvl w:ilvl="0" w:tplc="1EC6FA7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nsid w:val="16BB41F6"/>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6DC2B39"/>
    <w:multiLevelType w:val="multilevel"/>
    <w:tmpl w:val="B2526D80"/>
    <w:lvl w:ilvl="0">
      <w:start w:val="1"/>
      <w:numFmt w:val="decimal"/>
      <w:lvlText w:val="%1."/>
      <w:lvlJc w:val="left"/>
      <w:pPr>
        <w:ind w:left="600" w:hanging="600"/>
      </w:pPr>
      <w:rPr>
        <w:rFonts w:hint="default"/>
      </w:rPr>
    </w:lvl>
    <w:lvl w:ilvl="1">
      <w:start w:val="1"/>
      <w:numFmt w:val="decimal"/>
      <w:lvlText w:val="%1.%2"/>
      <w:lvlJc w:val="left"/>
      <w:pPr>
        <w:ind w:left="960" w:hanging="780"/>
      </w:pPr>
      <w:rPr>
        <w:rFonts w:hint="default"/>
        <w:b/>
      </w:rPr>
    </w:lvl>
    <w:lvl w:ilvl="2">
      <w:start w:val="1"/>
      <w:numFmt w:val="bullet"/>
      <w:lvlText w:val=""/>
      <w:lvlJc w:val="left"/>
      <w:pPr>
        <w:tabs>
          <w:tab w:val="num" w:pos="1296"/>
        </w:tabs>
        <w:ind w:left="1296" w:hanging="936"/>
      </w:pPr>
      <w:rPr>
        <w:rFonts w:ascii="Symbol" w:hAnsi="Symbol" w:hint="default"/>
        <w:b w:val="0"/>
        <w:bCs/>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16EA51C1"/>
    <w:multiLevelType w:val="hybridMultilevel"/>
    <w:tmpl w:val="22F8D016"/>
    <w:lvl w:ilvl="0" w:tplc="7A6C152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D55CBF5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17A00AAE"/>
    <w:multiLevelType w:val="hybridMultilevel"/>
    <w:tmpl w:val="8D22C916"/>
    <w:lvl w:ilvl="0" w:tplc="9F065854">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18745932"/>
    <w:multiLevelType w:val="hybridMultilevel"/>
    <w:tmpl w:val="9790E43A"/>
    <w:lvl w:ilvl="0" w:tplc="0E36897E">
      <w:start w:val="1"/>
      <w:numFmt w:val="decimal"/>
      <w:pStyle w:val="TariffScheduleList"/>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8A811DB"/>
    <w:multiLevelType w:val="hybridMultilevel"/>
    <w:tmpl w:val="8A5EC4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19080030"/>
    <w:multiLevelType w:val="hybridMultilevel"/>
    <w:tmpl w:val="A3E8AD94"/>
    <w:lvl w:ilvl="0" w:tplc="04090001">
      <w:start w:val="1"/>
      <w:numFmt w:val="bullet"/>
      <w:lvlText w:val=""/>
      <w:lvlJc w:val="left"/>
      <w:pPr>
        <w:ind w:left="1353" w:hanging="360"/>
      </w:pPr>
      <w:rPr>
        <w:rFonts w:ascii="Symbol" w:hAnsi="Symbol"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nsid w:val="19743332"/>
    <w:multiLevelType w:val="hybridMultilevel"/>
    <w:tmpl w:val="FB3A8894"/>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C9F33C0"/>
    <w:multiLevelType w:val="hybridMultilevel"/>
    <w:tmpl w:val="3A38094C"/>
    <w:lvl w:ilvl="0" w:tplc="091CC8D6">
      <w:start w:val="1"/>
      <w:numFmt w:val="decimal"/>
      <w:lvlText w:val="%1."/>
      <w:lvlJc w:val="left"/>
      <w:pPr>
        <w:tabs>
          <w:tab w:val="num" w:pos="360"/>
        </w:tabs>
        <w:ind w:left="360" w:hanging="360"/>
      </w:pPr>
      <w:rPr>
        <w:rFonts w:ascii="Arial" w:hAnsi="Arial" w:cs="Times New Roman" w:hint="default"/>
        <w:b/>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D5D2540"/>
    <w:multiLevelType w:val="hybridMultilevel"/>
    <w:tmpl w:val="B36E040C"/>
    <w:lvl w:ilvl="0" w:tplc="A15CB97C">
      <w:start w:val="1"/>
      <w:numFmt w:val="decimal"/>
      <w:lvlText w:val="%1."/>
      <w:lvlJc w:val="left"/>
      <w:pPr>
        <w:ind w:left="360" w:hanging="360"/>
      </w:pPr>
      <w:rPr>
        <w:rFonts w:hint="default"/>
        <w:b w:val="0"/>
        <w:i w:val="0"/>
      </w:rPr>
    </w:lvl>
    <w:lvl w:ilvl="1" w:tplc="70B0A6A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DDA6C2C"/>
    <w:multiLevelType w:val="hybridMultilevel"/>
    <w:tmpl w:val="29400300"/>
    <w:lvl w:ilvl="0" w:tplc="04090001">
      <w:start w:val="1"/>
      <w:numFmt w:val="bullet"/>
      <w:lvlText w:val=""/>
      <w:lvlJc w:val="left"/>
      <w:pPr>
        <w:ind w:left="1353" w:hanging="360"/>
      </w:pPr>
      <w:rPr>
        <w:rFonts w:ascii="Symbol" w:hAnsi="Symbol" w:hint="default"/>
        <w:b w:val="0"/>
        <w:sz w:val="22"/>
        <w:szCs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1E863962"/>
    <w:multiLevelType w:val="multilevel"/>
    <w:tmpl w:val="C5D29776"/>
    <w:lvl w:ilvl="0">
      <w:start w:val="1"/>
      <w:numFmt w:val="decimal"/>
      <w:lvlText w:val="%1."/>
      <w:lvlJc w:val="left"/>
      <w:pPr>
        <w:ind w:left="720" w:hanging="360"/>
      </w:pPr>
      <w:rPr>
        <w:rFonts w:hint="default"/>
        <w:b/>
      </w:rPr>
    </w:lvl>
    <w:lvl w:ilvl="1">
      <w:start w:val="1"/>
      <w:numFmt w:val="decimal"/>
      <w:isLgl/>
      <w:lvlText w:val="%1.%2"/>
      <w:lvlJc w:val="left"/>
      <w:pPr>
        <w:ind w:left="540" w:hanging="360"/>
      </w:pPr>
      <w:rPr>
        <w:rFonts w:ascii="Calibri" w:hAnsi="Calibri" w:cs="Calibri" w:hint="default"/>
        <w:b/>
        <w:i w:val="0"/>
        <w:color w:val="auto"/>
        <w:sz w:val="22"/>
      </w:rPr>
    </w:lvl>
    <w:lvl w:ilvl="2">
      <w:start w:val="1"/>
      <w:numFmt w:val="decimal"/>
      <w:isLgl/>
      <w:lvlText w:val="%1.%2.%3"/>
      <w:lvlJc w:val="left"/>
      <w:pPr>
        <w:ind w:left="1080" w:hanging="720"/>
      </w:pPr>
      <w:rPr>
        <w:rFonts w:ascii="Calibri" w:hAnsi="Calibri" w:cs="Calibri" w:hint="default"/>
        <w:b/>
        <w:i w:val="0"/>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1FC02D64"/>
    <w:multiLevelType w:val="hybridMultilevel"/>
    <w:tmpl w:val="175EB5E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5">
    <w:nsid w:val="1FC15EFD"/>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0075894"/>
    <w:multiLevelType w:val="hybridMultilevel"/>
    <w:tmpl w:val="977AC84E"/>
    <w:lvl w:ilvl="0" w:tplc="71D2E1A8">
      <w:start w:val="1"/>
      <w:numFmt w:val="decimal"/>
      <w:lvlText w:val="%1."/>
      <w:lvlJc w:val="left"/>
      <w:pPr>
        <w:ind w:left="770" w:hanging="360"/>
      </w:pPr>
    </w:lvl>
    <w:lvl w:ilvl="1" w:tplc="A0FC7C8C" w:tentative="1">
      <w:start w:val="1"/>
      <w:numFmt w:val="lowerLetter"/>
      <w:lvlText w:val="%2."/>
      <w:lvlJc w:val="left"/>
      <w:pPr>
        <w:ind w:left="1490" w:hanging="360"/>
      </w:pPr>
    </w:lvl>
    <w:lvl w:ilvl="2" w:tplc="7094667C" w:tentative="1">
      <w:start w:val="1"/>
      <w:numFmt w:val="lowerRoman"/>
      <w:lvlText w:val="%3."/>
      <w:lvlJc w:val="right"/>
      <w:pPr>
        <w:ind w:left="2210" w:hanging="180"/>
      </w:pPr>
    </w:lvl>
    <w:lvl w:ilvl="3" w:tplc="110432AE" w:tentative="1">
      <w:start w:val="1"/>
      <w:numFmt w:val="decimal"/>
      <w:lvlText w:val="%4."/>
      <w:lvlJc w:val="left"/>
      <w:pPr>
        <w:ind w:left="2930" w:hanging="360"/>
      </w:pPr>
    </w:lvl>
    <w:lvl w:ilvl="4" w:tplc="CDA84660" w:tentative="1">
      <w:start w:val="1"/>
      <w:numFmt w:val="lowerLetter"/>
      <w:lvlText w:val="%5."/>
      <w:lvlJc w:val="left"/>
      <w:pPr>
        <w:ind w:left="3650" w:hanging="360"/>
      </w:pPr>
    </w:lvl>
    <w:lvl w:ilvl="5" w:tplc="4EF0A48E" w:tentative="1">
      <w:start w:val="1"/>
      <w:numFmt w:val="lowerRoman"/>
      <w:lvlText w:val="%6."/>
      <w:lvlJc w:val="right"/>
      <w:pPr>
        <w:ind w:left="4370" w:hanging="180"/>
      </w:pPr>
    </w:lvl>
    <w:lvl w:ilvl="6" w:tplc="8C2CD5C4" w:tentative="1">
      <w:start w:val="1"/>
      <w:numFmt w:val="decimal"/>
      <w:lvlText w:val="%7."/>
      <w:lvlJc w:val="left"/>
      <w:pPr>
        <w:ind w:left="5090" w:hanging="360"/>
      </w:pPr>
    </w:lvl>
    <w:lvl w:ilvl="7" w:tplc="4ABEB19E" w:tentative="1">
      <w:start w:val="1"/>
      <w:numFmt w:val="lowerLetter"/>
      <w:lvlText w:val="%8."/>
      <w:lvlJc w:val="left"/>
      <w:pPr>
        <w:ind w:left="5810" w:hanging="360"/>
      </w:pPr>
    </w:lvl>
    <w:lvl w:ilvl="8" w:tplc="662AB508" w:tentative="1">
      <w:start w:val="1"/>
      <w:numFmt w:val="lowerRoman"/>
      <w:lvlText w:val="%9."/>
      <w:lvlJc w:val="right"/>
      <w:pPr>
        <w:ind w:left="6530" w:hanging="180"/>
      </w:pPr>
    </w:lvl>
  </w:abstractNum>
  <w:abstractNum w:abstractNumId="47">
    <w:nsid w:val="21754051"/>
    <w:multiLevelType w:val="hybridMultilevel"/>
    <w:tmpl w:val="5644D868"/>
    <w:lvl w:ilvl="0" w:tplc="D5C81474">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8">
    <w:nsid w:val="21C83D5A"/>
    <w:multiLevelType w:val="hybridMultilevel"/>
    <w:tmpl w:val="B866D108"/>
    <w:lvl w:ilvl="0" w:tplc="AFB094B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243173C"/>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34675A2"/>
    <w:multiLevelType w:val="hybridMultilevel"/>
    <w:tmpl w:val="3B187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237046B9"/>
    <w:multiLevelType w:val="hybridMultilevel"/>
    <w:tmpl w:val="ECE6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23E7150F"/>
    <w:multiLevelType w:val="hybridMultilevel"/>
    <w:tmpl w:val="A92EF896"/>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5073B23"/>
    <w:multiLevelType w:val="hybridMultilevel"/>
    <w:tmpl w:val="EB84AB86"/>
    <w:lvl w:ilvl="0" w:tplc="AFB094B6">
      <w:start w:val="1"/>
      <w:numFmt w:val="upperLetter"/>
      <w:lvlText w:val="%1)"/>
      <w:lvlJc w:val="left"/>
      <w:pPr>
        <w:ind w:left="360" w:hanging="360"/>
      </w:pPr>
      <w:rPr>
        <w:rFonts w:hint="default"/>
        <w:b/>
        <w:i w:val="0"/>
      </w:rPr>
    </w:lvl>
    <w:lvl w:ilvl="1" w:tplc="70B0A6A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27505F18"/>
    <w:multiLevelType w:val="hybridMultilevel"/>
    <w:tmpl w:val="EC2CFED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7F9237F"/>
    <w:multiLevelType w:val="hybridMultilevel"/>
    <w:tmpl w:val="B866D108"/>
    <w:lvl w:ilvl="0" w:tplc="AFB094B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8737DC9"/>
    <w:multiLevelType w:val="hybridMultilevel"/>
    <w:tmpl w:val="B8BECE1A"/>
    <w:lvl w:ilvl="0" w:tplc="FAECC92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717EBC"/>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29B66609"/>
    <w:multiLevelType w:val="hybridMultilevel"/>
    <w:tmpl w:val="7974CB5A"/>
    <w:lvl w:ilvl="0" w:tplc="CE3EA2FC">
      <w:start w:val="1"/>
      <w:numFmt w:val="decimal"/>
      <w:lvlText w:val="%1."/>
      <w:lvlJc w:val="left"/>
      <w:pPr>
        <w:ind w:left="720" w:hanging="360"/>
      </w:pPr>
      <w:rPr>
        <w:rFonts w:ascii="Calibri" w:eastAsia="Calibri" w:hAnsi="Calibri" w:cs="Times New Roman"/>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9D64093"/>
    <w:multiLevelType w:val="hybridMultilevel"/>
    <w:tmpl w:val="F1E0BA9A"/>
    <w:lvl w:ilvl="0" w:tplc="EAE4AA5E">
      <w:start w:val="1"/>
      <w:numFmt w:val="lowerRoman"/>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29FB4E7F"/>
    <w:multiLevelType w:val="hybridMultilevel"/>
    <w:tmpl w:val="57B2A664"/>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A3625F6"/>
    <w:multiLevelType w:val="hybridMultilevel"/>
    <w:tmpl w:val="FB9AFE34"/>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62">
    <w:nsid w:val="2A900FCE"/>
    <w:multiLevelType w:val="hybridMultilevel"/>
    <w:tmpl w:val="2F3ECDD2"/>
    <w:lvl w:ilvl="0" w:tplc="9904CE7E">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B3A0144"/>
    <w:multiLevelType w:val="hybridMultilevel"/>
    <w:tmpl w:val="F8AA4D9C"/>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2B3E14FC"/>
    <w:multiLevelType w:val="hybridMultilevel"/>
    <w:tmpl w:val="5376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B99452F"/>
    <w:multiLevelType w:val="hybridMultilevel"/>
    <w:tmpl w:val="81AACBB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C091C6A"/>
    <w:multiLevelType w:val="hybridMultilevel"/>
    <w:tmpl w:val="7414B650"/>
    <w:lvl w:ilvl="0" w:tplc="9CF4DB94">
      <w:start w:val="1"/>
      <w:numFmt w:val="lowerRoman"/>
      <w:lvlText w:val="(%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nsid w:val="2C9578F0"/>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2CAE51E4"/>
    <w:multiLevelType w:val="hybridMultilevel"/>
    <w:tmpl w:val="B866D108"/>
    <w:lvl w:ilvl="0" w:tplc="AFB094B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2CFC6ABF"/>
    <w:multiLevelType w:val="hybridMultilevel"/>
    <w:tmpl w:val="A52AE4F2"/>
    <w:lvl w:ilvl="0" w:tplc="DCA4420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2E2744B8"/>
    <w:multiLevelType w:val="hybridMultilevel"/>
    <w:tmpl w:val="A71089DC"/>
    <w:lvl w:ilvl="0" w:tplc="6A5A8C3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1">
    <w:nsid w:val="2E541985"/>
    <w:multiLevelType w:val="hybridMultilevel"/>
    <w:tmpl w:val="65A61078"/>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2EF11B88"/>
    <w:multiLevelType w:val="hybridMultilevel"/>
    <w:tmpl w:val="B9128C98"/>
    <w:lvl w:ilvl="0" w:tplc="04090001">
      <w:start w:val="1"/>
      <w:numFmt w:val="bullet"/>
      <w:lvlText w:val=""/>
      <w:lvlJc w:val="left"/>
      <w:pPr>
        <w:ind w:left="2430" w:hanging="360"/>
      </w:pPr>
      <w:rPr>
        <w:rFonts w:ascii="Symbol" w:hAnsi="Symbol"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3">
    <w:nsid w:val="2EFA6D38"/>
    <w:multiLevelType w:val="hybridMultilevel"/>
    <w:tmpl w:val="AEDC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AA9A5B06">
      <w:start w:val="1"/>
      <w:numFmt w:val="decimal"/>
      <w:lvlText w:val="%4."/>
      <w:lvlJc w:val="left"/>
      <w:pPr>
        <w:ind w:left="360" w:hanging="360"/>
      </w:pPr>
      <w:rPr>
        <w:b/>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226AFC"/>
    <w:multiLevelType w:val="hybridMultilevel"/>
    <w:tmpl w:val="12E08E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30823208"/>
    <w:multiLevelType w:val="hybridMultilevel"/>
    <w:tmpl w:val="1D92BA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6">
    <w:nsid w:val="30CA6FA4"/>
    <w:multiLevelType w:val="hybridMultilevel"/>
    <w:tmpl w:val="61C8C2D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30DB013B"/>
    <w:multiLevelType w:val="hybridMultilevel"/>
    <w:tmpl w:val="DACA386A"/>
    <w:lvl w:ilvl="0" w:tplc="40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31055164"/>
    <w:multiLevelType w:val="hybridMultilevel"/>
    <w:tmpl w:val="6C14C612"/>
    <w:lvl w:ilvl="0" w:tplc="04090001">
      <w:start w:val="1"/>
      <w:numFmt w:val="bullet"/>
      <w:lvlText w:val=""/>
      <w:lvlJc w:val="left"/>
      <w:pPr>
        <w:ind w:left="810" w:hanging="360"/>
      </w:pPr>
      <w:rPr>
        <w:rFonts w:ascii="Symbol" w:hAnsi="Symbol" w:hint="default"/>
      </w:rPr>
    </w:lvl>
    <w:lvl w:ilvl="1" w:tplc="F72E251A" w:tentative="1">
      <w:start w:val="1"/>
      <w:numFmt w:val="bullet"/>
      <w:lvlText w:val="o"/>
      <w:lvlJc w:val="left"/>
      <w:pPr>
        <w:ind w:left="1530" w:hanging="360"/>
      </w:pPr>
      <w:rPr>
        <w:rFonts w:ascii="Courier New" w:hAnsi="Courier New" w:cs="Courier New" w:hint="default"/>
      </w:rPr>
    </w:lvl>
    <w:lvl w:ilvl="2" w:tplc="BAC0D684" w:tentative="1">
      <w:start w:val="1"/>
      <w:numFmt w:val="bullet"/>
      <w:lvlText w:val=""/>
      <w:lvlJc w:val="left"/>
      <w:pPr>
        <w:ind w:left="2250" w:hanging="360"/>
      </w:pPr>
      <w:rPr>
        <w:rFonts w:ascii="Wingdings" w:hAnsi="Wingdings" w:hint="default"/>
      </w:rPr>
    </w:lvl>
    <w:lvl w:ilvl="3" w:tplc="2AAC5312" w:tentative="1">
      <w:start w:val="1"/>
      <w:numFmt w:val="bullet"/>
      <w:lvlText w:val=""/>
      <w:lvlJc w:val="left"/>
      <w:pPr>
        <w:ind w:left="2970" w:hanging="360"/>
      </w:pPr>
      <w:rPr>
        <w:rFonts w:ascii="Symbol" w:hAnsi="Symbol" w:hint="default"/>
      </w:rPr>
    </w:lvl>
    <w:lvl w:ilvl="4" w:tplc="38A8D850" w:tentative="1">
      <w:start w:val="1"/>
      <w:numFmt w:val="bullet"/>
      <w:lvlText w:val="o"/>
      <w:lvlJc w:val="left"/>
      <w:pPr>
        <w:ind w:left="3690" w:hanging="360"/>
      </w:pPr>
      <w:rPr>
        <w:rFonts w:ascii="Courier New" w:hAnsi="Courier New" w:cs="Courier New" w:hint="default"/>
      </w:rPr>
    </w:lvl>
    <w:lvl w:ilvl="5" w:tplc="133082B8" w:tentative="1">
      <w:start w:val="1"/>
      <w:numFmt w:val="bullet"/>
      <w:lvlText w:val=""/>
      <w:lvlJc w:val="left"/>
      <w:pPr>
        <w:ind w:left="4410" w:hanging="360"/>
      </w:pPr>
      <w:rPr>
        <w:rFonts w:ascii="Wingdings" w:hAnsi="Wingdings" w:hint="default"/>
      </w:rPr>
    </w:lvl>
    <w:lvl w:ilvl="6" w:tplc="712E5E4E" w:tentative="1">
      <w:start w:val="1"/>
      <w:numFmt w:val="bullet"/>
      <w:lvlText w:val=""/>
      <w:lvlJc w:val="left"/>
      <w:pPr>
        <w:ind w:left="5130" w:hanging="360"/>
      </w:pPr>
      <w:rPr>
        <w:rFonts w:ascii="Symbol" w:hAnsi="Symbol" w:hint="default"/>
      </w:rPr>
    </w:lvl>
    <w:lvl w:ilvl="7" w:tplc="4386DFA2" w:tentative="1">
      <w:start w:val="1"/>
      <w:numFmt w:val="bullet"/>
      <w:lvlText w:val="o"/>
      <w:lvlJc w:val="left"/>
      <w:pPr>
        <w:ind w:left="5850" w:hanging="360"/>
      </w:pPr>
      <w:rPr>
        <w:rFonts w:ascii="Courier New" w:hAnsi="Courier New" w:cs="Courier New" w:hint="default"/>
      </w:rPr>
    </w:lvl>
    <w:lvl w:ilvl="8" w:tplc="D49A9B0A" w:tentative="1">
      <w:start w:val="1"/>
      <w:numFmt w:val="bullet"/>
      <w:lvlText w:val=""/>
      <w:lvlJc w:val="left"/>
      <w:pPr>
        <w:ind w:left="6570" w:hanging="360"/>
      </w:pPr>
      <w:rPr>
        <w:rFonts w:ascii="Wingdings" w:hAnsi="Wingdings" w:hint="default"/>
      </w:rPr>
    </w:lvl>
  </w:abstractNum>
  <w:abstractNum w:abstractNumId="79">
    <w:nsid w:val="3170610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nsid w:val="31803FE8"/>
    <w:multiLevelType w:val="hybridMultilevel"/>
    <w:tmpl w:val="B866D108"/>
    <w:lvl w:ilvl="0" w:tplc="AFB094B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28A276E"/>
    <w:multiLevelType w:val="hybridMultilevel"/>
    <w:tmpl w:val="A5C291CC"/>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2F77947"/>
    <w:multiLevelType w:val="hybridMultilevel"/>
    <w:tmpl w:val="5376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33C54CF"/>
    <w:multiLevelType w:val="hybridMultilevel"/>
    <w:tmpl w:val="9B464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37DC398B"/>
    <w:multiLevelType w:val="hybridMultilevel"/>
    <w:tmpl w:val="6BAE68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37E038BF"/>
    <w:multiLevelType w:val="hybridMultilevel"/>
    <w:tmpl w:val="B494243E"/>
    <w:lvl w:ilvl="0" w:tplc="4FF28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83A4E88"/>
    <w:multiLevelType w:val="hybridMultilevel"/>
    <w:tmpl w:val="D840CE2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384C7EAD"/>
    <w:multiLevelType w:val="multilevel"/>
    <w:tmpl w:val="172A0C5E"/>
    <w:lvl w:ilvl="0">
      <w:start w:val="2"/>
      <w:numFmt w:val="lowerRoman"/>
      <w:lvlText w:val="%1."/>
      <w:lvlJc w:val="left"/>
      <w:pPr>
        <w:tabs>
          <w:tab w:val="num" w:pos="2610"/>
        </w:tabs>
        <w:ind w:left="2610" w:hanging="720"/>
      </w:pPr>
      <w:rPr>
        <w:b/>
      </w:rPr>
    </w:lvl>
    <w:lvl w:ilvl="1">
      <w:start w:val="2"/>
      <w:numFmt w:val="lowerLetter"/>
      <w:lvlText w:val="%2."/>
      <w:lvlJc w:val="left"/>
      <w:pPr>
        <w:tabs>
          <w:tab w:val="num" w:pos="2970"/>
        </w:tabs>
        <w:ind w:left="2970" w:hanging="360"/>
      </w:pPr>
    </w:lvl>
    <w:lvl w:ilvl="2">
      <w:start w:val="1"/>
      <w:numFmt w:val="lowerRoman"/>
      <w:lvlText w:val="%3."/>
      <w:lvlJc w:val="right"/>
      <w:pPr>
        <w:tabs>
          <w:tab w:val="num" w:pos="3690"/>
        </w:tabs>
        <w:ind w:left="3690" w:hanging="180"/>
      </w:pPr>
    </w:lvl>
    <w:lvl w:ilvl="3">
      <w:start w:val="1"/>
      <w:numFmt w:val="decimal"/>
      <w:lvlText w:val="%4."/>
      <w:lvlJc w:val="left"/>
      <w:pPr>
        <w:tabs>
          <w:tab w:val="num" w:pos="4410"/>
        </w:tabs>
        <w:ind w:left="4410" w:hanging="360"/>
      </w:pPr>
    </w:lvl>
    <w:lvl w:ilvl="4">
      <w:start w:val="1"/>
      <w:numFmt w:val="lowerLetter"/>
      <w:lvlText w:val="%5."/>
      <w:lvlJc w:val="left"/>
      <w:pPr>
        <w:tabs>
          <w:tab w:val="num" w:pos="5130"/>
        </w:tabs>
        <w:ind w:left="5130" w:hanging="360"/>
      </w:pPr>
    </w:lvl>
    <w:lvl w:ilvl="5">
      <w:start w:val="1"/>
      <w:numFmt w:val="lowerRoman"/>
      <w:lvlText w:val="%6."/>
      <w:lvlJc w:val="right"/>
      <w:pPr>
        <w:tabs>
          <w:tab w:val="num" w:pos="5850"/>
        </w:tabs>
        <w:ind w:left="5850" w:hanging="180"/>
      </w:pPr>
    </w:lvl>
    <w:lvl w:ilvl="6">
      <w:start w:val="1"/>
      <w:numFmt w:val="decimal"/>
      <w:lvlText w:val="%7."/>
      <w:lvlJc w:val="left"/>
      <w:pPr>
        <w:tabs>
          <w:tab w:val="num" w:pos="6570"/>
        </w:tabs>
        <w:ind w:left="6570" w:hanging="360"/>
      </w:pPr>
    </w:lvl>
    <w:lvl w:ilvl="7">
      <w:start w:val="1"/>
      <w:numFmt w:val="lowerLetter"/>
      <w:lvlText w:val="%8."/>
      <w:lvlJc w:val="left"/>
      <w:pPr>
        <w:tabs>
          <w:tab w:val="num" w:pos="7290"/>
        </w:tabs>
        <w:ind w:left="7290" w:hanging="360"/>
      </w:pPr>
    </w:lvl>
    <w:lvl w:ilvl="8">
      <w:start w:val="1"/>
      <w:numFmt w:val="lowerRoman"/>
      <w:lvlText w:val="%9."/>
      <w:lvlJc w:val="right"/>
      <w:pPr>
        <w:tabs>
          <w:tab w:val="num" w:pos="8010"/>
        </w:tabs>
        <w:ind w:left="8010" w:hanging="180"/>
      </w:pPr>
    </w:lvl>
  </w:abstractNum>
  <w:abstractNum w:abstractNumId="88">
    <w:nsid w:val="38A84729"/>
    <w:multiLevelType w:val="hybridMultilevel"/>
    <w:tmpl w:val="AEF6914C"/>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38E03690"/>
    <w:multiLevelType w:val="hybridMultilevel"/>
    <w:tmpl w:val="B494243E"/>
    <w:lvl w:ilvl="0" w:tplc="4FF28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8FC614C"/>
    <w:multiLevelType w:val="hybridMultilevel"/>
    <w:tmpl w:val="CC403D8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1">
    <w:nsid w:val="3A214691"/>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3A952989"/>
    <w:multiLevelType w:val="hybridMultilevel"/>
    <w:tmpl w:val="31C828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3AF33DE1"/>
    <w:multiLevelType w:val="hybridMultilevel"/>
    <w:tmpl w:val="2F3ECDD2"/>
    <w:lvl w:ilvl="0" w:tplc="9904CE7E">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BF85FF1"/>
    <w:multiLevelType w:val="hybridMultilevel"/>
    <w:tmpl w:val="B04AA58A"/>
    <w:lvl w:ilvl="0" w:tplc="DB085446">
      <w:start w:val="1"/>
      <w:numFmt w:val="bullet"/>
      <w:lvlText w:val=""/>
      <w:lvlJc w:val="left"/>
      <w:pPr>
        <w:ind w:left="720" w:hanging="360"/>
      </w:pPr>
      <w:rPr>
        <w:rFonts w:ascii="Symbol" w:hAnsi="Symbol" w:hint="default"/>
      </w:rPr>
    </w:lvl>
    <w:lvl w:ilvl="1" w:tplc="0566770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5">
    <w:nsid w:val="3D367C60"/>
    <w:multiLevelType w:val="hybridMultilevel"/>
    <w:tmpl w:val="FF4A7886"/>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E481DA4"/>
    <w:multiLevelType w:val="hybridMultilevel"/>
    <w:tmpl w:val="9B9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ED65A14"/>
    <w:multiLevelType w:val="multilevel"/>
    <w:tmpl w:val="282C66D8"/>
    <w:lvl w:ilvl="0">
      <w:start w:val="1"/>
      <w:numFmt w:val="decimal"/>
      <w:lvlText w:val="%1"/>
      <w:lvlJc w:val="left"/>
      <w:pPr>
        <w:ind w:left="432" w:hanging="432"/>
      </w:pPr>
    </w:lvl>
    <w:lvl w:ilvl="1">
      <w:start w:val="1"/>
      <w:numFmt w:val="decimal"/>
      <w:pStyle w:val="TariffRateScheduleleve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nsid w:val="42EC0C81"/>
    <w:multiLevelType w:val="multilevel"/>
    <w:tmpl w:val="A4C6E898"/>
    <w:lvl w:ilvl="0">
      <w:start w:val="1"/>
      <w:numFmt w:val="decimal"/>
      <w:lvlText w:val="%1."/>
      <w:lvlJc w:val="left"/>
      <w:pPr>
        <w:ind w:left="600" w:hanging="600"/>
      </w:pPr>
      <w:rPr>
        <w:rFonts w:hint="default"/>
      </w:rPr>
    </w:lvl>
    <w:lvl w:ilvl="1">
      <w:start w:val="2"/>
      <w:numFmt w:val="decimal"/>
      <w:lvlText w:val="%1.%2"/>
      <w:lvlJc w:val="left"/>
      <w:pPr>
        <w:ind w:left="780" w:hanging="780"/>
      </w:pPr>
      <w:rPr>
        <w:rFonts w:hint="default"/>
        <w:b/>
      </w:rPr>
    </w:lvl>
    <w:lvl w:ilvl="2">
      <w:start w:val="1"/>
      <w:numFmt w:val="bullet"/>
      <w:lvlText w:val=""/>
      <w:lvlJc w:val="left"/>
      <w:pPr>
        <w:tabs>
          <w:tab w:val="num" w:pos="936"/>
        </w:tabs>
        <w:ind w:left="936" w:hanging="936"/>
      </w:pPr>
      <w:rPr>
        <w:rFonts w:ascii="Symbol" w:hAnsi="Symbol" w:hint="default"/>
        <w:b w:val="0"/>
        <w:bCs/>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9">
    <w:nsid w:val="43CA6164"/>
    <w:multiLevelType w:val="hybridMultilevel"/>
    <w:tmpl w:val="0C28B40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0">
    <w:nsid w:val="44041F64"/>
    <w:multiLevelType w:val="hybridMultilevel"/>
    <w:tmpl w:val="08F2AF6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1">
    <w:nsid w:val="441E7467"/>
    <w:multiLevelType w:val="hybridMultilevel"/>
    <w:tmpl w:val="D9C88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41F1B58"/>
    <w:multiLevelType w:val="hybridMultilevel"/>
    <w:tmpl w:val="73DA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4553AF6"/>
    <w:multiLevelType w:val="hybridMultilevel"/>
    <w:tmpl w:val="5FC8DD5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4">
    <w:nsid w:val="449C49E6"/>
    <w:multiLevelType w:val="hybridMultilevel"/>
    <w:tmpl w:val="FB34B34C"/>
    <w:lvl w:ilvl="0" w:tplc="FAD0A96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46764E80"/>
    <w:multiLevelType w:val="hybridMultilevel"/>
    <w:tmpl w:val="138C5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46C1253C"/>
    <w:multiLevelType w:val="multilevel"/>
    <w:tmpl w:val="6AFCDCD2"/>
    <w:lvl w:ilvl="0">
      <w:start w:val="1"/>
      <w:numFmt w:val="decimal"/>
      <w:lvlText w:val="%1."/>
      <w:lvlJc w:val="left"/>
      <w:pPr>
        <w:ind w:left="600" w:hanging="600"/>
      </w:pPr>
      <w:rPr>
        <w:rFonts w:hint="default"/>
      </w:rPr>
    </w:lvl>
    <w:lvl w:ilvl="1">
      <w:start w:val="2"/>
      <w:numFmt w:val="decimal"/>
      <w:lvlText w:val="%1.%2"/>
      <w:lvlJc w:val="left"/>
      <w:pPr>
        <w:ind w:left="780" w:hanging="780"/>
      </w:pPr>
      <w:rPr>
        <w:rFonts w:hint="default"/>
        <w:b/>
      </w:rPr>
    </w:lvl>
    <w:lvl w:ilvl="2">
      <w:start w:val="1"/>
      <w:numFmt w:val="bullet"/>
      <w:lvlText w:val=""/>
      <w:lvlJc w:val="left"/>
      <w:pPr>
        <w:tabs>
          <w:tab w:val="num" w:pos="936"/>
        </w:tabs>
        <w:ind w:left="936" w:hanging="936"/>
      </w:pPr>
      <w:rPr>
        <w:rFonts w:ascii="Symbol" w:hAnsi="Symbol" w:hint="default"/>
        <w:b w:val="0"/>
        <w:bCs/>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7">
    <w:nsid w:val="46C81EBF"/>
    <w:multiLevelType w:val="hybridMultilevel"/>
    <w:tmpl w:val="8B8E2D4C"/>
    <w:lvl w:ilvl="0" w:tplc="A6A69DF0">
      <w:numFmt w:val="bullet"/>
      <w:lvlText w:val="•"/>
      <w:lvlJc w:val="left"/>
      <w:pPr>
        <w:ind w:left="1713" w:hanging="360"/>
      </w:pPr>
      <w:rPr>
        <w:rFonts w:ascii="Calibri" w:eastAsia="Times New Roman" w:hAnsi="Calibri" w:cs="Calibri"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8">
    <w:nsid w:val="46D51526"/>
    <w:multiLevelType w:val="hybridMultilevel"/>
    <w:tmpl w:val="50F40D10"/>
    <w:lvl w:ilvl="0" w:tplc="A56CBC76">
      <w:start w:val="1"/>
      <w:numFmt w:val="lowerRoman"/>
      <w:lvlText w:val="(%1)"/>
      <w:lvlJc w:val="left"/>
      <w:pPr>
        <w:tabs>
          <w:tab w:val="num" w:pos="1440"/>
        </w:tabs>
        <w:ind w:left="1440" w:hanging="720"/>
      </w:pPr>
      <w:rPr>
        <w:b/>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9">
    <w:nsid w:val="478C7921"/>
    <w:multiLevelType w:val="hybridMultilevel"/>
    <w:tmpl w:val="53C8A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47B82917"/>
    <w:multiLevelType w:val="hybridMultilevel"/>
    <w:tmpl w:val="17EAA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93F3E49"/>
    <w:multiLevelType w:val="hybridMultilevel"/>
    <w:tmpl w:val="2004836A"/>
    <w:lvl w:ilvl="0" w:tplc="041AB48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95334D1"/>
    <w:multiLevelType w:val="hybridMultilevel"/>
    <w:tmpl w:val="E7E86E52"/>
    <w:lvl w:ilvl="0" w:tplc="40090001">
      <w:start w:val="1"/>
      <w:numFmt w:val="bullet"/>
      <w:lvlText w:val=""/>
      <w:lvlJc w:val="left"/>
      <w:pPr>
        <w:ind w:left="1353" w:hanging="360"/>
      </w:pPr>
      <w:rPr>
        <w:rFonts w:ascii="Symbol" w:hAnsi="Symbol"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113">
    <w:nsid w:val="4AE57A48"/>
    <w:multiLevelType w:val="multilevel"/>
    <w:tmpl w:val="FA623B7E"/>
    <w:lvl w:ilvl="0">
      <w:start w:val="1"/>
      <w:numFmt w:val="lowerRoman"/>
      <w:lvlText w:val="%1."/>
      <w:lvlJc w:val="righ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4AF84ADB"/>
    <w:multiLevelType w:val="hybridMultilevel"/>
    <w:tmpl w:val="B866D108"/>
    <w:lvl w:ilvl="0" w:tplc="AFB094B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4B1953E8"/>
    <w:multiLevelType w:val="hybridMultilevel"/>
    <w:tmpl w:val="58E0FFE2"/>
    <w:lvl w:ilvl="0" w:tplc="788E74FC">
      <w:start w:val="2"/>
      <w:numFmt w:val="low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6">
    <w:nsid w:val="4BF35E62"/>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4C5F15DF"/>
    <w:multiLevelType w:val="hybridMultilevel"/>
    <w:tmpl w:val="FF4A7886"/>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4CA93EFA"/>
    <w:multiLevelType w:val="hybridMultilevel"/>
    <w:tmpl w:val="3B38405C"/>
    <w:lvl w:ilvl="0" w:tplc="04090017">
      <w:start w:val="1"/>
      <w:numFmt w:val="lowerLetter"/>
      <w:lvlText w:val="%1)"/>
      <w:lvlJc w:val="left"/>
      <w:pPr>
        <w:ind w:left="720" w:hanging="360"/>
      </w:pPr>
      <w:rPr>
        <w:rFonts w:hint="default"/>
      </w:rPr>
    </w:lvl>
    <w:lvl w:ilvl="1" w:tplc="822A059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D3B23A4"/>
    <w:multiLevelType w:val="hybridMultilevel"/>
    <w:tmpl w:val="EAF084F0"/>
    <w:lvl w:ilvl="0" w:tplc="A6A69DF0">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20">
    <w:nsid w:val="4D8526CD"/>
    <w:multiLevelType w:val="multilevel"/>
    <w:tmpl w:val="6AFCDCD2"/>
    <w:lvl w:ilvl="0">
      <w:start w:val="1"/>
      <w:numFmt w:val="decimal"/>
      <w:lvlText w:val="%1."/>
      <w:lvlJc w:val="left"/>
      <w:pPr>
        <w:ind w:left="600" w:hanging="600"/>
      </w:pPr>
      <w:rPr>
        <w:rFonts w:hint="default"/>
      </w:rPr>
    </w:lvl>
    <w:lvl w:ilvl="1">
      <w:start w:val="2"/>
      <w:numFmt w:val="decimal"/>
      <w:lvlText w:val="%1.%2"/>
      <w:lvlJc w:val="left"/>
      <w:pPr>
        <w:ind w:left="780" w:hanging="780"/>
      </w:pPr>
      <w:rPr>
        <w:rFonts w:hint="default"/>
        <w:b/>
      </w:rPr>
    </w:lvl>
    <w:lvl w:ilvl="2">
      <w:start w:val="1"/>
      <w:numFmt w:val="bullet"/>
      <w:lvlText w:val=""/>
      <w:lvlJc w:val="left"/>
      <w:pPr>
        <w:tabs>
          <w:tab w:val="num" w:pos="936"/>
        </w:tabs>
        <w:ind w:left="936" w:hanging="936"/>
      </w:pPr>
      <w:rPr>
        <w:rFonts w:ascii="Symbol" w:hAnsi="Symbol" w:hint="default"/>
        <w:b w:val="0"/>
        <w:bCs/>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1">
    <w:nsid w:val="4DA0462A"/>
    <w:multiLevelType w:val="hybridMultilevel"/>
    <w:tmpl w:val="B866D108"/>
    <w:lvl w:ilvl="0" w:tplc="AFB094B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4F094455"/>
    <w:multiLevelType w:val="hybridMultilevel"/>
    <w:tmpl w:val="76C83A34"/>
    <w:lvl w:ilvl="0" w:tplc="4F7A69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F484EEC"/>
    <w:multiLevelType w:val="hybridMultilevel"/>
    <w:tmpl w:val="38DA8824"/>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4FCA4806"/>
    <w:multiLevelType w:val="hybridMultilevel"/>
    <w:tmpl w:val="C26E67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50F92CCD"/>
    <w:multiLevelType w:val="hybridMultilevel"/>
    <w:tmpl w:val="63C013C4"/>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521F26BF"/>
    <w:multiLevelType w:val="hybridMultilevel"/>
    <w:tmpl w:val="D102D1FA"/>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54CE1E10"/>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57064A73"/>
    <w:multiLevelType w:val="hybridMultilevel"/>
    <w:tmpl w:val="B6B6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7720BD2"/>
    <w:multiLevelType w:val="hybridMultilevel"/>
    <w:tmpl w:val="6166E086"/>
    <w:lvl w:ilvl="0" w:tplc="40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81D096A"/>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586A349B"/>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58DA7173"/>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59137AB9"/>
    <w:multiLevelType w:val="hybridMultilevel"/>
    <w:tmpl w:val="E33E6654"/>
    <w:lvl w:ilvl="0" w:tplc="B0BE10CC">
      <w:start w:val="22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AE3068E"/>
    <w:multiLevelType w:val="hybridMultilevel"/>
    <w:tmpl w:val="FF4A7886"/>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5B231AF7"/>
    <w:multiLevelType w:val="hybridMultilevel"/>
    <w:tmpl w:val="D8D4CD28"/>
    <w:lvl w:ilvl="0" w:tplc="EAE4AA5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5C2950B2"/>
    <w:multiLevelType w:val="hybridMultilevel"/>
    <w:tmpl w:val="1234C2C0"/>
    <w:lvl w:ilvl="0" w:tplc="B8B467C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7">
    <w:nsid w:val="5CBC6404"/>
    <w:multiLevelType w:val="hybridMultilevel"/>
    <w:tmpl w:val="7B7CB488"/>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5E367F26"/>
    <w:multiLevelType w:val="hybridMultilevel"/>
    <w:tmpl w:val="EC2CFED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5EB507BB"/>
    <w:multiLevelType w:val="multilevel"/>
    <w:tmpl w:val="6AFCDCD2"/>
    <w:lvl w:ilvl="0">
      <w:start w:val="1"/>
      <w:numFmt w:val="decimal"/>
      <w:lvlText w:val="%1."/>
      <w:lvlJc w:val="left"/>
      <w:pPr>
        <w:ind w:left="600" w:hanging="600"/>
      </w:pPr>
      <w:rPr>
        <w:rFonts w:hint="default"/>
      </w:rPr>
    </w:lvl>
    <w:lvl w:ilvl="1">
      <w:start w:val="2"/>
      <w:numFmt w:val="decimal"/>
      <w:lvlText w:val="%1.%2"/>
      <w:lvlJc w:val="left"/>
      <w:pPr>
        <w:ind w:left="780" w:hanging="780"/>
      </w:pPr>
      <w:rPr>
        <w:rFonts w:hint="default"/>
        <w:b/>
      </w:rPr>
    </w:lvl>
    <w:lvl w:ilvl="2">
      <w:start w:val="1"/>
      <w:numFmt w:val="bullet"/>
      <w:lvlText w:val=""/>
      <w:lvlJc w:val="left"/>
      <w:pPr>
        <w:tabs>
          <w:tab w:val="num" w:pos="936"/>
        </w:tabs>
        <w:ind w:left="936" w:hanging="936"/>
      </w:pPr>
      <w:rPr>
        <w:rFonts w:ascii="Symbol" w:hAnsi="Symbol" w:hint="default"/>
        <w:b w:val="0"/>
        <w:bCs/>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0">
    <w:nsid w:val="5FA17A0D"/>
    <w:multiLevelType w:val="hybridMultilevel"/>
    <w:tmpl w:val="A5C291CC"/>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62227B15"/>
    <w:multiLevelType w:val="singleLevel"/>
    <w:tmpl w:val="3A7652D8"/>
    <w:lvl w:ilvl="0">
      <w:start w:val="1"/>
      <w:numFmt w:val="decimal"/>
      <w:lvlText w:val="%1."/>
      <w:lvlJc w:val="left"/>
      <w:pPr>
        <w:tabs>
          <w:tab w:val="num" w:pos="360"/>
        </w:tabs>
        <w:ind w:left="360" w:hanging="360"/>
      </w:pPr>
      <w:rPr>
        <w:rFonts w:ascii="Calibri" w:hAnsi="Calibri" w:cs="Times New Roman" w:hint="default"/>
        <w:b/>
        <w:i w:val="0"/>
        <w:sz w:val="24"/>
        <w:szCs w:val="24"/>
      </w:rPr>
    </w:lvl>
  </w:abstractNum>
  <w:abstractNum w:abstractNumId="142">
    <w:nsid w:val="62F06295"/>
    <w:multiLevelType w:val="hybridMultilevel"/>
    <w:tmpl w:val="67189C62"/>
    <w:lvl w:ilvl="0" w:tplc="A6A69DF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640D25D0"/>
    <w:multiLevelType w:val="hybridMultilevel"/>
    <w:tmpl w:val="14962D62"/>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66163668"/>
    <w:multiLevelType w:val="hybridMultilevel"/>
    <w:tmpl w:val="EB2206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66F2163A"/>
    <w:multiLevelType w:val="hybridMultilevel"/>
    <w:tmpl w:val="77D820C4"/>
    <w:lvl w:ilvl="0" w:tplc="04090017">
      <w:start w:val="1"/>
      <w:numFmt w:val="lowerRoman"/>
      <w:lvlText w:val="(%1)"/>
      <w:lvlJc w:val="left"/>
      <w:pPr>
        <w:tabs>
          <w:tab w:val="num" w:pos="1080"/>
        </w:tabs>
        <w:ind w:left="1080" w:hanging="720"/>
      </w:pPr>
      <w:rPr>
        <w:rFonts w:ascii="Calibri" w:hAnsi="Calibri" w:cs="Times New Roman" w:hint="default"/>
        <w:b w:val="0"/>
      </w:rPr>
    </w:lvl>
    <w:lvl w:ilvl="1" w:tplc="04090019">
      <w:start w:val="1"/>
      <w:numFmt w:val="decimal"/>
      <w:lvlText w:val="(%2)"/>
      <w:lvlJc w:val="left"/>
      <w:pPr>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67045361"/>
    <w:multiLevelType w:val="hybridMultilevel"/>
    <w:tmpl w:val="60505382"/>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6790544A"/>
    <w:multiLevelType w:val="hybridMultilevel"/>
    <w:tmpl w:val="A304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7FA24A8"/>
    <w:multiLevelType w:val="hybridMultilevel"/>
    <w:tmpl w:val="EE0E1C8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9">
    <w:nsid w:val="68432FA1"/>
    <w:multiLevelType w:val="hybridMultilevel"/>
    <w:tmpl w:val="ECC8420C"/>
    <w:lvl w:ilvl="0" w:tplc="66705BA4">
      <w:start w:val="1"/>
      <w:numFmt w:val="lowerRoman"/>
      <w:lvlText w:val="%1)"/>
      <w:lvlJc w:val="left"/>
      <w:pPr>
        <w:tabs>
          <w:tab w:val="num" w:pos="1080"/>
        </w:tabs>
        <w:ind w:left="1080" w:hanging="720"/>
      </w:pPr>
    </w:lvl>
    <w:lvl w:ilvl="1" w:tplc="1C08C51A">
      <w:start w:val="1"/>
      <w:numFmt w:val="lowerLetter"/>
      <w:lvlText w:val="%2."/>
      <w:lvlJc w:val="left"/>
      <w:pPr>
        <w:tabs>
          <w:tab w:val="num" w:pos="1440"/>
        </w:tabs>
        <w:ind w:left="1440" w:hanging="360"/>
      </w:pPr>
    </w:lvl>
    <w:lvl w:ilvl="2" w:tplc="1422D03C">
      <w:start w:val="1"/>
      <w:numFmt w:val="lowerRoman"/>
      <w:lvlText w:val="%3."/>
      <w:lvlJc w:val="right"/>
      <w:pPr>
        <w:tabs>
          <w:tab w:val="num" w:pos="2160"/>
        </w:tabs>
        <w:ind w:left="2160" w:hanging="180"/>
      </w:pPr>
    </w:lvl>
    <w:lvl w:ilvl="3" w:tplc="40A460CE">
      <w:start w:val="1"/>
      <w:numFmt w:val="decimal"/>
      <w:lvlText w:val="%4."/>
      <w:lvlJc w:val="left"/>
      <w:pPr>
        <w:tabs>
          <w:tab w:val="num" w:pos="2880"/>
        </w:tabs>
        <w:ind w:left="2880" w:hanging="360"/>
      </w:pPr>
    </w:lvl>
    <w:lvl w:ilvl="4" w:tplc="3320E206">
      <w:start w:val="1"/>
      <w:numFmt w:val="lowerLetter"/>
      <w:lvlText w:val="%5."/>
      <w:lvlJc w:val="left"/>
      <w:pPr>
        <w:tabs>
          <w:tab w:val="num" w:pos="3600"/>
        </w:tabs>
        <w:ind w:left="3600" w:hanging="360"/>
      </w:pPr>
    </w:lvl>
    <w:lvl w:ilvl="5" w:tplc="ADAC1302">
      <w:start w:val="1"/>
      <w:numFmt w:val="lowerRoman"/>
      <w:lvlText w:val="%6."/>
      <w:lvlJc w:val="right"/>
      <w:pPr>
        <w:tabs>
          <w:tab w:val="num" w:pos="4320"/>
        </w:tabs>
        <w:ind w:left="4320" w:hanging="180"/>
      </w:pPr>
    </w:lvl>
    <w:lvl w:ilvl="6" w:tplc="78E2F8D6">
      <w:start w:val="1"/>
      <w:numFmt w:val="decimal"/>
      <w:lvlText w:val="%7."/>
      <w:lvlJc w:val="left"/>
      <w:pPr>
        <w:tabs>
          <w:tab w:val="num" w:pos="5040"/>
        </w:tabs>
        <w:ind w:left="5040" w:hanging="360"/>
      </w:pPr>
    </w:lvl>
    <w:lvl w:ilvl="7" w:tplc="AE2AF5B8">
      <w:start w:val="1"/>
      <w:numFmt w:val="lowerLetter"/>
      <w:lvlText w:val="%8."/>
      <w:lvlJc w:val="left"/>
      <w:pPr>
        <w:tabs>
          <w:tab w:val="num" w:pos="5760"/>
        </w:tabs>
        <w:ind w:left="5760" w:hanging="360"/>
      </w:pPr>
    </w:lvl>
    <w:lvl w:ilvl="8" w:tplc="1546A30E">
      <w:start w:val="1"/>
      <w:numFmt w:val="lowerRoman"/>
      <w:lvlText w:val="%9."/>
      <w:lvlJc w:val="right"/>
      <w:pPr>
        <w:tabs>
          <w:tab w:val="num" w:pos="6480"/>
        </w:tabs>
        <w:ind w:left="6480" w:hanging="180"/>
      </w:pPr>
    </w:lvl>
  </w:abstractNum>
  <w:abstractNum w:abstractNumId="150">
    <w:nsid w:val="68462518"/>
    <w:multiLevelType w:val="hybridMultilevel"/>
    <w:tmpl w:val="69EE378A"/>
    <w:lvl w:ilvl="0" w:tplc="5FA8340E">
      <w:start w:val="1"/>
      <w:numFmt w:val="lowerLetter"/>
      <w:lvlText w:val="(%1)"/>
      <w:lvlJc w:val="left"/>
      <w:pPr>
        <w:tabs>
          <w:tab w:val="num" w:pos="720"/>
        </w:tabs>
        <w:ind w:left="720" w:hanging="360"/>
      </w:pPr>
    </w:lvl>
    <w:lvl w:ilvl="1" w:tplc="234474B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nsid w:val="68B77C7A"/>
    <w:multiLevelType w:val="hybridMultilevel"/>
    <w:tmpl w:val="8D22C916"/>
    <w:lvl w:ilvl="0" w:tplc="9F065854">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2">
    <w:nsid w:val="69164830"/>
    <w:multiLevelType w:val="hybridMultilevel"/>
    <w:tmpl w:val="4072B1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nsid w:val="699D0764"/>
    <w:multiLevelType w:val="hybridMultilevel"/>
    <w:tmpl w:val="88A804B6"/>
    <w:lvl w:ilvl="0" w:tplc="77C8CB5E">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AFB66DD"/>
    <w:multiLevelType w:val="hybridMultilevel"/>
    <w:tmpl w:val="142A112E"/>
    <w:lvl w:ilvl="0" w:tplc="04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5">
    <w:nsid w:val="6B072FE0"/>
    <w:multiLevelType w:val="hybridMultilevel"/>
    <w:tmpl w:val="6024A77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6">
    <w:nsid w:val="6D616920"/>
    <w:multiLevelType w:val="hybridMultilevel"/>
    <w:tmpl w:val="7B7CB488"/>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6D675350"/>
    <w:multiLevelType w:val="hybridMultilevel"/>
    <w:tmpl w:val="36B2B278"/>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6D757688"/>
    <w:multiLevelType w:val="hybridMultilevel"/>
    <w:tmpl w:val="87EAB60C"/>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6ECF543C"/>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6ED35984"/>
    <w:multiLevelType w:val="hybridMultilevel"/>
    <w:tmpl w:val="E6502C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1">
    <w:nsid w:val="6F556FD3"/>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708457C7"/>
    <w:multiLevelType w:val="hybridMultilevel"/>
    <w:tmpl w:val="56186CBC"/>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72CD6524"/>
    <w:multiLevelType w:val="hybridMultilevel"/>
    <w:tmpl w:val="7A6CF0F0"/>
    <w:lvl w:ilvl="0" w:tplc="40090001">
      <w:start w:val="1"/>
      <w:numFmt w:val="decimal"/>
      <w:lvlText w:val="%1."/>
      <w:lvlJc w:val="left"/>
      <w:pPr>
        <w:ind w:left="1267" w:hanging="360"/>
      </w:pPr>
    </w:lvl>
    <w:lvl w:ilvl="1" w:tplc="40090003">
      <w:start w:val="1"/>
      <w:numFmt w:val="lowerLetter"/>
      <w:lvlText w:val="%2."/>
      <w:lvlJc w:val="left"/>
      <w:pPr>
        <w:ind w:left="1987" w:hanging="360"/>
      </w:pPr>
    </w:lvl>
    <w:lvl w:ilvl="2" w:tplc="40090005">
      <w:start w:val="1"/>
      <w:numFmt w:val="lowerRoman"/>
      <w:lvlText w:val="%3."/>
      <w:lvlJc w:val="right"/>
      <w:pPr>
        <w:ind w:left="2707" w:hanging="180"/>
      </w:pPr>
    </w:lvl>
    <w:lvl w:ilvl="3" w:tplc="40090001">
      <w:start w:val="1"/>
      <w:numFmt w:val="decimal"/>
      <w:lvlText w:val="%4."/>
      <w:lvlJc w:val="left"/>
      <w:pPr>
        <w:ind w:left="3787" w:hanging="720"/>
      </w:pPr>
      <w:rPr>
        <w:rFonts w:hint="default"/>
      </w:rPr>
    </w:lvl>
    <w:lvl w:ilvl="4" w:tplc="40090003" w:tentative="1">
      <w:start w:val="1"/>
      <w:numFmt w:val="lowerLetter"/>
      <w:lvlText w:val="%5."/>
      <w:lvlJc w:val="left"/>
      <w:pPr>
        <w:ind w:left="4147" w:hanging="360"/>
      </w:pPr>
    </w:lvl>
    <w:lvl w:ilvl="5" w:tplc="40090005" w:tentative="1">
      <w:start w:val="1"/>
      <w:numFmt w:val="lowerRoman"/>
      <w:lvlText w:val="%6."/>
      <w:lvlJc w:val="right"/>
      <w:pPr>
        <w:ind w:left="4867" w:hanging="180"/>
      </w:pPr>
    </w:lvl>
    <w:lvl w:ilvl="6" w:tplc="40090001" w:tentative="1">
      <w:start w:val="1"/>
      <w:numFmt w:val="decimal"/>
      <w:lvlText w:val="%7."/>
      <w:lvlJc w:val="left"/>
      <w:pPr>
        <w:ind w:left="5587" w:hanging="360"/>
      </w:pPr>
    </w:lvl>
    <w:lvl w:ilvl="7" w:tplc="40090003" w:tentative="1">
      <w:start w:val="1"/>
      <w:numFmt w:val="lowerLetter"/>
      <w:lvlText w:val="%8."/>
      <w:lvlJc w:val="left"/>
      <w:pPr>
        <w:ind w:left="6307" w:hanging="360"/>
      </w:pPr>
    </w:lvl>
    <w:lvl w:ilvl="8" w:tplc="40090005" w:tentative="1">
      <w:start w:val="1"/>
      <w:numFmt w:val="lowerRoman"/>
      <w:lvlText w:val="%9."/>
      <w:lvlJc w:val="right"/>
      <w:pPr>
        <w:ind w:left="7027" w:hanging="180"/>
      </w:pPr>
    </w:lvl>
  </w:abstractNum>
  <w:abstractNum w:abstractNumId="164">
    <w:nsid w:val="73C11283"/>
    <w:multiLevelType w:val="hybridMultilevel"/>
    <w:tmpl w:val="C876F97A"/>
    <w:lvl w:ilvl="0" w:tplc="EAE4AA5E">
      <w:start w:val="2"/>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nsid w:val="745F3E64"/>
    <w:multiLevelType w:val="hybridMultilevel"/>
    <w:tmpl w:val="A21EE2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5227771"/>
    <w:multiLevelType w:val="hybridMultilevel"/>
    <w:tmpl w:val="D2BE4B8C"/>
    <w:lvl w:ilvl="0" w:tplc="04090017">
      <w:numFmt w:val="bullet"/>
      <w:lvlText w:val="•"/>
      <w:lvlJc w:val="left"/>
      <w:pPr>
        <w:ind w:left="1224" w:hanging="360"/>
      </w:pPr>
      <w:rPr>
        <w:rFonts w:ascii="Calibri" w:eastAsia="Times New Roman" w:hAnsi="Calibri" w:cs="Calibr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7">
    <w:nsid w:val="756E6089"/>
    <w:multiLevelType w:val="hybridMultilevel"/>
    <w:tmpl w:val="6B66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68E64E5"/>
    <w:multiLevelType w:val="hybridMultilevel"/>
    <w:tmpl w:val="AAD2D06A"/>
    <w:lvl w:ilvl="0" w:tplc="EA681B0E">
      <w:start w:val="1"/>
      <w:numFmt w:val="decimal"/>
      <w:lvlText w:val="%1."/>
      <w:lvlJc w:val="left"/>
      <w:pPr>
        <w:ind w:left="720" w:hanging="360"/>
      </w:pPr>
      <w:rPr>
        <w:rFonts w:hint="default"/>
      </w:rPr>
    </w:lvl>
    <w:lvl w:ilvl="1" w:tplc="2812BE0C" w:tentative="1">
      <w:start w:val="1"/>
      <w:numFmt w:val="lowerLetter"/>
      <w:lvlText w:val="%2."/>
      <w:lvlJc w:val="left"/>
      <w:pPr>
        <w:ind w:left="1440" w:hanging="360"/>
      </w:pPr>
    </w:lvl>
    <w:lvl w:ilvl="2" w:tplc="543614A2" w:tentative="1">
      <w:start w:val="1"/>
      <w:numFmt w:val="lowerRoman"/>
      <w:lvlText w:val="%3."/>
      <w:lvlJc w:val="right"/>
      <w:pPr>
        <w:ind w:left="2160" w:hanging="180"/>
      </w:pPr>
    </w:lvl>
    <w:lvl w:ilvl="3" w:tplc="C928921C" w:tentative="1">
      <w:start w:val="1"/>
      <w:numFmt w:val="decimal"/>
      <w:lvlText w:val="%4."/>
      <w:lvlJc w:val="left"/>
      <w:pPr>
        <w:ind w:left="2880" w:hanging="360"/>
      </w:pPr>
    </w:lvl>
    <w:lvl w:ilvl="4" w:tplc="D81AE41C" w:tentative="1">
      <w:start w:val="1"/>
      <w:numFmt w:val="lowerLetter"/>
      <w:lvlText w:val="%5."/>
      <w:lvlJc w:val="left"/>
      <w:pPr>
        <w:ind w:left="3600" w:hanging="360"/>
      </w:pPr>
    </w:lvl>
    <w:lvl w:ilvl="5" w:tplc="836E8FE6" w:tentative="1">
      <w:start w:val="1"/>
      <w:numFmt w:val="lowerRoman"/>
      <w:lvlText w:val="%6."/>
      <w:lvlJc w:val="right"/>
      <w:pPr>
        <w:ind w:left="4320" w:hanging="180"/>
      </w:pPr>
    </w:lvl>
    <w:lvl w:ilvl="6" w:tplc="F934C458" w:tentative="1">
      <w:start w:val="1"/>
      <w:numFmt w:val="decimal"/>
      <w:lvlText w:val="%7."/>
      <w:lvlJc w:val="left"/>
      <w:pPr>
        <w:ind w:left="5040" w:hanging="360"/>
      </w:pPr>
    </w:lvl>
    <w:lvl w:ilvl="7" w:tplc="EA2E9406" w:tentative="1">
      <w:start w:val="1"/>
      <w:numFmt w:val="lowerLetter"/>
      <w:lvlText w:val="%8."/>
      <w:lvlJc w:val="left"/>
      <w:pPr>
        <w:ind w:left="5760" w:hanging="360"/>
      </w:pPr>
    </w:lvl>
    <w:lvl w:ilvl="8" w:tplc="1F94FB5A" w:tentative="1">
      <w:start w:val="1"/>
      <w:numFmt w:val="lowerRoman"/>
      <w:lvlText w:val="%9."/>
      <w:lvlJc w:val="right"/>
      <w:pPr>
        <w:ind w:left="6480" w:hanging="180"/>
      </w:pPr>
    </w:lvl>
  </w:abstractNum>
  <w:abstractNum w:abstractNumId="169">
    <w:nsid w:val="78065CD6"/>
    <w:multiLevelType w:val="hybridMultilevel"/>
    <w:tmpl w:val="8D8219D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0">
    <w:nsid w:val="785C416A"/>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78900A9D"/>
    <w:multiLevelType w:val="hybridMultilevel"/>
    <w:tmpl w:val="CB040B24"/>
    <w:lvl w:ilvl="0" w:tplc="04090017">
      <w:start w:val="1"/>
      <w:numFmt w:val="bullet"/>
      <w:lvlText w:val=""/>
      <w:lvlJc w:val="left"/>
      <w:pPr>
        <w:ind w:left="765" w:hanging="360"/>
      </w:pPr>
      <w:rPr>
        <w:rFonts w:ascii="Symbol" w:hAnsi="Symbol" w:hint="default"/>
      </w:rPr>
    </w:lvl>
    <w:lvl w:ilvl="1" w:tplc="04090019">
      <w:start w:val="1"/>
      <w:numFmt w:val="bullet"/>
      <w:lvlText w:val="o"/>
      <w:lvlJc w:val="left"/>
      <w:pPr>
        <w:ind w:left="1485" w:hanging="360"/>
      </w:pPr>
      <w:rPr>
        <w:rFonts w:ascii="Courier New" w:hAnsi="Courier New" w:cs="Courier New" w:hint="default"/>
      </w:rPr>
    </w:lvl>
    <w:lvl w:ilvl="2" w:tplc="0409001B">
      <w:start w:val="1"/>
      <w:numFmt w:val="bullet"/>
      <w:lvlText w:val=""/>
      <w:lvlJc w:val="left"/>
      <w:pPr>
        <w:ind w:left="2205" w:hanging="360"/>
      </w:pPr>
      <w:rPr>
        <w:rFonts w:ascii="Wingdings" w:hAnsi="Wingdings" w:hint="default"/>
      </w:rPr>
    </w:lvl>
    <w:lvl w:ilvl="3" w:tplc="0409000F">
      <w:start w:val="1"/>
      <w:numFmt w:val="bullet"/>
      <w:lvlText w:val=""/>
      <w:lvlJc w:val="left"/>
      <w:pPr>
        <w:ind w:left="2925" w:hanging="360"/>
      </w:pPr>
      <w:rPr>
        <w:rFonts w:ascii="Symbol" w:hAnsi="Symbol" w:hint="default"/>
      </w:rPr>
    </w:lvl>
    <w:lvl w:ilvl="4" w:tplc="04090019">
      <w:start w:val="1"/>
      <w:numFmt w:val="bullet"/>
      <w:lvlText w:val="o"/>
      <w:lvlJc w:val="left"/>
      <w:pPr>
        <w:ind w:left="3645" w:hanging="360"/>
      </w:pPr>
      <w:rPr>
        <w:rFonts w:ascii="Courier New" w:hAnsi="Courier New" w:cs="Courier New" w:hint="default"/>
      </w:rPr>
    </w:lvl>
    <w:lvl w:ilvl="5" w:tplc="0409001B">
      <w:start w:val="1"/>
      <w:numFmt w:val="bullet"/>
      <w:lvlText w:val=""/>
      <w:lvlJc w:val="left"/>
      <w:pPr>
        <w:ind w:left="4365" w:hanging="360"/>
      </w:pPr>
      <w:rPr>
        <w:rFonts w:ascii="Wingdings" w:hAnsi="Wingdings" w:hint="default"/>
      </w:rPr>
    </w:lvl>
    <w:lvl w:ilvl="6" w:tplc="0409000F">
      <w:start w:val="1"/>
      <w:numFmt w:val="bullet"/>
      <w:lvlText w:val=""/>
      <w:lvlJc w:val="left"/>
      <w:pPr>
        <w:ind w:left="5085" w:hanging="360"/>
      </w:pPr>
      <w:rPr>
        <w:rFonts w:ascii="Symbol" w:hAnsi="Symbol" w:hint="default"/>
      </w:rPr>
    </w:lvl>
    <w:lvl w:ilvl="7" w:tplc="04090019">
      <w:start w:val="1"/>
      <w:numFmt w:val="bullet"/>
      <w:lvlText w:val="o"/>
      <w:lvlJc w:val="left"/>
      <w:pPr>
        <w:ind w:left="5805" w:hanging="360"/>
      </w:pPr>
      <w:rPr>
        <w:rFonts w:ascii="Courier New" w:hAnsi="Courier New" w:cs="Courier New" w:hint="default"/>
      </w:rPr>
    </w:lvl>
    <w:lvl w:ilvl="8" w:tplc="0409001B">
      <w:start w:val="1"/>
      <w:numFmt w:val="bullet"/>
      <w:lvlText w:val=""/>
      <w:lvlJc w:val="left"/>
      <w:pPr>
        <w:ind w:left="6525" w:hanging="360"/>
      </w:pPr>
      <w:rPr>
        <w:rFonts w:ascii="Wingdings" w:hAnsi="Wingdings" w:hint="default"/>
      </w:rPr>
    </w:lvl>
  </w:abstractNum>
  <w:abstractNum w:abstractNumId="172">
    <w:nsid w:val="79213A7D"/>
    <w:multiLevelType w:val="singleLevel"/>
    <w:tmpl w:val="8512ADBE"/>
    <w:lvl w:ilvl="0">
      <w:start w:val="1"/>
      <w:numFmt w:val="bullet"/>
      <w:pStyle w:val="StyleHeading1SectionChapterTitleSectionHeadingArticleHeadi"/>
      <w:lvlText w:val=""/>
      <w:lvlJc w:val="left"/>
      <w:pPr>
        <w:tabs>
          <w:tab w:val="num" w:pos="284"/>
        </w:tabs>
        <w:ind w:left="284" w:hanging="284"/>
      </w:pPr>
      <w:rPr>
        <w:rFonts w:ascii="Symbol" w:hAnsi="Symbol" w:hint="default"/>
        <w:sz w:val="20"/>
        <w:szCs w:val="20"/>
      </w:rPr>
    </w:lvl>
  </w:abstractNum>
  <w:abstractNum w:abstractNumId="173">
    <w:nsid w:val="79FD3E37"/>
    <w:multiLevelType w:val="hybridMultilevel"/>
    <w:tmpl w:val="C3EA97BC"/>
    <w:lvl w:ilvl="0" w:tplc="04090001">
      <w:start w:val="1"/>
      <w:numFmt w:val="decimal"/>
      <w:lvlText w:val="%1."/>
      <w:lvlJc w:val="left"/>
      <w:pPr>
        <w:tabs>
          <w:tab w:val="num" w:pos="-720"/>
        </w:tabs>
        <w:ind w:left="-720" w:hanging="360"/>
      </w:pPr>
      <w:rPr>
        <w:rFonts w:ascii="Arial" w:hAnsi="Arial" w:cs="Times New Roman" w:hint="default"/>
        <w:b/>
        <w:i w:val="0"/>
        <w:sz w:val="20"/>
      </w:rPr>
    </w:lvl>
    <w:lvl w:ilvl="1" w:tplc="04090003">
      <w:start w:val="1"/>
      <w:numFmt w:val="upperLetter"/>
      <w:lvlText w:val="(%2)"/>
      <w:lvlJc w:val="left"/>
      <w:pPr>
        <w:tabs>
          <w:tab w:val="num" w:pos="720"/>
        </w:tabs>
        <w:ind w:left="720" w:hanging="360"/>
      </w:pPr>
      <w:rPr>
        <w:b/>
      </w:rPr>
    </w:lvl>
    <w:lvl w:ilvl="2" w:tplc="04090005">
      <w:start w:val="1"/>
      <w:numFmt w:val="lowerRoman"/>
      <w:lvlText w:val="%3."/>
      <w:lvlJc w:val="right"/>
      <w:pPr>
        <w:tabs>
          <w:tab w:val="num" w:pos="1440"/>
        </w:tabs>
        <w:ind w:left="1440" w:hanging="180"/>
      </w:pPr>
    </w:lvl>
    <w:lvl w:ilvl="3" w:tplc="04090001">
      <w:start w:val="1"/>
      <w:numFmt w:val="decimal"/>
      <w:lvlText w:val="%4."/>
      <w:lvlJc w:val="left"/>
      <w:pPr>
        <w:tabs>
          <w:tab w:val="num" w:pos="2160"/>
        </w:tabs>
        <w:ind w:left="2160" w:hanging="360"/>
      </w:pPr>
    </w:lvl>
    <w:lvl w:ilvl="4" w:tplc="04090003">
      <w:start w:val="1"/>
      <w:numFmt w:val="lowerLetter"/>
      <w:lvlText w:val="%5."/>
      <w:lvlJc w:val="left"/>
      <w:pPr>
        <w:tabs>
          <w:tab w:val="num" w:pos="2880"/>
        </w:tabs>
        <w:ind w:left="2880" w:hanging="360"/>
      </w:pPr>
    </w:lvl>
    <w:lvl w:ilvl="5" w:tplc="04090005">
      <w:start w:val="1"/>
      <w:numFmt w:val="lowerRoman"/>
      <w:lvlText w:val="%6."/>
      <w:lvlJc w:val="right"/>
      <w:pPr>
        <w:tabs>
          <w:tab w:val="num" w:pos="3600"/>
        </w:tabs>
        <w:ind w:left="3600" w:hanging="180"/>
      </w:pPr>
    </w:lvl>
    <w:lvl w:ilvl="6" w:tplc="04090001">
      <w:start w:val="1"/>
      <w:numFmt w:val="decimal"/>
      <w:lvlText w:val="%7."/>
      <w:lvlJc w:val="left"/>
      <w:pPr>
        <w:tabs>
          <w:tab w:val="num" w:pos="4320"/>
        </w:tabs>
        <w:ind w:left="4320" w:hanging="360"/>
      </w:pPr>
    </w:lvl>
    <w:lvl w:ilvl="7" w:tplc="04090003">
      <w:start w:val="1"/>
      <w:numFmt w:val="lowerLetter"/>
      <w:lvlText w:val="%8."/>
      <w:lvlJc w:val="left"/>
      <w:pPr>
        <w:tabs>
          <w:tab w:val="num" w:pos="5040"/>
        </w:tabs>
        <w:ind w:left="5040" w:hanging="360"/>
      </w:pPr>
    </w:lvl>
    <w:lvl w:ilvl="8" w:tplc="04090005">
      <w:start w:val="1"/>
      <w:numFmt w:val="lowerRoman"/>
      <w:lvlText w:val="%9."/>
      <w:lvlJc w:val="right"/>
      <w:pPr>
        <w:tabs>
          <w:tab w:val="num" w:pos="5760"/>
        </w:tabs>
        <w:ind w:left="5760" w:hanging="180"/>
      </w:pPr>
    </w:lvl>
  </w:abstractNum>
  <w:abstractNum w:abstractNumId="174">
    <w:nsid w:val="7A421833"/>
    <w:multiLevelType w:val="hybridMultilevel"/>
    <w:tmpl w:val="09985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B387725"/>
    <w:multiLevelType w:val="hybridMultilevel"/>
    <w:tmpl w:val="B866D108"/>
    <w:lvl w:ilvl="0" w:tplc="AFB094B6">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7B8C0F95"/>
    <w:multiLevelType w:val="hybridMultilevel"/>
    <w:tmpl w:val="E8E0695A"/>
    <w:lvl w:ilvl="0" w:tplc="86A28530">
      <w:start w:val="1"/>
      <w:numFmt w:val="lowerLetter"/>
      <w:lvlText w:val="(%1)"/>
      <w:lvlJc w:val="left"/>
      <w:pPr>
        <w:tabs>
          <w:tab w:val="num" w:pos="1080"/>
        </w:tabs>
        <w:ind w:left="1080" w:hanging="720"/>
      </w:pPr>
      <w:rPr>
        <w:sz w:val="20"/>
        <w:szCs w:val="20"/>
      </w:rPr>
    </w:lvl>
    <w:lvl w:ilvl="1" w:tplc="E76E2814">
      <w:start w:val="1"/>
      <w:numFmt w:val="lowerLetter"/>
      <w:lvlText w:val="%2."/>
      <w:lvlJc w:val="left"/>
      <w:pPr>
        <w:tabs>
          <w:tab w:val="num" w:pos="1440"/>
        </w:tabs>
        <w:ind w:left="1440" w:hanging="360"/>
      </w:pPr>
    </w:lvl>
    <w:lvl w:ilvl="2" w:tplc="CBB0AF94">
      <w:start w:val="1"/>
      <w:numFmt w:val="lowerRoman"/>
      <w:lvlText w:val="%3."/>
      <w:lvlJc w:val="right"/>
      <w:pPr>
        <w:tabs>
          <w:tab w:val="num" w:pos="2160"/>
        </w:tabs>
        <w:ind w:left="2160" w:hanging="180"/>
      </w:pPr>
    </w:lvl>
    <w:lvl w:ilvl="3" w:tplc="6FD237A4">
      <w:start w:val="1"/>
      <w:numFmt w:val="decimal"/>
      <w:lvlText w:val="%4."/>
      <w:lvlJc w:val="left"/>
      <w:pPr>
        <w:tabs>
          <w:tab w:val="num" w:pos="2880"/>
        </w:tabs>
        <w:ind w:left="2880" w:hanging="360"/>
      </w:pPr>
    </w:lvl>
    <w:lvl w:ilvl="4" w:tplc="13ECAC38">
      <w:start w:val="1"/>
      <w:numFmt w:val="lowerLetter"/>
      <w:lvlText w:val="%5."/>
      <w:lvlJc w:val="left"/>
      <w:pPr>
        <w:tabs>
          <w:tab w:val="num" w:pos="3600"/>
        </w:tabs>
        <w:ind w:left="3600" w:hanging="360"/>
      </w:pPr>
    </w:lvl>
    <w:lvl w:ilvl="5" w:tplc="61BCDB0E">
      <w:start w:val="1"/>
      <w:numFmt w:val="lowerRoman"/>
      <w:lvlText w:val="%6."/>
      <w:lvlJc w:val="right"/>
      <w:pPr>
        <w:tabs>
          <w:tab w:val="num" w:pos="4320"/>
        </w:tabs>
        <w:ind w:left="4320" w:hanging="180"/>
      </w:pPr>
    </w:lvl>
    <w:lvl w:ilvl="6" w:tplc="6C686E8C">
      <w:start w:val="1"/>
      <w:numFmt w:val="decimal"/>
      <w:lvlText w:val="%7."/>
      <w:lvlJc w:val="left"/>
      <w:pPr>
        <w:tabs>
          <w:tab w:val="num" w:pos="5040"/>
        </w:tabs>
        <w:ind w:left="5040" w:hanging="360"/>
      </w:pPr>
    </w:lvl>
    <w:lvl w:ilvl="7" w:tplc="765ACC0C">
      <w:start w:val="1"/>
      <w:numFmt w:val="lowerLetter"/>
      <w:lvlText w:val="%8."/>
      <w:lvlJc w:val="left"/>
      <w:pPr>
        <w:tabs>
          <w:tab w:val="num" w:pos="5760"/>
        </w:tabs>
        <w:ind w:left="5760" w:hanging="360"/>
      </w:pPr>
    </w:lvl>
    <w:lvl w:ilvl="8" w:tplc="987AFCF6">
      <w:start w:val="1"/>
      <w:numFmt w:val="lowerRoman"/>
      <w:lvlText w:val="%9."/>
      <w:lvlJc w:val="right"/>
      <w:pPr>
        <w:tabs>
          <w:tab w:val="num" w:pos="6480"/>
        </w:tabs>
        <w:ind w:left="6480" w:hanging="180"/>
      </w:pPr>
    </w:lvl>
  </w:abstractNum>
  <w:abstractNum w:abstractNumId="177">
    <w:nsid w:val="7C133347"/>
    <w:multiLevelType w:val="hybridMultilevel"/>
    <w:tmpl w:val="C1241C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nsid w:val="7C4546F7"/>
    <w:multiLevelType w:val="hybridMultilevel"/>
    <w:tmpl w:val="720A8822"/>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7D46398E"/>
    <w:multiLevelType w:val="hybridMultilevel"/>
    <w:tmpl w:val="ED1E262C"/>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nsid w:val="7D480D55"/>
    <w:multiLevelType w:val="multilevel"/>
    <w:tmpl w:val="0916CC56"/>
    <w:lvl w:ilvl="0">
      <w:start w:val="1"/>
      <w:numFmt w:val="decimal"/>
      <w:pStyle w:val="Heading1"/>
      <w:lvlText w:val="%1."/>
      <w:lvlJc w:val="left"/>
      <w:pPr>
        <w:ind w:left="600" w:hanging="600"/>
      </w:pPr>
      <w:rPr>
        <w:rFonts w:hint="default"/>
      </w:rPr>
    </w:lvl>
    <w:lvl w:ilvl="1">
      <w:start w:val="2"/>
      <w:numFmt w:val="decimal"/>
      <w:pStyle w:val="Heading2"/>
      <w:lvlText w:val="%1.%2"/>
      <w:lvlJc w:val="left"/>
      <w:pPr>
        <w:ind w:left="780" w:hanging="780"/>
      </w:pPr>
      <w:rPr>
        <w:rFonts w:hint="default"/>
        <w:b/>
      </w:rPr>
    </w:lvl>
    <w:lvl w:ilvl="2">
      <w:start w:val="1"/>
      <w:numFmt w:val="decimal"/>
      <w:pStyle w:val="Heading3"/>
      <w:lvlText w:val="%1.%2.%3"/>
      <w:lvlJc w:val="left"/>
      <w:pPr>
        <w:tabs>
          <w:tab w:val="num" w:pos="1929"/>
        </w:tabs>
        <w:ind w:left="1929" w:hanging="936"/>
      </w:pPr>
      <w:rPr>
        <w:rFonts w:hint="default"/>
        <w:b w:val="0"/>
        <w:bCs/>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1">
    <w:nsid w:val="7D5442F2"/>
    <w:multiLevelType w:val="hybridMultilevel"/>
    <w:tmpl w:val="6E228E7E"/>
    <w:lvl w:ilvl="0" w:tplc="D958AE52">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7DA02EC2"/>
    <w:multiLevelType w:val="hybridMultilevel"/>
    <w:tmpl w:val="01125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E706969"/>
    <w:multiLevelType w:val="hybridMultilevel"/>
    <w:tmpl w:val="64CE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36"/>
  </w:num>
  <w:num w:numId="3">
    <w:abstractNumId w:val="97"/>
  </w:num>
  <w:num w:numId="4">
    <w:abstractNumId w:val="172"/>
  </w:num>
  <w:num w:numId="5">
    <w:abstractNumId w:val="180"/>
  </w:num>
  <w:num w:numId="6">
    <w:abstractNumId w:val="1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9"/>
  </w:num>
  <w:num w:numId="8">
    <w:abstractNumId w:val="106"/>
  </w:num>
  <w:num w:numId="9">
    <w:abstractNumId w:val="120"/>
  </w:num>
  <w:num w:numId="10">
    <w:abstractNumId w:val="0"/>
  </w:num>
  <w:num w:numId="11">
    <w:abstractNumId w:val="180"/>
  </w:num>
  <w:num w:numId="12">
    <w:abstractNumId w:val="46"/>
  </w:num>
  <w:num w:numId="13">
    <w:abstractNumId w:val="77"/>
  </w:num>
  <w:num w:numId="14">
    <w:abstractNumId w:val="21"/>
  </w:num>
  <w:num w:numId="15">
    <w:abstractNumId w:val="24"/>
  </w:num>
  <w:num w:numId="16">
    <w:abstractNumId w:val="18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num>
  <w:num w:numId="18">
    <w:abstractNumId w:val="16"/>
  </w:num>
  <w:num w:numId="19">
    <w:abstractNumId w:val="152"/>
  </w:num>
  <w:num w:numId="20">
    <w:abstractNumId w:val="72"/>
  </w:num>
  <w:num w:numId="21">
    <w:abstractNumId w:val="96"/>
  </w:num>
  <w:num w:numId="22">
    <w:abstractNumId w:val="136"/>
  </w:num>
  <w:num w:numId="23">
    <w:abstractNumId w:val="7"/>
  </w:num>
  <w:num w:numId="24">
    <w:abstractNumId w:val="107"/>
  </w:num>
  <w:num w:numId="25">
    <w:abstractNumId w:val="118"/>
  </w:num>
  <w:num w:numId="26">
    <w:abstractNumId w:val="153"/>
  </w:num>
  <w:num w:numId="27">
    <w:abstractNumId w:val="18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50"/>
  </w:num>
  <w:num w:numId="37">
    <w:abstractNumId w:val="70"/>
  </w:num>
  <w:num w:numId="38">
    <w:abstractNumId w:val="31"/>
  </w:num>
  <w:num w:numId="39">
    <w:abstractNumId w:val="100"/>
  </w:num>
  <w:num w:numId="40">
    <w:abstractNumId w:val="94"/>
  </w:num>
  <w:num w:numId="41">
    <w:abstractNumId w:val="102"/>
  </w:num>
  <w:num w:numId="42">
    <w:abstractNumId w:val="159"/>
  </w:num>
  <w:num w:numId="43">
    <w:abstractNumId w:val="2"/>
  </w:num>
  <w:num w:numId="44">
    <w:abstractNumId w:val="170"/>
  </w:num>
  <w:num w:numId="45">
    <w:abstractNumId w:val="161"/>
  </w:num>
  <w:num w:numId="46">
    <w:abstractNumId w:val="116"/>
  </w:num>
  <w:num w:numId="47">
    <w:abstractNumId w:val="57"/>
  </w:num>
  <w:num w:numId="48">
    <w:abstractNumId w:val="131"/>
  </w:num>
  <w:num w:numId="49">
    <w:abstractNumId w:val="98"/>
  </w:num>
  <w:num w:numId="50">
    <w:abstractNumId w:val="49"/>
  </w:num>
  <w:num w:numId="51">
    <w:abstractNumId w:val="91"/>
  </w:num>
  <w:num w:numId="52">
    <w:abstractNumId w:val="181"/>
  </w:num>
  <w:num w:numId="53">
    <w:abstractNumId w:val="26"/>
  </w:num>
  <w:num w:numId="54">
    <w:abstractNumId w:val="132"/>
  </w:num>
  <w:num w:numId="55">
    <w:abstractNumId w:val="67"/>
  </w:num>
  <w:num w:numId="56">
    <w:abstractNumId w:val="14"/>
  </w:num>
  <w:num w:numId="57">
    <w:abstractNumId w:val="32"/>
  </w:num>
  <w:num w:numId="58">
    <w:abstractNumId w:val="130"/>
  </w:num>
  <w:num w:numId="59">
    <w:abstractNumId w:val="127"/>
  </w:num>
  <w:num w:numId="60">
    <w:abstractNumId w:val="45"/>
  </w:num>
  <w:num w:numId="61">
    <w:abstractNumId w:val="121"/>
  </w:num>
  <w:num w:numId="62">
    <w:abstractNumId w:val="29"/>
  </w:num>
  <w:num w:numId="63">
    <w:abstractNumId w:val="80"/>
  </w:num>
  <w:num w:numId="64">
    <w:abstractNumId w:val="68"/>
  </w:num>
  <w:num w:numId="65">
    <w:abstractNumId w:val="175"/>
  </w:num>
  <w:num w:numId="66">
    <w:abstractNumId w:val="55"/>
  </w:num>
  <w:num w:numId="67">
    <w:abstractNumId w:val="48"/>
  </w:num>
  <w:num w:numId="68">
    <w:abstractNumId w:val="114"/>
  </w:num>
  <w:num w:numId="69">
    <w:abstractNumId w:val="17"/>
  </w:num>
  <w:num w:numId="70">
    <w:abstractNumId w:val="53"/>
  </w:num>
  <w:num w:numId="71">
    <w:abstractNumId w:val="169"/>
  </w:num>
  <w:num w:numId="72">
    <w:abstractNumId w:val="6"/>
  </w:num>
  <w:num w:numId="73">
    <w:abstractNumId w:val="135"/>
  </w:num>
  <w:num w:numId="74">
    <w:abstractNumId w:val="108"/>
  </w:num>
  <w:num w:numId="75">
    <w:abstractNumId w:val="151"/>
  </w:num>
  <w:num w:numId="76">
    <w:abstractNumId w:val="171"/>
  </w:num>
  <w:num w:numId="77">
    <w:abstractNumId w:val="105"/>
  </w:num>
  <w:num w:numId="78">
    <w:abstractNumId w:val="47"/>
  </w:num>
  <w:num w:numId="79">
    <w:abstractNumId w:val="141"/>
  </w:num>
  <w:num w:numId="80">
    <w:abstractNumId w:val="150"/>
  </w:num>
  <w:num w:numId="81">
    <w:abstractNumId w:val="173"/>
  </w:num>
  <w:num w:numId="82">
    <w:abstractNumId w:val="30"/>
  </w:num>
  <w:num w:numId="83">
    <w:abstractNumId w:val="34"/>
  </w:num>
  <w:num w:numId="84">
    <w:abstractNumId w:val="40"/>
  </w:num>
  <w:num w:numId="85">
    <w:abstractNumId w:val="149"/>
  </w:num>
  <w:num w:numId="86">
    <w:abstractNumId w:val="104"/>
  </w:num>
  <w:num w:numId="87">
    <w:abstractNumId w:val="164"/>
  </w:num>
  <w:num w:numId="88">
    <w:abstractNumId w:val="87"/>
  </w:num>
  <w:num w:numId="89">
    <w:abstractNumId w:val="115"/>
  </w:num>
  <w:num w:numId="90">
    <w:abstractNumId w:val="113"/>
  </w:num>
  <w:num w:numId="91">
    <w:abstractNumId w:val="10"/>
  </w:num>
  <w:num w:numId="92">
    <w:abstractNumId w:val="176"/>
  </w:num>
  <w:num w:numId="93">
    <w:abstractNumId w:val="66"/>
  </w:num>
  <w:num w:numId="94">
    <w:abstractNumId w:val="3"/>
  </w:num>
  <w:num w:numId="95">
    <w:abstractNumId w:val="145"/>
  </w:num>
  <w:num w:numId="96">
    <w:abstractNumId w:val="69"/>
  </w:num>
  <w:num w:numId="97">
    <w:abstractNumId w:val="59"/>
  </w:num>
  <w:num w:numId="98">
    <w:abstractNumId w:val="85"/>
  </w:num>
  <w:num w:numId="99">
    <w:abstractNumId w:val="73"/>
  </w:num>
  <w:num w:numId="100">
    <w:abstractNumId w:val="62"/>
  </w:num>
  <w:num w:numId="101">
    <w:abstractNumId w:val="51"/>
  </w:num>
  <w:num w:numId="102">
    <w:abstractNumId w:val="111"/>
  </w:num>
  <w:num w:numId="103">
    <w:abstractNumId w:val="18"/>
  </w:num>
  <w:num w:numId="104">
    <w:abstractNumId w:val="128"/>
  </w:num>
  <w:num w:numId="105">
    <w:abstractNumId w:val="64"/>
  </w:num>
  <w:num w:numId="106">
    <w:abstractNumId w:val="1"/>
  </w:num>
  <w:num w:numId="107">
    <w:abstractNumId w:val="147"/>
  </w:num>
  <w:num w:numId="108">
    <w:abstractNumId w:val="167"/>
  </w:num>
  <w:num w:numId="109">
    <w:abstractNumId w:val="109"/>
  </w:num>
  <w:num w:numId="1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2"/>
  </w:num>
  <w:num w:numId="112">
    <w:abstractNumId w:val="82"/>
  </w:num>
  <w:num w:numId="113">
    <w:abstractNumId w:val="43"/>
  </w:num>
  <w:num w:numId="114">
    <w:abstractNumId w:val="61"/>
  </w:num>
  <w:num w:numId="115">
    <w:abstractNumId w:val="166"/>
  </w:num>
  <w:num w:numId="116">
    <w:abstractNumId w:val="112"/>
  </w:num>
  <w:num w:numId="117">
    <w:abstractNumId w:val="163"/>
  </w:num>
  <w:num w:numId="118">
    <w:abstractNumId w:val="5"/>
  </w:num>
  <w:num w:numId="119">
    <w:abstractNumId w:val="27"/>
  </w:num>
  <w:num w:numId="120">
    <w:abstractNumId w:val="133"/>
  </w:num>
  <w:num w:numId="121">
    <w:abstractNumId w:val="180"/>
  </w:num>
  <w:num w:numId="122">
    <w:abstractNumId w:val="180"/>
  </w:num>
  <w:num w:numId="123">
    <w:abstractNumId w:val="180"/>
  </w:num>
  <w:num w:numId="124">
    <w:abstractNumId w:val="180"/>
  </w:num>
  <w:num w:numId="125">
    <w:abstractNumId w:val="180"/>
  </w:num>
  <w:num w:numId="126">
    <w:abstractNumId w:val="180"/>
  </w:num>
  <w:num w:numId="127">
    <w:abstractNumId w:val="180"/>
  </w:num>
  <w:num w:numId="128">
    <w:abstractNumId w:val="180"/>
  </w:num>
  <w:num w:numId="129">
    <w:abstractNumId w:val="180"/>
  </w:num>
  <w:num w:numId="130">
    <w:abstractNumId w:val="180"/>
  </w:num>
  <w:num w:numId="131">
    <w:abstractNumId w:val="180"/>
  </w:num>
  <w:num w:numId="132">
    <w:abstractNumId w:val="180"/>
  </w:num>
  <w:num w:numId="133">
    <w:abstractNumId w:val="180"/>
  </w:num>
  <w:num w:numId="134">
    <w:abstractNumId w:val="180"/>
  </w:num>
  <w:num w:numId="135">
    <w:abstractNumId w:val="180"/>
  </w:num>
  <w:num w:numId="136">
    <w:abstractNumId w:val="180"/>
  </w:num>
  <w:num w:numId="137">
    <w:abstractNumId w:val="180"/>
  </w:num>
  <w:num w:numId="138">
    <w:abstractNumId w:val="180"/>
  </w:num>
  <w:num w:numId="139">
    <w:abstractNumId w:val="180"/>
  </w:num>
  <w:num w:numId="140">
    <w:abstractNumId w:val="180"/>
  </w:num>
  <w:num w:numId="141">
    <w:abstractNumId w:val="180"/>
  </w:num>
  <w:num w:numId="142">
    <w:abstractNumId w:val="180"/>
  </w:num>
  <w:num w:numId="143">
    <w:abstractNumId w:val="180"/>
  </w:num>
  <w:num w:numId="144">
    <w:abstractNumId w:val="180"/>
  </w:num>
  <w:num w:numId="145">
    <w:abstractNumId w:val="180"/>
  </w:num>
  <w:num w:numId="146">
    <w:abstractNumId w:val="180"/>
  </w:num>
  <w:num w:numId="147">
    <w:abstractNumId w:val="180"/>
  </w:num>
  <w:num w:numId="148">
    <w:abstractNumId w:val="180"/>
  </w:num>
  <w:num w:numId="149">
    <w:abstractNumId w:val="180"/>
  </w:num>
  <w:num w:numId="150">
    <w:abstractNumId w:val="180"/>
  </w:num>
  <w:num w:numId="151">
    <w:abstractNumId w:val="180"/>
  </w:num>
  <w:num w:numId="152">
    <w:abstractNumId w:val="119"/>
  </w:num>
  <w:num w:numId="153">
    <w:abstractNumId w:val="142"/>
  </w:num>
  <w:num w:numId="154">
    <w:abstractNumId w:val="180"/>
  </w:num>
  <w:num w:numId="155">
    <w:abstractNumId w:val="180"/>
  </w:num>
  <w:num w:numId="156">
    <w:abstractNumId w:val="180"/>
  </w:num>
  <w:num w:numId="157">
    <w:abstractNumId w:val="160"/>
  </w:num>
  <w:num w:numId="158">
    <w:abstractNumId w:val="180"/>
  </w:num>
  <w:num w:numId="159">
    <w:abstractNumId w:val="180"/>
  </w:num>
  <w:num w:numId="160">
    <w:abstractNumId w:val="180"/>
  </w:num>
  <w:num w:numId="161">
    <w:abstractNumId w:val="23"/>
  </w:num>
  <w:num w:numId="162">
    <w:abstractNumId w:val="28"/>
  </w:num>
  <w:num w:numId="163">
    <w:abstractNumId w:val="4"/>
  </w:num>
  <w:num w:numId="164">
    <w:abstractNumId w:val="84"/>
  </w:num>
  <w:num w:numId="165">
    <w:abstractNumId w:val="144"/>
  </w:num>
  <w:num w:numId="166">
    <w:abstractNumId w:val="37"/>
  </w:num>
  <w:num w:numId="167">
    <w:abstractNumId w:val="180"/>
  </w:num>
  <w:num w:numId="168">
    <w:abstractNumId w:val="180"/>
  </w:num>
  <w:num w:numId="169">
    <w:abstractNumId w:val="180"/>
  </w:num>
  <w:num w:numId="170">
    <w:abstractNumId w:val="180"/>
  </w:num>
  <w:num w:numId="171">
    <w:abstractNumId w:val="180"/>
  </w:num>
  <w:num w:numId="172">
    <w:abstractNumId w:val="41"/>
  </w:num>
  <w:num w:numId="173">
    <w:abstractNumId w:val="92"/>
  </w:num>
  <w:num w:numId="174">
    <w:abstractNumId w:val="182"/>
  </w:num>
  <w:num w:numId="175">
    <w:abstractNumId w:val="110"/>
  </w:num>
  <w:num w:numId="176">
    <w:abstractNumId w:val="180"/>
  </w:num>
  <w:num w:numId="177">
    <w:abstractNumId w:val="180"/>
  </w:num>
  <w:num w:numId="178">
    <w:abstractNumId w:val="75"/>
  </w:num>
  <w:num w:numId="179">
    <w:abstractNumId w:val="83"/>
  </w:num>
  <w:num w:numId="180">
    <w:abstractNumId w:val="148"/>
  </w:num>
  <w:num w:numId="181">
    <w:abstractNumId w:val="180"/>
  </w:num>
  <w:num w:numId="182">
    <w:abstractNumId w:val="180"/>
  </w:num>
  <w:num w:numId="183">
    <w:abstractNumId w:val="13"/>
  </w:num>
  <w:num w:numId="184">
    <w:abstractNumId w:val="174"/>
  </w:num>
  <w:num w:numId="185">
    <w:abstractNumId w:val="124"/>
  </w:num>
  <w:num w:numId="186">
    <w:abstractNumId w:val="158"/>
  </w:num>
  <w:num w:numId="187">
    <w:abstractNumId w:val="86"/>
  </w:num>
  <w:num w:numId="188">
    <w:abstractNumId w:val="63"/>
  </w:num>
  <w:num w:numId="189">
    <w:abstractNumId w:val="143"/>
  </w:num>
  <w:num w:numId="190">
    <w:abstractNumId w:val="123"/>
  </w:num>
  <w:num w:numId="191">
    <w:abstractNumId w:val="9"/>
  </w:num>
  <w:num w:numId="192">
    <w:abstractNumId w:val="52"/>
  </w:num>
  <w:num w:numId="193">
    <w:abstractNumId w:val="179"/>
  </w:num>
  <w:num w:numId="194">
    <w:abstractNumId w:val="65"/>
  </w:num>
  <w:num w:numId="195">
    <w:abstractNumId w:val="126"/>
  </w:num>
  <w:num w:numId="196">
    <w:abstractNumId w:val="88"/>
  </w:num>
  <w:num w:numId="197">
    <w:abstractNumId w:val="156"/>
  </w:num>
  <w:num w:numId="198">
    <w:abstractNumId w:val="19"/>
  </w:num>
  <w:num w:numId="199">
    <w:abstractNumId w:val="137"/>
  </w:num>
  <w:num w:numId="200">
    <w:abstractNumId w:val="25"/>
  </w:num>
  <w:num w:numId="201">
    <w:abstractNumId w:val="178"/>
  </w:num>
  <w:num w:numId="202">
    <w:abstractNumId w:val="134"/>
  </w:num>
  <w:num w:numId="203">
    <w:abstractNumId w:val="117"/>
  </w:num>
  <w:num w:numId="204">
    <w:abstractNumId w:val="95"/>
  </w:num>
  <w:num w:numId="205">
    <w:abstractNumId w:val="146"/>
  </w:num>
  <w:num w:numId="206">
    <w:abstractNumId w:val="157"/>
  </w:num>
  <w:num w:numId="207">
    <w:abstractNumId w:val="11"/>
  </w:num>
  <w:num w:numId="208">
    <w:abstractNumId w:val="20"/>
  </w:num>
  <w:num w:numId="209">
    <w:abstractNumId w:val="81"/>
  </w:num>
  <w:num w:numId="210">
    <w:abstractNumId w:val="42"/>
  </w:num>
  <w:num w:numId="211">
    <w:abstractNumId w:val="140"/>
  </w:num>
  <w:num w:numId="212">
    <w:abstractNumId w:val="162"/>
  </w:num>
  <w:num w:numId="213">
    <w:abstractNumId w:val="165"/>
  </w:num>
  <w:num w:numId="214">
    <w:abstractNumId w:val="12"/>
  </w:num>
  <w:num w:numId="215">
    <w:abstractNumId w:val="39"/>
  </w:num>
  <w:num w:numId="216">
    <w:abstractNumId w:val="138"/>
  </w:num>
  <w:num w:numId="217">
    <w:abstractNumId w:val="125"/>
  </w:num>
  <w:num w:numId="218">
    <w:abstractNumId w:val="38"/>
  </w:num>
  <w:num w:numId="219">
    <w:abstractNumId w:val="8"/>
  </w:num>
  <w:num w:numId="220">
    <w:abstractNumId w:val="60"/>
  </w:num>
  <w:num w:numId="221">
    <w:abstractNumId w:val="90"/>
  </w:num>
  <w:num w:numId="222">
    <w:abstractNumId w:val="89"/>
  </w:num>
  <w:num w:numId="223">
    <w:abstractNumId w:val="35"/>
  </w:num>
  <w:num w:numId="224">
    <w:abstractNumId w:val="93"/>
  </w:num>
  <w:num w:numId="225">
    <w:abstractNumId w:val="71"/>
  </w:num>
  <w:num w:numId="226">
    <w:abstractNumId w:val="180"/>
  </w:num>
  <w:num w:numId="227">
    <w:abstractNumId w:val="154"/>
  </w:num>
  <w:num w:numId="228">
    <w:abstractNumId w:val="74"/>
  </w:num>
  <w:num w:numId="229">
    <w:abstractNumId w:val="22"/>
  </w:num>
  <w:num w:numId="230">
    <w:abstractNumId w:val="56"/>
  </w:num>
  <w:num w:numId="231">
    <w:abstractNumId w:val="180"/>
  </w:num>
  <w:num w:numId="232">
    <w:abstractNumId w:val="180"/>
  </w:num>
  <w:num w:numId="233">
    <w:abstractNumId w:val="180"/>
  </w:num>
  <w:num w:numId="234">
    <w:abstractNumId w:val="180"/>
  </w:num>
  <w:num w:numId="235">
    <w:abstractNumId w:val="180"/>
  </w:num>
  <w:num w:numId="236">
    <w:abstractNumId w:val="180"/>
  </w:num>
  <w:num w:numId="237">
    <w:abstractNumId w:val="180"/>
  </w:num>
  <w:num w:numId="238">
    <w:abstractNumId w:val="180"/>
  </w:num>
  <w:num w:numId="239">
    <w:abstractNumId w:val="180"/>
  </w:num>
  <w:num w:numId="240">
    <w:abstractNumId w:val="180"/>
  </w:num>
  <w:num w:numId="241">
    <w:abstractNumId w:val="180"/>
  </w:num>
  <w:num w:numId="242">
    <w:abstractNumId w:val="180"/>
  </w:num>
  <w:num w:numId="243">
    <w:abstractNumId w:val="180"/>
  </w:num>
  <w:num w:numId="244">
    <w:abstractNumId w:val="180"/>
  </w:num>
  <w:num w:numId="245">
    <w:abstractNumId w:val="180"/>
  </w:num>
  <w:num w:numId="246">
    <w:abstractNumId w:val="180"/>
  </w:num>
  <w:num w:numId="247">
    <w:abstractNumId w:val="180"/>
  </w:num>
  <w:num w:numId="248">
    <w:abstractNumId w:val="180"/>
  </w:num>
  <w:num w:numId="249">
    <w:abstractNumId w:val="180"/>
  </w:num>
  <w:num w:numId="250">
    <w:abstractNumId w:val="180"/>
  </w:num>
  <w:num w:numId="251">
    <w:abstractNumId w:val="180"/>
  </w:num>
  <w:num w:numId="252">
    <w:abstractNumId w:val="54"/>
  </w:num>
  <w:num w:numId="253">
    <w:abstractNumId w:val="180"/>
  </w:num>
  <w:num w:numId="254">
    <w:abstractNumId w:val="58"/>
  </w:num>
  <w:num w:numId="255">
    <w:abstractNumId w:val="76"/>
  </w:num>
  <w:num w:numId="256">
    <w:abstractNumId w:val="180"/>
  </w:num>
  <w:num w:numId="257">
    <w:abstractNumId w:val="177"/>
  </w:num>
  <w:num w:numId="258">
    <w:abstractNumId w:val="101"/>
  </w:num>
  <w:num w:numId="259">
    <w:abstractNumId w:val="155"/>
  </w:num>
  <w:num w:numId="260">
    <w:abstractNumId w:val="180"/>
  </w:num>
  <w:num w:numId="261">
    <w:abstractNumId w:val="15"/>
  </w:num>
  <w:num w:numId="262">
    <w:abstractNumId w:val="180"/>
  </w:num>
  <w:num w:numId="263">
    <w:abstractNumId w:val="33"/>
  </w:num>
  <w:num w:numId="264">
    <w:abstractNumId w:val="180"/>
  </w:num>
  <w:num w:numId="265">
    <w:abstractNumId w:val="180"/>
  </w:num>
  <w:num w:numId="266">
    <w:abstractNumId w:val="99"/>
  </w:num>
  <w:num w:numId="267">
    <w:abstractNumId w:val="180"/>
  </w:num>
  <w:num w:numId="268">
    <w:abstractNumId w:val="180"/>
  </w:num>
  <w:num w:numId="269">
    <w:abstractNumId w:val="180"/>
  </w:num>
  <w:num w:numId="270">
    <w:abstractNumId w:val="168"/>
  </w:num>
  <w:num w:numId="271">
    <w:abstractNumId w:val="129"/>
  </w:num>
  <w:num w:numId="272">
    <w:abstractNumId w:val="183"/>
  </w:num>
  <w:num w:numId="273">
    <w:abstractNumId w:val="103"/>
  </w:num>
  <w:num w:numId="274">
    <w:abstractNumId w:val="180"/>
  </w:num>
  <w:numIdMacAtCleanup w:val="2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ttachedTemplate r:id="rId1"/>
  <w:stylePaneFormatFilter w:val="3001"/>
  <w:defaultTabStop w:val="720"/>
  <w:drawingGridHorizontalSpacing w:val="120"/>
  <w:displayHorizontalDrawingGridEvery w:val="2"/>
  <w:noPunctuationKerning/>
  <w:characterSpacingControl w:val="doNotCompress"/>
  <w:hdrShapeDefaults>
    <o:shapedefaults v:ext="edit" spidmax="8194" fill="f" fillcolor="white" stroke="f">
      <v:fill color="white" on="f"/>
      <v:stroke on="f"/>
    </o:shapedefaults>
    <o:shapelayout v:ext="edit">
      <o:idmap v:ext="edit" data="2"/>
      <o:rules v:ext="edit">
        <o:r id="V:Rule2" type="connector" idref="#_x0000_s2112"/>
      </o:rules>
    </o:shapelayout>
  </w:hdrShapeDefaults>
  <w:footnotePr>
    <w:footnote w:id="0"/>
    <w:footnote w:id="1"/>
  </w:footnotePr>
  <w:endnotePr>
    <w:endnote w:id="0"/>
    <w:endnote w:id="1"/>
  </w:endnotePr>
  <w:compat/>
  <w:rsids>
    <w:rsidRoot w:val="0033097E"/>
    <w:rsid w:val="0000071F"/>
    <w:rsid w:val="00000C66"/>
    <w:rsid w:val="00000F5B"/>
    <w:rsid w:val="00001025"/>
    <w:rsid w:val="0000134B"/>
    <w:rsid w:val="000013DD"/>
    <w:rsid w:val="000013FB"/>
    <w:rsid w:val="00001730"/>
    <w:rsid w:val="000019AE"/>
    <w:rsid w:val="00001B73"/>
    <w:rsid w:val="00001DEC"/>
    <w:rsid w:val="00001EFC"/>
    <w:rsid w:val="00002129"/>
    <w:rsid w:val="000022D0"/>
    <w:rsid w:val="000024DF"/>
    <w:rsid w:val="00002AF3"/>
    <w:rsid w:val="00002BD0"/>
    <w:rsid w:val="00002C2C"/>
    <w:rsid w:val="000030FE"/>
    <w:rsid w:val="00003551"/>
    <w:rsid w:val="0000356A"/>
    <w:rsid w:val="00003572"/>
    <w:rsid w:val="00003930"/>
    <w:rsid w:val="0000397D"/>
    <w:rsid w:val="00003BE0"/>
    <w:rsid w:val="00003C2D"/>
    <w:rsid w:val="00003DAA"/>
    <w:rsid w:val="000045E9"/>
    <w:rsid w:val="00004713"/>
    <w:rsid w:val="00004974"/>
    <w:rsid w:val="00004AF5"/>
    <w:rsid w:val="00004B98"/>
    <w:rsid w:val="00004D78"/>
    <w:rsid w:val="00004F25"/>
    <w:rsid w:val="00005213"/>
    <w:rsid w:val="000056BB"/>
    <w:rsid w:val="000056F8"/>
    <w:rsid w:val="00005991"/>
    <w:rsid w:val="0000599F"/>
    <w:rsid w:val="00005F7A"/>
    <w:rsid w:val="00006040"/>
    <w:rsid w:val="0000608F"/>
    <w:rsid w:val="0000610C"/>
    <w:rsid w:val="000062BE"/>
    <w:rsid w:val="00006589"/>
    <w:rsid w:val="000065BC"/>
    <w:rsid w:val="00007395"/>
    <w:rsid w:val="0001004B"/>
    <w:rsid w:val="00010634"/>
    <w:rsid w:val="0001067D"/>
    <w:rsid w:val="000106FE"/>
    <w:rsid w:val="000107E8"/>
    <w:rsid w:val="00010831"/>
    <w:rsid w:val="0001084F"/>
    <w:rsid w:val="00010875"/>
    <w:rsid w:val="000108BE"/>
    <w:rsid w:val="000108E7"/>
    <w:rsid w:val="00010900"/>
    <w:rsid w:val="00010ACC"/>
    <w:rsid w:val="00011351"/>
    <w:rsid w:val="00011B1B"/>
    <w:rsid w:val="00011F13"/>
    <w:rsid w:val="000123C7"/>
    <w:rsid w:val="000123FE"/>
    <w:rsid w:val="0001271C"/>
    <w:rsid w:val="000128D5"/>
    <w:rsid w:val="00012E04"/>
    <w:rsid w:val="00012E27"/>
    <w:rsid w:val="00012E9E"/>
    <w:rsid w:val="00012F51"/>
    <w:rsid w:val="000131FF"/>
    <w:rsid w:val="000137C9"/>
    <w:rsid w:val="00013840"/>
    <w:rsid w:val="00013BE5"/>
    <w:rsid w:val="00014ACE"/>
    <w:rsid w:val="00014DBB"/>
    <w:rsid w:val="00014F90"/>
    <w:rsid w:val="0001515E"/>
    <w:rsid w:val="00015B15"/>
    <w:rsid w:val="00015B19"/>
    <w:rsid w:val="00015D0A"/>
    <w:rsid w:val="00015E3F"/>
    <w:rsid w:val="000160DB"/>
    <w:rsid w:val="0001610A"/>
    <w:rsid w:val="0001615E"/>
    <w:rsid w:val="0001642E"/>
    <w:rsid w:val="00016684"/>
    <w:rsid w:val="00016E31"/>
    <w:rsid w:val="00016E84"/>
    <w:rsid w:val="000172FD"/>
    <w:rsid w:val="0001751D"/>
    <w:rsid w:val="00017716"/>
    <w:rsid w:val="000177F5"/>
    <w:rsid w:val="000179E2"/>
    <w:rsid w:val="00017B60"/>
    <w:rsid w:val="00017E9D"/>
    <w:rsid w:val="00017FBC"/>
    <w:rsid w:val="000202E2"/>
    <w:rsid w:val="0002104A"/>
    <w:rsid w:val="0002121C"/>
    <w:rsid w:val="00021B31"/>
    <w:rsid w:val="00021D48"/>
    <w:rsid w:val="0002269D"/>
    <w:rsid w:val="000228E3"/>
    <w:rsid w:val="00022EF2"/>
    <w:rsid w:val="00023428"/>
    <w:rsid w:val="0002355A"/>
    <w:rsid w:val="000235ED"/>
    <w:rsid w:val="0002367F"/>
    <w:rsid w:val="0002388A"/>
    <w:rsid w:val="00023B99"/>
    <w:rsid w:val="00023E6A"/>
    <w:rsid w:val="00024923"/>
    <w:rsid w:val="00024960"/>
    <w:rsid w:val="00024F62"/>
    <w:rsid w:val="000250CC"/>
    <w:rsid w:val="00025B71"/>
    <w:rsid w:val="0002616B"/>
    <w:rsid w:val="0002639F"/>
    <w:rsid w:val="0002664A"/>
    <w:rsid w:val="0002699E"/>
    <w:rsid w:val="00027356"/>
    <w:rsid w:val="0002746C"/>
    <w:rsid w:val="00027781"/>
    <w:rsid w:val="000278E8"/>
    <w:rsid w:val="00027A18"/>
    <w:rsid w:val="00027E6A"/>
    <w:rsid w:val="0003078C"/>
    <w:rsid w:val="00030890"/>
    <w:rsid w:val="000312EB"/>
    <w:rsid w:val="000317D6"/>
    <w:rsid w:val="00031A1C"/>
    <w:rsid w:val="00031ED2"/>
    <w:rsid w:val="00031F1F"/>
    <w:rsid w:val="000322C7"/>
    <w:rsid w:val="00032300"/>
    <w:rsid w:val="000323E3"/>
    <w:rsid w:val="000327AF"/>
    <w:rsid w:val="00032D21"/>
    <w:rsid w:val="00032E66"/>
    <w:rsid w:val="00032FB5"/>
    <w:rsid w:val="00033421"/>
    <w:rsid w:val="0003344E"/>
    <w:rsid w:val="00033463"/>
    <w:rsid w:val="00033D55"/>
    <w:rsid w:val="0003428F"/>
    <w:rsid w:val="000346B5"/>
    <w:rsid w:val="000347F0"/>
    <w:rsid w:val="000355BC"/>
    <w:rsid w:val="00035CC6"/>
    <w:rsid w:val="00035D84"/>
    <w:rsid w:val="00035E67"/>
    <w:rsid w:val="00036630"/>
    <w:rsid w:val="00036710"/>
    <w:rsid w:val="00036F3D"/>
    <w:rsid w:val="00036FC1"/>
    <w:rsid w:val="0003700B"/>
    <w:rsid w:val="000372F5"/>
    <w:rsid w:val="00037470"/>
    <w:rsid w:val="0004044E"/>
    <w:rsid w:val="00040B8F"/>
    <w:rsid w:val="00040F14"/>
    <w:rsid w:val="00040F64"/>
    <w:rsid w:val="00040F95"/>
    <w:rsid w:val="000411DA"/>
    <w:rsid w:val="000412E9"/>
    <w:rsid w:val="00041690"/>
    <w:rsid w:val="00041A7B"/>
    <w:rsid w:val="00041AC4"/>
    <w:rsid w:val="00041D14"/>
    <w:rsid w:val="00041E68"/>
    <w:rsid w:val="00041F0D"/>
    <w:rsid w:val="00041F52"/>
    <w:rsid w:val="0004212D"/>
    <w:rsid w:val="00042327"/>
    <w:rsid w:val="0004257A"/>
    <w:rsid w:val="0004271D"/>
    <w:rsid w:val="00042D87"/>
    <w:rsid w:val="000432B5"/>
    <w:rsid w:val="000433A7"/>
    <w:rsid w:val="000435D5"/>
    <w:rsid w:val="00043808"/>
    <w:rsid w:val="00043A23"/>
    <w:rsid w:val="00043ADC"/>
    <w:rsid w:val="0004475C"/>
    <w:rsid w:val="00044827"/>
    <w:rsid w:val="00044890"/>
    <w:rsid w:val="00044B37"/>
    <w:rsid w:val="00044E2B"/>
    <w:rsid w:val="00044E84"/>
    <w:rsid w:val="00045350"/>
    <w:rsid w:val="00045406"/>
    <w:rsid w:val="0004543E"/>
    <w:rsid w:val="00045468"/>
    <w:rsid w:val="000454D3"/>
    <w:rsid w:val="000455F1"/>
    <w:rsid w:val="00045A82"/>
    <w:rsid w:val="00045E29"/>
    <w:rsid w:val="0004603E"/>
    <w:rsid w:val="00046552"/>
    <w:rsid w:val="00046581"/>
    <w:rsid w:val="00046867"/>
    <w:rsid w:val="00046906"/>
    <w:rsid w:val="00046A4E"/>
    <w:rsid w:val="00046D48"/>
    <w:rsid w:val="00047B0F"/>
    <w:rsid w:val="00047B73"/>
    <w:rsid w:val="00047CCC"/>
    <w:rsid w:val="00047D5C"/>
    <w:rsid w:val="00047DAC"/>
    <w:rsid w:val="000502D1"/>
    <w:rsid w:val="00050566"/>
    <w:rsid w:val="00050A1C"/>
    <w:rsid w:val="00050CC5"/>
    <w:rsid w:val="00050F26"/>
    <w:rsid w:val="00050F8F"/>
    <w:rsid w:val="000510DC"/>
    <w:rsid w:val="00051526"/>
    <w:rsid w:val="000518ED"/>
    <w:rsid w:val="00051FB3"/>
    <w:rsid w:val="00051FF2"/>
    <w:rsid w:val="00052313"/>
    <w:rsid w:val="000523A4"/>
    <w:rsid w:val="0005257A"/>
    <w:rsid w:val="0005289F"/>
    <w:rsid w:val="00052AC0"/>
    <w:rsid w:val="00052C6A"/>
    <w:rsid w:val="00052D96"/>
    <w:rsid w:val="0005350A"/>
    <w:rsid w:val="00053A34"/>
    <w:rsid w:val="00053AAE"/>
    <w:rsid w:val="00053CF0"/>
    <w:rsid w:val="00053D1F"/>
    <w:rsid w:val="00053E2F"/>
    <w:rsid w:val="000546A0"/>
    <w:rsid w:val="000546C0"/>
    <w:rsid w:val="000547C7"/>
    <w:rsid w:val="00054AEF"/>
    <w:rsid w:val="00054BF3"/>
    <w:rsid w:val="00054E5E"/>
    <w:rsid w:val="0005537C"/>
    <w:rsid w:val="00055444"/>
    <w:rsid w:val="00056456"/>
    <w:rsid w:val="000564D7"/>
    <w:rsid w:val="00057284"/>
    <w:rsid w:val="000574AC"/>
    <w:rsid w:val="00057831"/>
    <w:rsid w:val="00057998"/>
    <w:rsid w:val="00057F20"/>
    <w:rsid w:val="000604F5"/>
    <w:rsid w:val="00060759"/>
    <w:rsid w:val="00060B7D"/>
    <w:rsid w:val="00060C8C"/>
    <w:rsid w:val="00060DFF"/>
    <w:rsid w:val="00060E7D"/>
    <w:rsid w:val="00060ECE"/>
    <w:rsid w:val="00060F5D"/>
    <w:rsid w:val="000610D6"/>
    <w:rsid w:val="0006181A"/>
    <w:rsid w:val="00062252"/>
    <w:rsid w:val="00062632"/>
    <w:rsid w:val="00062823"/>
    <w:rsid w:val="000628B7"/>
    <w:rsid w:val="000629E2"/>
    <w:rsid w:val="00062DF4"/>
    <w:rsid w:val="00063517"/>
    <w:rsid w:val="00063C55"/>
    <w:rsid w:val="00063F3A"/>
    <w:rsid w:val="0006409B"/>
    <w:rsid w:val="00064698"/>
    <w:rsid w:val="000648A9"/>
    <w:rsid w:val="000648C0"/>
    <w:rsid w:val="00064A7C"/>
    <w:rsid w:val="00064C56"/>
    <w:rsid w:val="00064FEC"/>
    <w:rsid w:val="0006535B"/>
    <w:rsid w:val="000659ED"/>
    <w:rsid w:val="00065A8B"/>
    <w:rsid w:val="00065C0F"/>
    <w:rsid w:val="00066178"/>
    <w:rsid w:val="00066419"/>
    <w:rsid w:val="00066516"/>
    <w:rsid w:val="0006666A"/>
    <w:rsid w:val="00066965"/>
    <w:rsid w:val="00066A44"/>
    <w:rsid w:val="00066AFD"/>
    <w:rsid w:val="00066EF4"/>
    <w:rsid w:val="00067291"/>
    <w:rsid w:val="000675A8"/>
    <w:rsid w:val="000677E3"/>
    <w:rsid w:val="00067A17"/>
    <w:rsid w:val="00067A2F"/>
    <w:rsid w:val="00070044"/>
    <w:rsid w:val="00070077"/>
    <w:rsid w:val="00070B3B"/>
    <w:rsid w:val="00070C2C"/>
    <w:rsid w:val="00070C44"/>
    <w:rsid w:val="00070CA2"/>
    <w:rsid w:val="00071195"/>
    <w:rsid w:val="000714B8"/>
    <w:rsid w:val="00071CAD"/>
    <w:rsid w:val="00071D12"/>
    <w:rsid w:val="00071D1B"/>
    <w:rsid w:val="00071E0A"/>
    <w:rsid w:val="00072821"/>
    <w:rsid w:val="00072973"/>
    <w:rsid w:val="00072FFD"/>
    <w:rsid w:val="00073120"/>
    <w:rsid w:val="0007325B"/>
    <w:rsid w:val="00073B38"/>
    <w:rsid w:val="00073BBD"/>
    <w:rsid w:val="00073C4A"/>
    <w:rsid w:val="00073F04"/>
    <w:rsid w:val="00074426"/>
    <w:rsid w:val="000744F2"/>
    <w:rsid w:val="00074539"/>
    <w:rsid w:val="000747FE"/>
    <w:rsid w:val="000750AB"/>
    <w:rsid w:val="000750BD"/>
    <w:rsid w:val="000755B0"/>
    <w:rsid w:val="00075DB5"/>
    <w:rsid w:val="00075F27"/>
    <w:rsid w:val="0007609B"/>
    <w:rsid w:val="000763F0"/>
    <w:rsid w:val="00076436"/>
    <w:rsid w:val="00076BE1"/>
    <w:rsid w:val="00076FAE"/>
    <w:rsid w:val="000772B4"/>
    <w:rsid w:val="000773AA"/>
    <w:rsid w:val="00077A9E"/>
    <w:rsid w:val="00077B1F"/>
    <w:rsid w:val="00077B64"/>
    <w:rsid w:val="0008025A"/>
    <w:rsid w:val="00080466"/>
    <w:rsid w:val="00080806"/>
    <w:rsid w:val="0008110B"/>
    <w:rsid w:val="0008159C"/>
    <w:rsid w:val="00081A03"/>
    <w:rsid w:val="00081D07"/>
    <w:rsid w:val="00081DFE"/>
    <w:rsid w:val="0008200D"/>
    <w:rsid w:val="00082031"/>
    <w:rsid w:val="0008221B"/>
    <w:rsid w:val="000826A4"/>
    <w:rsid w:val="000828D7"/>
    <w:rsid w:val="00083282"/>
    <w:rsid w:val="0008371A"/>
    <w:rsid w:val="00083B30"/>
    <w:rsid w:val="00083E59"/>
    <w:rsid w:val="0008422A"/>
    <w:rsid w:val="0008433A"/>
    <w:rsid w:val="0008437A"/>
    <w:rsid w:val="00084513"/>
    <w:rsid w:val="00084665"/>
    <w:rsid w:val="00084BEE"/>
    <w:rsid w:val="00084D91"/>
    <w:rsid w:val="00085C64"/>
    <w:rsid w:val="00085D55"/>
    <w:rsid w:val="00085EDC"/>
    <w:rsid w:val="00086348"/>
    <w:rsid w:val="00086452"/>
    <w:rsid w:val="000864C3"/>
    <w:rsid w:val="000866DD"/>
    <w:rsid w:val="00086A3B"/>
    <w:rsid w:val="00086AC0"/>
    <w:rsid w:val="00086BB3"/>
    <w:rsid w:val="00086F40"/>
    <w:rsid w:val="000873A1"/>
    <w:rsid w:val="00087453"/>
    <w:rsid w:val="00087829"/>
    <w:rsid w:val="00090015"/>
    <w:rsid w:val="00090075"/>
    <w:rsid w:val="00090247"/>
    <w:rsid w:val="00090F64"/>
    <w:rsid w:val="00091594"/>
    <w:rsid w:val="000915FD"/>
    <w:rsid w:val="00091C8F"/>
    <w:rsid w:val="00091CF2"/>
    <w:rsid w:val="00091CFF"/>
    <w:rsid w:val="00092385"/>
    <w:rsid w:val="00092404"/>
    <w:rsid w:val="00092B54"/>
    <w:rsid w:val="000934BC"/>
    <w:rsid w:val="000935DA"/>
    <w:rsid w:val="00093942"/>
    <w:rsid w:val="00093C30"/>
    <w:rsid w:val="00094103"/>
    <w:rsid w:val="00094238"/>
    <w:rsid w:val="00094752"/>
    <w:rsid w:val="0009512A"/>
    <w:rsid w:val="0009534C"/>
    <w:rsid w:val="00095453"/>
    <w:rsid w:val="000957F5"/>
    <w:rsid w:val="0009595E"/>
    <w:rsid w:val="0009647A"/>
    <w:rsid w:val="0009670B"/>
    <w:rsid w:val="0009675D"/>
    <w:rsid w:val="00097602"/>
    <w:rsid w:val="00097979"/>
    <w:rsid w:val="000979AB"/>
    <w:rsid w:val="00097BF3"/>
    <w:rsid w:val="00097C6B"/>
    <w:rsid w:val="00097C7C"/>
    <w:rsid w:val="000A0049"/>
    <w:rsid w:val="000A0101"/>
    <w:rsid w:val="000A047E"/>
    <w:rsid w:val="000A09FE"/>
    <w:rsid w:val="000A0C96"/>
    <w:rsid w:val="000A109D"/>
    <w:rsid w:val="000A17A2"/>
    <w:rsid w:val="000A185C"/>
    <w:rsid w:val="000A1CA1"/>
    <w:rsid w:val="000A214B"/>
    <w:rsid w:val="000A28B8"/>
    <w:rsid w:val="000A2D13"/>
    <w:rsid w:val="000A2D20"/>
    <w:rsid w:val="000A30BA"/>
    <w:rsid w:val="000A3127"/>
    <w:rsid w:val="000A3409"/>
    <w:rsid w:val="000A3C2B"/>
    <w:rsid w:val="000A3CD3"/>
    <w:rsid w:val="000A3E4D"/>
    <w:rsid w:val="000A3FEE"/>
    <w:rsid w:val="000A4160"/>
    <w:rsid w:val="000A4601"/>
    <w:rsid w:val="000A4645"/>
    <w:rsid w:val="000A49D5"/>
    <w:rsid w:val="000A4C0B"/>
    <w:rsid w:val="000A4E24"/>
    <w:rsid w:val="000A4EB8"/>
    <w:rsid w:val="000A4F4A"/>
    <w:rsid w:val="000A5026"/>
    <w:rsid w:val="000A51C3"/>
    <w:rsid w:val="000A5433"/>
    <w:rsid w:val="000A5733"/>
    <w:rsid w:val="000A5DAD"/>
    <w:rsid w:val="000A663C"/>
    <w:rsid w:val="000A6772"/>
    <w:rsid w:val="000A68D6"/>
    <w:rsid w:val="000A719A"/>
    <w:rsid w:val="000A74A7"/>
    <w:rsid w:val="000A74BD"/>
    <w:rsid w:val="000A756F"/>
    <w:rsid w:val="000A7AE3"/>
    <w:rsid w:val="000A7B07"/>
    <w:rsid w:val="000A7C2D"/>
    <w:rsid w:val="000A7CFF"/>
    <w:rsid w:val="000A7FD5"/>
    <w:rsid w:val="000A7FEC"/>
    <w:rsid w:val="000B0174"/>
    <w:rsid w:val="000B05F7"/>
    <w:rsid w:val="000B0B59"/>
    <w:rsid w:val="000B0F19"/>
    <w:rsid w:val="000B0F79"/>
    <w:rsid w:val="000B1157"/>
    <w:rsid w:val="000B1222"/>
    <w:rsid w:val="000B122E"/>
    <w:rsid w:val="000B1287"/>
    <w:rsid w:val="000B130F"/>
    <w:rsid w:val="000B13FE"/>
    <w:rsid w:val="000B1749"/>
    <w:rsid w:val="000B1ECC"/>
    <w:rsid w:val="000B2542"/>
    <w:rsid w:val="000B25C9"/>
    <w:rsid w:val="000B263B"/>
    <w:rsid w:val="000B2698"/>
    <w:rsid w:val="000B296D"/>
    <w:rsid w:val="000B2AB7"/>
    <w:rsid w:val="000B2B23"/>
    <w:rsid w:val="000B2DEE"/>
    <w:rsid w:val="000B2F2A"/>
    <w:rsid w:val="000B2F89"/>
    <w:rsid w:val="000B3262"/>
    <w:rsid w:val="000B4045"/>
    <w:rsid w:val="000B43C2"/>
    <w:rsid w:val="000B4411"/>
    <w:rsid w:val="000B4465"/>
    <w:rsid w:val="000B48F5"/>
    <w:rsid w:val="000B5202"/>
    <w:rsid w:val="000B52FB"/>
    <w:rsid w:val="000B5421"/>
    <w:rsid w:val="000B615D"/>
    <w:rsid w:val="000B704C"/>
    <w:rsid w:val="000B730E"/>
    <w:rsid w:val="000B76CC"/>
    <w:rsid w:val="000B7906"/>
    <w:rsid w:val="000B79EF"/>
    <w:rsid w:val="000B7B00"/>
    <w:rsid w:val="000B7FD9"/>
    <w:rsid w:val="000C0038"/>
    <w:rsid w:val="000C0129"/>
    <w:rsid w:val="000C046A"/>
    <w:rsid w:val="000C090D"/>
    <w:rsid w:val="000C1237"/>
    <w:rsid w:val="000C140B"/>
    <w:rsid w:val="000C1650"/>
    <w:rsid w:val="000C1990"/>
    <w:rsid w:val="000C1DE2"/>
    <w:rsid w:val="000C204C"/>
    <w:rsid w:val="000C2102"/>
    <w:rsid w:val="000C212C"/>
    <w:rsid w:val="000C22CF"/>
    <w:rsid w:val="000C250C"/>
    <w:rsid w:val="000C2829"/>
    <w:rsid w:val="000C2C41"/>
    <w:rsid w:val="000C3133"/>
    <w:rsid w:val="000C325D"/>
    <w:rsid w:val="000C32FB"/>
    <w:rsid w:val="000C34D5"/>
    <w:rsid w:val="000C35F8"/>
    <w:rsid w:val="000C3912"/>
    <w:rsid w:val="000C3944"/>
    <w:rsid w:val="000C3CF4"/>
    <w:rsid w:val="000C4362"/>
    <w:rsid w:val="000C4379"/>
    <w:rsid w:val="000C4BE4"/>
    <w:rsid w:val="000C4E3C"/>
    <w:rsid w:val="000C5519"/>
    <w:rsid w:val="000C5783"/>
    <w:rsid w:val="000C5C31"/>
    <w:rsid w:val="000C64C6"/>
    <w:rsid w:val="000C6943"/>
    <w:rsid w:val="000C6B9A"/>
    <w:rsid w:val="000C700F"/>
    <w:rsid w:val="000C71F2"/>
    <w:rsid w:val="000C7201"/>
    <w:rsid w:val="000C726F"/>
    <w:rsid w:val="000C77B6"/>
    <w:rsid w:val="000C7C04"/>
    <w:rsid w:val="000C7CB6"/>
    <w:rsid w:val="000D0087"/>
    <w:rsid w:val="000D08D5"/>
    <w:rsid w:val="000D0943"/>
    <w:rsid w:val="000D0A85"/>
    <w:rsid w:val="000D0AFD"/>
    <w:rsid w:val="000D0F3D"/>
    <w:rsid w:val="000D12EB"/>
    <w:rsid w:val="000D14AF"/>
    <w:rsid w:val="000D16A4"/>
    <w:rsid w:val="000D1DD4"/>
    <w:rsid w:val="000D1FF4"/>
    <w:rsid w:val="000D231C"/>
    <w:rsid w:val="000D2B08"/>
    <w:rsid w:val="000D2DA5"/>
    <w:rsid w:val="000D30CC"/>
    <w:rsid w:val="000D3193"/>
    <w:rsid w:val="000D32B9"/>
    <w:rsid w:val="000D3871"/>
    <w:rsid w:val="000D3C7F"/>
    <w:rsid w:val="000D3EEB"/>
    <w:rsid w:val="000D40DA"/>
    <w:rsid w:val="000D4956"/>
    <w:rsid w:val="000D4B49"/>
    <w:rsid w:val="000D4EB8"/>
    <w:rsid w:val="000D4F75"/>
    <w:rsid w:val="000D4FF7"/>
    <w:rsid w:val="000D5010"/>
    <w:rsid w:val="000D5111"/>
    <w:rsid w:val="000D5300"/>
    <w:rsid w:val="000D561E"/>
    <w:rsid w:val="000D56D6"/>
    <w:rsid w:val="000D58B1"/>
    <w:rsid w:val="000D59AB"/>
    <w:rsid w:val="000D5D41"/>
    <w:rsid w:val="000D611F"/>
    <w:rsid w:val="000D63CA"/>
    <w:rsid w:val="000D6544"/>
    <w:rsid w:val="000D65EA"/>
    <w:rsid w:val="000D66E0"/>
    <w:rsid w:val="000D6797"/>
    <w:rsid w:val="000D6C41"/>
    <w:rsid w:val="000D6D99"/>
    <w:rsid w:val="000D6EAB"/>
    <w:rsid w:val="000D6EBB"/>
    <w:rsid w:val="000D7102"/>
    <w:rsid w:val="000D78BC"/>
    <w:rsid w:val="000D7B15"/>
    <w:rsid w:val="000D7BAD"/>
    <w:rsid w:val="000D7EBD"/>
    <w:rsid w:val="000E024A"/>
    <w:rsid w:val="000E0424"/>
    <w:rsid w:val="000E0A86"/>
    <w:rsid w:val="000E1200"/>
    <w:rsid w:val="000E1355"/>
    <w:rsid w:val="000E1446"/>
    <w:rsid w:val="000E162C"/>
    <w:rsid w:val="000E1840"/>
    <w:rsid w:val="000E18CB"/>
    <w:rsid w:val="000E19F5"/>
    <w:rsid w:val="000E1F52"/>
    <w:rsid w:val="000E2057"/>
    <w:rsid w:val="000E21A2"/>
    <w:rsid w:val="000E22B3"/>
    <w:rsid w:val="000E2A24"/>
    <w:rsid w:val="000E2C8F"/>
    <w:rsid w:val="000E2C90"/>
    <w:rsid w:val="000E2D7C"/>
    <w:rsid w:val="000E2DCC"/>
    <w:rsid w:val="000E2E6A"/>
    <w:rsid w:val="000E3176"/>
    <w:rsid w:val="000E378E"/>
    <w:rsid w:val="000E3989"/>
    <w:rsid w:val="000E39C9"/>
    <w:rsid w:val="000E3ADD"/>
    <w:rsid w:val="000E3EEB"/>
    <w:rsid w:val="000E4104"/>
    <w:rsid w:val="000E4394"/>
    <w:rsid w:val="000E497A"/>
    <w:rsid w:val="000E4A1A"/>
    <w:rsid w:val="000E5140"/>
    <w:rsid w:val="000E5374"/>
    <w:rsid w:val="000E5755"/>
    <w:rsid w:val="000E5CA7"/>
    <w:rsid w:val="000E5D20"/>
    <w:rsid w:val="000E5EF8"/>
    <w:rsid w:val="000E6356"/>
    <w:rsid w:val="000E66C9"/>
    <w:rsid w:val="000E677F"/>
    <w:rsid w:val="000E6EA2"/>
    <w:rsid w:val="000E77A5"/>
    <w:rsid w:val="000E7801"/>
    <w:rsid w:val="000E79E0"/>
    <w:rsid w:val="000E7C26"/>
    <w:rsid w:val="000E7DD4"/>
    <w:rsid w:val="000E7E8B"/>
    <w:rsid w:val="000F0492"/>
    <w:rsid w:val="000F0504"/>
    <w:rsid w:val="000F0DDF"/>
    <w:rsid w:val="000F0EEC"/>
    <w:rsid w:val="000F0FD6"/>
    <w:rsid w:val="000F12FB"/>
    <w:rsid w:val="000F14E7"/>
    <w:rsid w:val="000F1666"/>
    <w:rsid w:val="000F16FF"/>
    <w:rsid w:val="000F1A71"/>
    <w:rsid w:val="000F1BD8"/>
    <w:rsid w:val="000F1DE6"/>
    <w:rsid w:val="000F2247"/>
    <w:rsid w:val="000F2CAB"/>
    <w:rsid w:val="000F2F88"/>
    <w:rsid w:val="000F302B"/>
    <w:rsid w:val="000F318A"/>
    <w:rsid w:val="000F33E2"/>
    <w:rsid w:val="000F34B2"/>
    <w:rsid w:val="000F3549"/>
    <w:rsid w:val="000F3B6D"/>
    <w:rsid w:val="000F3C3A"/>
    <w:rsid w:val="000F409E"/>
    <w:rsid w:val="000F4650"/>
    <w:rsid w:val="000F4DC8"/>
    <w:rsid w:val="000F4FBE"/>
    <w:rsid w:val="000F50E8"/>
    <w:rsid w:val="000F52A0"/>
    <w:rsid w:val="000F5558"/>
    <w:rsid w:val="000F59E9"/>
    <w:rsid w:val="000F5F5D"/>
    <w:rsid w:val="000F6975"/>
    <w:rsid w:val="000F6A6A"/>
    <w:rsid w:val="000F6CBB"/>
    <w:rsid w:val="000F7100"/>
    <w:rsid w:val="000F72B2"/>
    <w:rsid w:val="000F7406"/>
    <w:rsid w:val="000F7F8D"/>
    <w:rsid w:val="001000A9"/>
    <w:rsid w:val="001003ED"/>
    <w:rsid w:val="00100CE5"/>
    <w:rsid w:val="00100F4B"/>
    <w:rsid w:val="00101092"/>
    <w:rsid w:val="00101283"/>
    <w:rsid w:val="001017CD"/>
    <w:rsid w:val="001018FA"/>
    <w:rsid w:val="00101C08"/>
    <w:rsid w:val="00101FBD"/>
    <w:rsid w:val="001024B6"/>
    <w:rsid w:val="0010260D"/>
    <w:rsid w:val="0010266B"/>
    <w:rsid w:val="00102721"/>
    <w:rsid w:val="00102AFF"/>
    <w:rsid w:val="00102EF5"/>
    <w:rsid w:val="00102F28"/>
    <w:rsid w:val="001031A8"/>
    <w:rsid w:val="00103214"/>
    <w:rsid w:val="00103490"/>
    <w:rsid w:val="00103985"/>
    <w:rsid w:val="00103A16"/>
    <w:rsid w:val="0010408B"/>
    <w:rsid w:val="001042C4"/>
    <w:rsid w:val="001043E5"/>
    <w:rsid w:val="0010448F"/>
    <w:rsid w:val="00104774"/>
    <w:rsid w:val="001049EC"/>
    <w:rsid w:val="00104A02"/>
    <w:rsid w:val="00104FC9"/>
    <w:rsid w:val="001052BF"/>
    <w:rsid w:val="00105916"/>
    <w:rsid w:val="00105AA0"/>
    <w:rsid w:val="00106088"/>
    <w:rsid w:val="001062A9"/>
    <w:rsid w:val="00106766"/>
    <w:rsid w:val="00106953"/>
    <w:rsid w:val="00106A45"/>
    <w:rsid w:val="00106B09"/>
    <w:rsid w:val="00106EF6"/>
    <w:rsid w:val="001071D5"/>
    <w:rsid w:val="00107A19"/>
    <w:rsid w:val="00107C26"/>
    <w:rsid w:val="0011024C"/>
    <w:rsid w:val="00110557"/>
    <w:rsid w:val="00110691"/>
    <w:rsid w:val="00110A19"/>
    <w:rsid w:val="00110E1A"/>
    <w:rsid w:val="001114DA"/>
    <w:rsid w:val="00111B48"/>
    <w:rsid w:val="00111BBE"/>
    <w:rsid w:val="00111F86"/>
    <w:rsid w:val="001122A8"/>
    <w:rsid w:val="00112444"/>
    <w:rsid w:val="00112591"/>
    <w:rsid w:val="0011263A"/>
    <w:rsid w:val="00112710"/>
    <w:rsid w:val="00112B21"/>
    <w:rsid w:val="00112D62"/>
    <w:rsid w:val="00113224"/>
    <w:rsid w:val="00113BED"/>
    <w:rsid w:val="00113C1D"/>
    <w:rsid w:val="00113D75"/>
    <w:rsid w:val="00113F1A"/>
    <w:rsid w:val="0011420D"/>
    <w:rsid w:val="00114FBD"/>
    <w:rsid w:val="0011512E"/>
    <w:rsid w:val="0011526D"/>
    <w:rsid w:val="00115282"/>
    <w:rsid w:val="00115904"/>
    <w:rsid w:val="00115C0C"/>
    <w:rsid w:val="00115EB8"/>
    <w:rsid w:val="001161D8"/>
    <w:rsid w:val="0011620E"/>
    <w:rsid w:val="001162AE"/>
    <w:rsid w:val="001163A6"/>
    <w:rsid w:val="00116470"/>
    <w:rsid w:val="00116811"/>
    <w:rsid w:val="00116C0A"/>
    <w:rsid w:val="00116C75"/>
    <w:rsid w:val="00117852"/>
    <w:rsid w:val="00117946"/>
    <w:rsid w:val="00117D6C"/>
    <w:rsid w:val="00117E25"/>
    <w:rsid w:val="00117F49"/>
    <w:rsid w:val="00120135"/>
    <w:rsid w:val="00120252"/>
    <w:rsid w:val="001205E6"/>
    <w:rsid w:val="0012080C"/>
    <w:rsid w:val="00120941"/>
    <w:rsid w:val="0012095D"/>
    <w:rsid w:val="00120AB5"/>
    <w:rsid w:val="00120DED"/>
    <w:rsid w:val="00120E71"/>
    <w:rsid w:val="0012106C"/>
    <w:rsid w:val="00121299"/>
    <w:rsid w:val="00121538"/>
    <w:rsid w:val="00121919"/>
    <w:rsid w:val="00121AE6"/>
    <w:rsid w:val="00121B66"/>
    <w:rsid w:val="00122016"/>
    <w:rsid w:val="0012215F"/>
    <w:rsid w:val="00122240"/>
    <w:rsid w:val="0012225F"/>
    <w:rsid w:val="0012227A"/>
    <w:rsid w:val="00122334"/>
    <w:rsid w:val="0012271C"/>
    <w:rsid w:val="00122BD6"/>
    <w:rsid w:val="00122DAB"/>
    <w:rsid w:val="00122F8C"/>
    <w:rsid w:val="00123118"/>
    <w:rsid w:val="00123226"/>
    <w:rsid w:val="001232E4"/>
    <w:rsid w:val="001233CE"/>
    <w:rsid w:val="0012372E"/>
    <w:rsid w:val="00123794"/>
    <w:rsid w:val="00123853"/>
    <w:rsid w:val="00123B2D"/>
    <w:rsid w:val="00123F53"/>
    <w:rsid w:val="001240EB"/>
    <w:rsid w:val="0012429F"/>
    <w:rsid w:val="0012443B"/>
    <w:rsid w:val="001245FE"/>
    <w:rsid w:val="00124CF3"/>
    <w:rsid w:val="00124EB6"/>
    <w:rsid w:val="00125733"/>
    <w:rsid w:val="00125A50"/>
    <w:rsid w:val="00125F14"/>
    <w:rsid w:val="0012669C"/>
    <w:rsid w:val="00126717"/>
    <w:rsid w:val="00126905"/>
    <w:rsid w:val="0012749D"/>
    <w:rsid w:val="001276A0"/>
    <w:rsid w:val="001276D8"/>
    <w:rsid w:val="00127C2E"/>
    <w:rsid w:val="00127DF2"/>
    <w:rsid w:val="00127EA5"/>
    <w:rsid w:val="00127F5A"/>
    <w:rsid w:val="001302DF"/>
    <w:rsid w:val="00130444"/>
    <w:rsid w:val="001304A1"/>
    <w:rsid w:val="0013074E"/>
    <w:rsid w:val="00130907"/>
    <w:rsid w:val="00130B76"/>
    <w:rsid w:val="001310C7"/>
    <w:rsid w:val="00131386"/>
    <w:rsid w:val="001316CE"/>
    <w:rsid w:val="00131A47"/>
    <w:rsid w:val="00131B99"/>
    <w:rsid w:val="00131CA8"/>
    <w:rsid w:val="0013290F"/>
    <w:rsid w:val="00132ADB"/>
    <w:rsid w:val="00132B51"/>
    <w:rsid w:val="00132E57"/>
    <w:rsid w:val="001331F1"/>
    <w:rsid w:val="00133A03"/>
    <w:rsid w:val="00133F02"/>
    <w:rsid w:val="001341D1"/>
    <w:rsid w:val="00134371"/>
    <w:rsid w:val="001344C1"/>
    <w:rsid w:val="0013486B"/>
    <w:rsid w:val="00134873"/>
    <w:rsid w:val="001349A5"/>
    <w:rsid w:val="00134B34"/>
    <w:rsid w:val="00134BCB"/>
    <w:rsid w:val="00134C33"/>
    <w:rsid w:val="00134C50"/>
    <w:rsid w:val="00135A6B"/>
    <w:rsid w:val="0013634D"/>
    <w:rsid w:val="00136808"/>
    <w:rsid w:val="0013684F"/>
    <w:rsid w:val="00137441"/>
    <w:rsid w:val="0013785E"/>
    <w:rsid w:val="0013786D"/>
    <w:rsid w:val="00137B0E"/>
    <w:rsid w:val="00137CB1"/>
    <w:rsid w:val="001400E4"/>
    <w:rsid w:val="00140950"/>
    <w:rsid w:val="00140EBB"/>
    <w:rsid w:val="001419E4"/>
    <w:rsid w:val="00141B56"/>
    <w:rsid w:val="00141D14"/>
    <w:rsid w:val="00142409"/>
    <w:rsid w:val="001425AB"/>
    <w:rsid w:val="00142BD7"/>
    <w:rsid w:val="00143101"/>
    <w:rsid w:val="00143A7B"/>
    <w:rsid w:val="00143B4B"/>
    <w:rsid w:val="00143C02"/>
    <w:rsid w:val="00143C38"/>
    <w:rsid w:val="00143DDB"/>
    <w:rsid w:val="00144402"/>
    <w:rsid w:val="00144588"/>
    <w:rsid w:val="0014568E"/>
    <w:rsid w:val="001458A2"/>
    <w:rsid w:val="001458EE"/>
    <w:rsid w:val="00145A16"/>
    <w:rsid w:val="00145A83"/>
    <w:rsid w:val="00145C2F"/>
    <w:rsid w:val="00146268"/>
    <w:rsid w:val="001463AE"/>
    <w:rsid w:val="001466B7"/>
    <w:rsid w:val="001468F1"/>
    <w:rsid w:val="00147319"/>
    <w:rsid w:val="00147C7D"/>
    <w:rsid w:val="00147FF2"/>
    <w:rsid w:val="00150376"/>
    <w:rsid w:val="00150412"/>
    <w:rsid w:val="00150688"/>
    <w:rsid w:val="0015068F"/>
    <w:rsid w:val="00150725"/>
    <w:rsid w:val="00150B6C"/>
    <w:rsid w:val="001512A6"/>
    <w:rsid w:val="001517D4"/>
    <w:rsid w:val="00151C08"/>
    <w:rsid w:val="00151C41"/>
    <w:rsid w:val="00152336"/>
    <w:rsid w:val="00152480"/>
    <w:rsid w:val="001525AF"/>
    <w:rsid w:val="0015272F"/>
    <w:rsid w:val="00152B8C"/>
    <w:rsid w:val="00152BFC"/>
    <w:rsid w:val="00152F9A"/>
    <w:rsid w:val="0015325E"/>
    <w:rsid w:val="001534D6"/>
    <w:rsid w:val="0015351E"/>
    <w:rsid w:val="00153712"/>
    <w:rsid w:val="00153818"/>
    <w:rsid w:val="00153821"/>
    <w:rsid w:val="00153A09"/>
    <w:rsid w:val="00153B22"/>
    <w:rsid w:val="00153C72"/>
    <w:rsid w:val="00153DBA"/>
    <w:rsid w:val="00153DFC"/>
    <w:rsid w:val="00153E33"/>
    <w:rsid w:val="00154073"/>
    <w:rsid w:val="0015454E"/>
    <w:rsid w:val="00154BD3"/>
    <w:rsid w:val="00154E1D"/>
    <w:rsid w:val="0015528A"/>
    <w:rsid w:val="0015548F"/>
    <w:rsid w:val="00155677"/>
    <w:rsid w:val="001559B2"/>
    <w:rsid w:val="00155A02"/>
    <w:rsid w:val="00155D04"/>
    <w:rsid w:val="00155D2D"/>
    <w:rsid w:val="00155DEC"/>
    <w:rsid w:val="001560D0"/>
    <w:rsid w:val="00156E73"/>
    <w:rsid w:val="001575BB"/>
    <w:rsid w:val="0015768A"/>
    <w:rsid w:val="00157A0D"/>
    <w:rsid w:val="00157AA4"/>
    <w:rsid w:val="00157BCB"/>
    <w:rsid w:val="00157BF6"/>
    <w:rsid w:val="001600AE"/>
    <w:rsid w:val="001600F3"/>
    <w:rsid w:val="00160476"/>
    <w:rsid w:val="00160E42"/>
    <w:rsid w:val="00161781"/>
    <w:rsid w:val="001619CF"/>
    <w:rsid w:val="001620CE"/>
    <w:rsid w:val="00162401"/>
    <w:rsid w:val="0016244B"/>
    <w:rsid w:val="00162484"/>
    <w:rsid w:val="00162642"/>
    <w:rsid w:val="00162825"/>
    <w:rsid w:val="00162F01"/>
    <w:rsid w:val="0016365E"/>
    <w:rsid w:val="00163FEB"/>
    <w:rsid w:val="00164598"/>
    <w:rsid w:val="00164815"/>
    <w:rsid w:val="001649C3"/>
    <w:rsid w:val="001650DB"/>
    <w:rsid w:val="001653B4"/>
    <w:rsid w:val="00165410"/>
    <w:rsid w:val="001656AC"/>
    <w:rsid w:val="00165843"/>
    <w:rsid w:val="001658F3"/>
    <w:rsid w:val="001659A9"/>
    <w:rsid w:val="00165C52"/>
    <w:rsid w:val="00166107"/>
    <w:rsid w:val="00166720"/>
    <w:rsid w:val="00166AF6"/>
    <w:rsid w:val="001671AC"/>
    <w:rsid w:val="001673F7"/>
    <w:rsid w:val="00167677"/>
    <w:rsid w:val="00167DA4"/>
    <w:rsid w:val="00167DFD"/>
    <w:rsid w:val="00167EBB"/>
    <w:rsid w:val="001700A6"/>
    <w:rsid w:val="00170141"/>
    <w:rsid w:val="00170602"/>
    <w:rsid w:val="00170658"/>
    <w:rsid w:val="001711C4"/>
    <w:rsid w:val="001713A5"/>
    <w:rsid w:val="001714F6"/>
    <w:rsid w:val="0017174C"/>
    <w:rsid w:val="0017182C"/>
    <w:rsid w:val="00171C1C"/>
    <w:rsid w:val="00171D2D"/>
    <w:rsid w:val="00171E30"/>
    <w:rsid w:val="00171E3B"/>
    <w:rsid w:val="00171E56"/>
    <w:rsid w:val="00172A61"/>
    <w:rsid w:val="001730F3"/>
    <w:rsid w:val="001733BA"/>
    <w:rsid w:val="00173761"/>
    <w:rsid w:val="001738BB"/>
    <w:rsid w:val="00173D3B"/>
    <w:rsid w:val="0017401C"/>
    <w:rsid w:val="001742F4"/>
    <w:rsid w:val="0017456B"/>
    <w:rsid w:val="001745C9"/>
    <w:rsid w:val="001746BC"/>
    <w:rsid w:val="0017480F"/>
    <w:rsid w:val="00174850"/>
    <w:rsid w:val="00174AB9"/>
    <w:rsid w:val="00174FD1"/>
    <w:rsid w:val="001755BA"/>
    <w:rsid w:val="001758E0"/>
    <w:rsid w:val="00175B34"/>
    <w:rsid w:val="00175BDA"/>
    <w:rsid w:val="00175CAA"/>
    <w:rsid w:val="00176167"/>
    <w:rsid w:val="00176636"/>
    <w:rsid w:val="001766A8"/>
    <w:rsid w:val="00176B17"/>
    <w:rsid w:val="00176B51"/>
    <w:rsid w:val="001770AB"/>
    <w:rsid w:val="00177198"/>
    <w:rsid w:val="00177851"/>
    <w:rsid w:val="00177CBE"/>
    <w:rsid w:val="00177D42"/>
    <w:rsid w:val="0018010A"/>
    <w:rsid w:val="00180245"/>
    <w:rsid w:val="001809C2"/>
    <w:rsid w:val="00180A33"/>
    <w:rsid w:val="00180F63"/>
    <w:rsid w:val="001811D8"/>
    <w:rsid w:val="001812AB"/>
    <w:rsid w:val="001812AE"/>
    <w:rsid w:val="0018139B"/>
    <w:rsid w:val="0018146A"/>
    <w:rsid w:val="00181537"/>
    <w:rsid w:val="00181784"/>
    <w:rsid w:val="0018197F"/>
    <w:rsid w:val="00181DBA"/>
    <w:rsid w:val="001821A4"/>
    <w:rsid w:val="00182A4B"/>
    <w:rsid w:val="00182DD7"/>
    <w:rsid w:val="00182F4F"/>
    <w:rsid w:val="0018316A"/>
    <w:rsid w:val="00183240"/>
    <w:rsid w:val="001832AE"/>
    <w:rsid w:val="00183825"/>
    <w:rsid w:val="001838AE"/>
    <w:rsid w:val="00183FEA"/>
    <w:rsid w:val="001843CF"/>
    <w:rsid w:val="0018447B"/>
    <w:rsid w:val="001848D2"/>
    <w:rsid w:val="00184A97"/>
    <w:rsid w:val="00184E72"/>
    <w:rsid w:val="00185073"/>
    <w:rsid w:val="00185675"/>
    <w:rsid w:val="00185B4D"/>
    <w:rsid w:val="001861BE"/>
    <w:rsid w:val="00186908"/>
    <w:rsid w:val="0018690F"/>
    <w:rsid w:val="00186ED5"/>
    <w:rsid w:val="0018772F"/>
    <w:rsid w:val="00187852"/>
    <w:rsid w:val="00187DF0"/>
    <w:rsid w:val="001902F5"/>
    <w:rsid w:val="00190880"/>
    <w:rsid w:val="00190BE7"/>
    <w:rsid w:val="00190C53"/>
    <w:rsid w:val="00190E1A"/>
    <w:rsid w:val="00190FE4"/>
    <w:rsid w:val="00191165"/>
    <w:rsid w:val="001911B7"/>
    <w:rsid w:val="0019139F"/>
    <w:rsid w:val="001914DB"/>
    <w:rsid w:val="001917F0"/>
    <w:rsid w:val="0019182D"/>
    <w:rsid w:val="0019191E"/>
    <w:rsid w:val="00191FB0"/>
    <w:rsid w:val="00192024"/>
    <w:rsid w:val="001922B5"/>
    <w:rsid w:val="00192488"/>
    <w:rsid w:val="00192838"/>
    <w:rsid w:val="00193210"/>
    <w:rsid w:val="001935BF"/>
    <w:rsid w:val="001937C8"/>
    <w:rsid w:val="00194217"/>
    <w:rsid w:val="001945A3"/>
    <w:rsid w:val="001946FC"/>
    <w:rsid w:val="00195290"/>
    <w:rsid w:val="0019533D"/>
    <w:rsid w:val="001962BC"/>
    <w:rsid w:val="00196313"/>
    <w:rsid w:val="00196684"/>
    <w:rsid w:val="0019698E"/>
    <w:rsid w:val="001969B2"/>
    <w:rsid w:val="00196E84"/>
    <w:rsid w:val="00196FBF"/>
    <w:rsid w:val="001A0327"/>
    <w:rsid w:val="001A0408"/>
    <w:rsid w:val="001A084E"/>
    <w:rsid w:val="001A0C46"/>
    <w:rsid w:val="001A0F6D"/>
    <w:rsid w:val="001A1349"/>
    <w:rsid w:val="001A1835"/>
    <w:rsid w:val="001A1E31"/>
    <w:rsid w:val="001A2165"/>
    <w:rsid w:val="001A23D7"/>
    <w:rsid w:val="001A25C6"/>
    <w:rsid w:val="001A2603"/>
    <w:rsid w:val="001A2B2A"/>
    <w:rsid w:val="001A2D0F"/>
    <w:rsid w:val="001A3245"/>
    <w:rsid w:val="001A33B6"/>
    <w:rsid w:val="001A3449"/>
    <w:rsid w:val="001A3460"/>
    <w:rsid w:val="001A3800"/>
    <w:rsid w:val="001A383A"/>
    <w:rsid w:val="001A3FED"/>
    <w:rsid w:val="001A47D9"/>
    <w:rsid w:val="001A4952"/>
    <w:rsid w:val="001A4D5A"/>
    <w:rsid w:val="001A5F50"/>
    <w:rsid w:val="001A6057"/>
    <w:rsid w:val="001A61A4"/>
    <w:rsid w:val="001A6242"/>
    <w:rsid w:val="001A6DA9"/>
    <w:rsid w:val="001A70F8"/>
    <w:rsid w:val="001A782D"/>
    <w:rsid w:val="001A7889"/>
    <w:rsid w:val="001B009A"/>
    <w:rsid w:val="001B026A"/>
    <w:rsid w:val="001B07E5"/>
    <w:rsid w:val="001B0A9E"/>
    <w:rsid w:val="001B105F"/>
    <w:rsid w:val="001B1294"/>
    <w:rsid w:val="001B1897"/>
    <w:rsid w:val="001B19B6"/>
    <w:rsid w:val="001B1F1C"/>
    <w:rsid w:val="001B1F4A"/>
    <w:rsid w:val="001B21F0"/>
    <w:rsid w:val="001B21FA"/>
    <w:rsid w:val="001B226A"/>
    <w:rsid w:val="001B228D"/>
    <w:rsid w:val="001B244B"/>
    <w:rsid w:val="001B25D8"/>
    <w:rsid w:val="001B2D4E"/>
    <w:rsid w:val="001B39CC"/>
    <w:rsid w:val="001B3C3E"/>
    <w:rsid w:val="001B3E56"/>
    <w:rsid w:val="001B3ECE"/>
    <w:rsid w:val="001B428E"/>
    <w:rsid w:val="001B4441"/>
    <w:rsid w:val="001B461F"/>
    <w:rsid w:val="001B484F"/>
    <w:rsid w:val="001B488B"/>
    <w:rsid w:val="001B4FCA"/>
    <w:rsid w:val="001B4FE6"/>
    <w:rsid w:val="001B5668"/>
    <w:rsid w:val="001B59F3"/>
    <w:rsid w:val="001B5A07"/>
    <w:rsid w:val="001B5CC7"/>
    <w:rsid w:val="001B5F29"/>
    <w:rsid w:val="001B6032"/>
    <w:rsid w:val="001B62B1"/>
    <w:rsid w:val="001B66ED"/>
    <w:rsid w:val="001B6928"/>
    <w:rsid w:val="001B6B93"/>
    <w:rsid w:val="001B6EDD"/>
    <w:rsid w:val="001B6F47"/>
    <w:rsid w:val="001B7288"/>
    <w:rsid w:val="001B76F0"/>
    <w:rsid w:val="001B77AC"/>
    <w:rsid w:val="001B7D3A"/>
    <w:rsid w:val="001C0470"/>
    <w:rsid w:val="001C054C"/>
    <w:rsid w:val="001C13DC"/>
    <w:rsid w:val="001C1498"/>
    <w:rsid w:val="001C160F"/>
    <w:rsid w:val="001C1811"/>
    <w:rsid w:val="001C1940"/>
    <w:rsid w:val="001C1A93"/>
    <w:rsid w:val="001C1C35"/>
    <w:rsid w:val="001C1CA6"/>
    <w:rsid w:val="001C1CE4"/>
    <w:rsid w:val="001C2227"/>
    <w:rsid w:val="001C25B1"/>
    <w:rsid w:val="001C2682"/>
    <w:rsid w:val="001C2B0D"/>
    <w:rsid w:val="001C2FC1"/>
    <w:rsid w:val="001C357C"/>
    <w:rsid w:val="001C372E"/>
    <w:rsid w:val="001C3B86"/>
    <w:rsid w:val="001C409D"/>
    <w:rsid w:val="001C482E"/>
    <w:rsid w:val="001C48DB"/>
    <w:rsid w:val="001C4CD7"/>
    <w:rsid w:val="001C4D52"/>
    <w:rsid w:val="001C52F2"/>
    <w:rsid w:val="001C550E"/>
    <w:rsid w:val="001C5532"/>
    <w:rsid w:val="001C5594"/>
    <w:rsid w:val="001C5A0C"/>
    <w:rsid w:val="001C5AAD"/>
    <w:rsid w:val="001C5BB6"/>
    <w:rsid w:val="001C604E"/>
    <w:rsid w:val="001C62B0"/>
    <w:rsid w:val="001C6384"/>
    <w:rsid w:val="001C6540"/>
    <w:rsid w:val="001C661E"/>
    <w:rsid w:val="001C666F"/>
    <w:rsid w:val="001C6835"/>
    <w:rsid w:val="001C6BD4"/>
    <w:rsid w:val="001C78F0"/>
    <w:rsid w:val="001C7DF7"/>
    <w:rsid w:val="001C7FBA"/>
    <w:rsid w:val="001D0196"/>
    <w:rsid w:val="001D01BF"/>
    <w:rsid w:val="001D0204"/>
    <w:rsid w:val="001D05A0"/>
    <w:rsid w:val="001D0DB7"/>
    <w:rsid w:val="001D0F5B"/>
    <w:rsid w:val="001D17E6"/>
    <w:rsid w:val="001D18EA"/>
    <w:rsid w:val="001D19A7"/>
    <w:rsid w:val="001D1F8D"/>
    <w:rsid w:val="001D22FE"/>
    <w:rsid w:val="001D2479"/>
    <w:rsid w:val="001D2C6E"/>
    <w:rsid w:val="001D2E7B"/>
    <w:rsid w:val="001D31AB"/>
    <w:rsid w:val="001D3778"/>
    <w:rsid w:val="001D3893"/>
    <w:rsid w:val="001D3FA9"/>
    <w:rsid w:val="001D4061"/>
    <w:rsid w:val="001D40D2"/>
    <w:rsid w:val="001D4320"/>
    <w:rsid w:val="001D468A"/>
    <w:rsid w:val="001D4873"/>
    <w:rsid w:val="001D4EC8"/>
    <w:rsid w:val="001D507F"/>
    <w:rsid w:val="001D512D"/>
    <w:rsid w:val="001D5157"/>
    <w:rsid w:val="001D5429"/>
    <w:rsid w:val="001D5576"/>
    <w:rsid w:val="001D566F"/>
    <w:rsid w:val="001D5850"/>
    <w:rsid w:val="001D58AA"/>
    <w:rsid w:val="001D5A08"/>
    <w:rsid w:val="001D5EF8"/>
    <w:rsid w:val="001D6328"/>
    <w:rsid w:val="001D644C"/>
    <w:rsid w:val="001D645C"/>
    <w:rsid w:val="001D652C"/>
    <w:rsid w:val="001D6634"/>
    <w:rsid w:val="001D6797"/>
    <w:rsid w:val="001D691D"/>
    <w:rsid w:val="001D7215"/>
    <w:rsid w:val="001D753D"/>
    <w:rsid w:val="001D787E"/>
    <w:rsid w:val="001D7937"/>
    <w:rsid w:val="001E0349"/>
    <w:rsid w:val="001E03D5"/>
    <w:rsid w:val="001E03F9"/>
    <w:rsid w:val="001E056D"/>
    <w:rsid w:val="001E0AE3"/>
    <w:rsid w:val="001E0B56"/>
    <w:rsid w:val="001E0BA8"/>
    <w:rsid w:val="001E0CC3"/>
    <w:rsid w:val="001E0DBD"/>
    <w:rsid w:val="001E1828"/>
    <w:rsid w:val="001E185B"/>
    <w:rsid w:val="001E1A66"/>
    <w:rsid w:val="001E1E99"/>
    <w:rsid w:val="001E23E6"/>
    <w:rsid w:val="001E23E7"/>
    <w:rsid w:val="001E273E"/>
    <w:rsid w:val="001E2BAF"/>
    <w:rsid w:val="001E2C3C"/>
    <w:rsid w:val="001E2C4C"/>
    <w:rsid w:val="001E367C"/>
    <w:rsid w:val="001E3F1E"/>
    <w:rsid w:val="001E42E5"/>
    <w:rsid w:val="001E431D"/>
    <w:rsid w:val="001E454D"/>
    <w:rsid w:val="001E4761"/>
    <w:rsid w:val="001E4A6D"/>
    <w:rsid w:val="001E4ABB"/>
    <w:rsid w:val="001E4B58"/>
    <w:rsid w:val="001E4F35"/>
    <w:rsid w:val="001E5045"/>
    <w:rsid w:val="001E50AF"/>
    <w:rsid w:val="001E5432"/>
    <w:rsid w:val="001E55FF"/>
    <w:rsid w:val="001E56AA"/>
    <w:rsid w:val="001E5B33"/>
    <w:rsid w:val="001E5B91"/>
    <w:rsid w:val="001E5C00"/>
    <w:rsid w:val="001E5C20"/>
    <w:rsid w:val="001E5CA7"/>
    <w:rsid w:val="001E5E38"/>
    <w:rsid w:val="001E65EC"/>
    <w:rsid w:val="001E677B"/>
    <w:rsid w:val="001E6E61"/>
    <w:rsid w:val="001E6FC2"/>
    <w:rsid w:val="001E7060"/>
    <w:rsid w:val="001E70A1"/>
    <w:rsid w:val="001E71F3"/>
    <w:rsid w:val="001E74F8"/>
    <w:rsid w:val="001E763D"/>
    <w:rsid w:val="001E77B8"/>
    <w:rsid w:val="001F00BC"/>
    <w:rsid w:val="001F019F"/>
    <w:rsid w:val="001F069E"/>
    <w:rsid w:val="001F06E2"/>
    <w:rsid w:val="001F0B38"/>
    <w:rsid w:val="001F0FD7"/>
    <w:rsid w:val="001F141B"/>
    <w:rsid w:val="001F1BEF"/>
    <w:rsid w:val="001F1D31"/>
    <w:rsid w:val="001F1E18"/>
    <w:rsid w:val="001F26DF"/>
    <w:rsid w:val="001F2A2E"/>
    <w:rsid w:val="001F2B32"/>
    <w:rsid w:val="001F2CB5"/>
    <w:rsid w:val="001F3129"/>
    <w:rsid w:val="001F387E"/>
    <w:rsid w:val="001F3A34"/>
    <w:rsid w:val="001F3AA0"/>
    <w:rsid w:val="001F3C7F"/>
    <w:rsid w:val="001F3F00"/>
    <w:rsid w:val="001F3F1C"/>
    <w:rsid w:val="001F4219"/>
    <w:rsid w:val="001F42BE"/>
    <w:rsid w:val="001F443F"/>
    <w:rsid w:val="001F452C"/>
    <w:rsid w:val="001F46CE"/>
    <w:rsid w:val="001F496A"/>
    <w:rsid w:val="001F4BC6"/>
    <w:rsid w:val="001F566B"/>
    <w:rsid w:val="001F57F0"/>
    <w:rsid w:val="001F5915"/>
    <w:rsid w:val="001F5B23"/>
    <w:rsid w:val="001F5BE6"/>
    <w:rsid w:val="001F6858"/>
    <w:rsid w:val="001F6CB2"/>
    <w:rsid w:val="001F6CEC"/>
    <w:rsid w:val="001F6D6D"/>
    <w:rsid w:val="001F6E9A"/>
    <w:rsid w:val="001F7048"/>
    <w:rsid w:val="001F7205"/>
    <w:rsid w:val="0020016A"/>
    <w:rsid w:val="0020067B"/>
    <w:rsid w:val="0020091A"/>
    <w:rsid w:val="00200B08"/>
    <w:rsid w:val="002010A4"/>
    <w:rsid w:val="002010E6"/>
    <w:rsid w:val="00201444"/>
    <w:rsid w:val="0020149E"/>
    <w:rsid w:val="00201A3A"/>
    <w:rsid w:val="00201B10"/>
    <w:rsid w:val="002020C6"/>
    <w:rsid w:val="00202205"/>
    <w:rsid w:val="00202806"/>
    <w:rsid w:val="00202B43"/>
    <w:rsid w:val="00202E1D"/>
    <w:rsid w:val="00202E1F"/>
    <w:rsid w:val="0020334E"/>
    <w:rsid w:val="002035B9"/>
    <w:rsid w:val="0020363E"/>
    <w:rsid w:val="0020377A"/>
    <w:rsid w:val="0020394D"/>
    <w:rsid w:val="00203C8E"/>
    <w:rsid w:val="00203F3E"/>
    <w:rsid w:val="0020416B"/>
    <w:rsid w:val="00204354"/>
    <w:rsid w:val="002043B2"/>
    <w:rsid w:val="002046F4"/>
    <w:rsid w:val="002048FF"/>
    <w:rsid w:val="00204A50"/>
    <w:rsid w:val="00204D18"/>
    <w:rsid w:val="00204E3C"/>
    <w:rsid w:val="00204F94"/>
    <w:rsid w:val="00205B65"/>
    <w:rsid w:val="00205D61"/>
    <w:rsid w:val="00205FA2"/>
    <w:rsid w:val="002064E2"/>
    <w:rsid w:val="0020654D"/>
    <w:rsid w:val="002068BF"/>
    <w:rsid w:val="00207084"/>
    <w:rsid w:val="002074BF"/>
    <w:rsid w:val="002078A1"/>
    <w:rsid w:val="00207B0E"/>
    <w:rsid w:val="00207DED"/>
    <w:rsid w:val="00210109"/>
    <w:rsid w:val="002102E7"/>
    <w:rsid w:val="002105F6"/>
    <w:rsid w:val="002110D7"/>
    <w:rsid w:val="0021120F"/>
    <w:rsid w:val="00211863"/>
    <w:rsid w:val="0021186E"/>
    <w:rsid w:val="00211C2F"/>
    <w:rsid w:val="00211D31"/>
    <w:rsid w:val="00211E47"/>
    <w:rsid w:val="00212048"/>
    <w:rsid w:val="002123D5"/>
    <w:rsid w:val="00212490"/>
    <w:rsid w:val="002127C6"/>
    <w:rsid w:val="00212CBF"/>
    <w:rsid w:val="0021345F"/>
    <w:rsid w:val="002136A7"/>
    <w:rsid w:val="00213AA2"/>
    <w:rsid w:val="002141AA"/>
    <w:rsid w:val="002147BA"/>
    <w:rsid w:val="0021483D"/>
    <w:rsid w:val="00214C47"/>
    <w:rsid w:val="00214C86"/>
    <w:rsid w:val="00214EDB"/>
    <w:rsid w:val="0021534E"/>
    <w:rsid w:val="00215B87"/>
    <w:rsid w:val="0021678C"/>
    <w:rsid w:val="002177D6"/>
    <w:rsid w:val="00217850"/>
    <w:rsid w:val="00217AE9"/>
    <w:rsid w:val="00217CF9"/>
    <w:rsid w:val="00217E55"/>
    <w:rsid w:val="00220760"/>
    <w:rsid w:val="0022081D"/>
    <w:rsid w:val="00220914"/>
    <w:rsid w:val="00220DCB"/>
    <w:rsid w:val="00221347"/>
    <w:rsid w:val="00221399"/>
    <w:rsid w:val="00221586"/>
    <w:rsid w:val="0022159C"/>
    <w:rsid w:val="00221730"/>
    <w:rsid w:val="00221BF0"/>
    <w:rsid w:val="002225A3"/>
    <w:rsid w:val="00222981"/>
    <w:rsid w:val="00222C77"/>
    <w:rsid w:val="00222D4C"/>
    <w:rsid w:val="0022322E"/>
    <w:rsid w:val="0022393E"/>
    <w:rsid w:val="00223AC3"/>
    <w:rsid w:val="00223F79"/>
    <w:rsid w:val="00224282"/>
    <w:rsid w:val="00224367"/>
    <w:rsid w:val="00224723"/>
    <w:rsid w:val="002249FB"/>
    <w:rsid w:val="00224A74"/>
    <w:rsid w:val="00224CA9"/>
    <w:rsid w:val="00224E5A"/>
    <w:rsid w:val="00224EA5"/>
    <w:rsid w:val="0022515F"/>
    <w:rsid w:val="0022537F"/>
    <w:rsid w:val="002258C5"/>
    <w:rsid w:val="002258F7"/>
    <w:rsid w:val="00225B5A"/>
    <w:rsid w:val="00226055"/>
    <w:rsid w:val="00226790"/>
    <w:rsid w:val="00226AEC"/>
    <w:rsid w:val="00226C4C"/>
    <w:rsid w:val="00226CAF"/>
    <w:rsid w:val="00226E18"/>
    <w:rsid w:val="00227277"/>
    <w:rsid w:val="0022732D"/>
    <w:rsid w:val="00227754"/>
    <w:rsid w:val="0022783D"/>
    <w:rsid w:val="00227AB5"/>
    <w:rsid w:val="00227D92"/>
    <w:rsid w:val="00227F53"/>
    <w:rsid w:val="0023008C"/>
    <w:rsid w:val="00230B0B"/>
    <w:rsid w:val="00230F1B"/>
    <w:rsid w:val="00231163"/>
    <w:rsid w:val="00231679"/>
    <w:rsid w:val="00231905"/>
    <w:rsid w:val="00231BFC"/>
    <w:rsid w:val="00231D93"/>
    <w:rsid w:val="00231F6A"/>
    <w:rsid w:val="002327E7"/>
    <w:rsid w:val="002328E5"/>
    <w:rsid w:val="002329A0"/>
    <w:rsid w:val="0023304A"/>
    <w:rsid w:val="00234174"/>
    <w:rsid w:val="0023438E"/>
    <w:rsid w:val="00234448"/>
    <w:rsid w:val="002345E8"/>
    <w:rsid w:val="00234C69"/>
    <w:rsid w:val="00235101"/>
    <w:rsid w:val="002353DB"/>
    <w:rsid w:val="0023552A"/>
    <w:rsid w:val="00235533"/>
    <w:rsid w:val="0023566A"/>
    <w:rsid w:val="00235752"/>
    <w:rsid w:val="002357E8"/>
    <w:rsid w:val="00235847"/>
    <w:rsid w:val="00235919"/>
    <w:rsid w:val="00235F68"/>
    <w:rsid w:val="002360E8"/>
    <w:rsid w:val="00236EDD"/>
    <w:rsid w:val="00237615"/>
    <w:rsid w:val="002377D8"/>
    <w:rsid w:val="00237802"/>
    <w:rsid w:val="00237923"/>
    <w:rsid w:val="00237956"/>
    <w:rsid w:val="00237A8E"/>
    <w:rsid w:val="00237C3A"/>
    <w:rsid w:val="0024002E"/>
    <w:rsid w:val="002402C1"/>
    <w:rsid w:val="0024081C"/>
    <w:rsid w:val="0024084F"/>
    <w:rsid w:val="00240E4B"/>
    <w:rsid w:val="00240EFB"/>
    <w:rsid w:val="0024116B"/>
    <w:rsid w:val="00241386"/>
    <w:rsid w:val="002417B6"/>
    <w:rsid w:val="00241D04"/>
    <w:rsid w:val="0024294E"/>
    <w:rsid w:val="00242959"/>
    <w:rsid w:val="00242DF0"/>
    <w:rsid w:val="00242E3B"/>
    <w:rsid w:val="00242E77"/>
    <w:rsid w:val="002434B0"/>
    <w:rsid w:val="0024397B"/>
    <w:rsid w:val="00243998"/>
    <w:rsid w:val="00243DE7"/>
    <w:rsid w:val="00243E67"/>
    <w:rsid w:val="0024412E"/>
    <w:rsid w:val="00244672"/>
    <w:rsid w:val="00244BF6"/>
    <w:rsid w:val="00244EE7"/>
    <w:rsid w:val="0024510F"/>
    <w:rsid w:val="0024569F"/>
    <w:rsid w:val="0024586D"/>
    <w:rsid w:val="0024595C"/>
    <w:rsid w:val="00245FE8"/>
    <w:rsid w:val="00246461"/>
    <w:rsid w:val="00246468"/>
    <w:rsid w:val="0024689E"/>
    <w:rsid w:val="002468A2"/>
    <w:rsid w:val="00246D0E"/>
    <w:rsid w:val="00246F62"/>
    <w:rsid w:val="0024723B"/>
    <w:rsid w:val="0024794B"/>
    <w:rsid w:val="002479CE"/>
    <w:rsid w:val="00247ABD"/>
    <w:rsid w:val="00250166"/>
    <w:rsid w:val="00250690"/>
    <w:rsid w:val="002506EC"/>
    <w:rsid w:val="00250C97"/>
    <w:rsid w:val="0025132C"/>
    <w:rsid w:val="002514B9"/>
    <w:rsid w:val="00251A21"/>
    <w:rsid w:val="00251E14"/>
    <w:rsid w:val="00251FC2"/>
    <w:rsid w:val="00252180"/>
    <w:rsid w:val="0025226E"/>
    <w:rsid w:val="002524BB"/>
    <w:rsid w:val="0025251C"/>
    <w:rsid w:val="002525CD"/>
    <w:rsid w:val="00252968"/>
    <w:rsid w:val="00252FC6"/>
    <w:rsid w:val="00252FE0"/>
    <w:rsid w:val="002536CE"/>
    <w:rsid w:val="00253F69"/>
    <w:rsid w:val="00254227"/>
    <w:rsid w:val="0025447E"/>
    <w:rsid w:val="00254671"/>
    <w:rsid w:val="002548EC"/>
    <w:rsid w:val="00254DB7"/>
    <w:rsid w:val="002550A0"/>
    <w:rsid w:val="002556C8"/>
    <w:rsid w:val="00255AC7"/>
    <w:rsid w:val="00255C77"/>
    <w:rsid w:val="00256381"/>
    <w:rsid w:val="00256690"/>
    <w:rsid w:val="00256932"/>
    <w:rsid w:val="00256FAD"/>
    <w:rsid w:val="00257134"/>
    <w:rsid w:val="002572AB"/>
    <w:rsid w:val="0025730E"/>
    <w:rsid w:val="0025732F"/>
    <w:rsid w:val="00257456"/>
    <w:rsid w:val="0025787E"/>
    <w:rsid w:val="00257FAF"/>
    <w:rsid w:val="00260266"/>
    <w:rsid w:val="0026029A"/>
    <w:rsid w:val="00260794"/>
    <w:rsid w:val="00260949"/>
    <w:rsid w:val="00260B80"/>
    <w:rsid w:val="00260BD9"/>
    <w:rsid w:val="00260F43"/>
    <w:rsid w:val="002611EC"/>
    <w:rsid w:val="002612B1"/>
    <w:rsid w:val="002616B4"/>
    <w:rsid w:val="002617AA"/>
    <w:rsid w:val="00261B15"/>
    <w:rsid w:val="0026224E"/>
    <w:rsid w:val="0026227E"/>
    <w:rsid w:val="0026260E"/>
    <w:rsid w:val="0026266F"/>
    <w:rsid w:val="002626F2"/>
    <w:rsid w:val="00262818"/>
    <w:rsid w:val="00262B4E"/>
    <w:rsid w:val="00262CCA"/>
    <w:rsid w:val="00262DCD"/>
    <w:rsid w:val="00262F68"/>
    <w:rsid w:val="00263320"/>
    <w:rsid w:val="00263CD6"/>
    <w:rsid w:val="0026439E"/>
    <w:rsid w:val="00264825"/>
    <w:rsid w:val="00264AAE"/>
    <w:rsid w:val="00264B39"/>
    <w:rsid w:val="0026543E"/>
    <w:rsid w:val="00265D2B"/>
    <w:rsid w:val="00265E3A"/>
    <w:rsid w:val="00266480"/>
    <w:rsid w:val="00266580"/>
    <w:rsid w:val="00266B63"/>
    <w:rsid w:val="00266CE2"/>
    <w:rsid w:val="00266E1D"/>
    <w:rsid w:val="00266F02"/>
    <w:rsid w:val="00267439"/>
    <w:rsid w:val="0026789F"/>
    <w:rsid w:val="00267EAC"/>
    <w:rsid w:val="00270604"/>
    <w:rsid w:val="002709C5"/>
    <w:rsid w:val="00270D88"/>
    <w:rsid w:val="0027112A"/>
    <w:rsid w:val="00271254"/>
    <w:rsid w:val="0027156F"/>
    <w:rsid w:val="0027170F"/>
    <w:rsid w:val="00271823"/>
    <w:rsid w:val="00272066"/>
    <w:rsid w:val="00272385"/>
    <w:rsid w:val="0027290F"/>
    <w:rsid w:val="00272C96"/>
    <w:rsid w:val="0027337E"/>
    <w:rsid w:val="00273414"/>
    <w:rsid w:val="0027410C"/>
    <w:rsid w:val="0027412D"/>
    <w:rsid w:val="002747BE"/>
    <w:rsid w:val="00274857"/>
    <w:rsid w:val="00274CB7"/>
    <w:rsid w:val="00274CCC"/>
    <w:rsid w:val="00274D7B"/>
    <w:rsid w:val="00275294"/>
    <w:rsid w:val="00275300"/>
    <w:rsid w:val="002756C7"/>
    <w:rsid w:val="00275D54"/>
    <w:rsid w:val="0027635D"/>
    <w:rsid w:val="00276462"/>
    <w:rsid w:val="00276917"/>
    <w:rsid w:val="00276969"/>
    <w:rsid w:val="00276D63"/>
    <w:rsid w:val="00276DE9"/>
    <w:rsid w:val="002779AE"/>
    <w:rsid w:val="002779D6"/>
    <w:rsid w:val="00277B4F"/>
    <w:rsid w:val="00277C53"/>
    <w:rsid w:val="00277EF2"/>
    <w:rsid w:val="002808A1"/>
    <w:rsid w:val="00280AB3"/>
    <w:rsid w:val="00280CC9"/>
    <w:rsid w:val="00280D41"/>
    <w:rsid w:val="00280EC5"/>
    <w:rsid w:val="00281357"/>
    <w:rsid w:val="002816AE"/>
    <w:rsid w:val="00282249"/>
    <w:rsid w:val="002822EF"/>
    <w:rsid w:val="00282436"/>
    <w:rsid w:val="002825DA"/>
    <w:rsid w:val="00282BBB"/>
    <w:rsid w:val="00282CC7"/>
    <w:rsid w:val="00282EBB"/>
    <w:rsid w:val="00282EDF"/>
    <w:rsid w:val="0028325D"/>
    <w:rsid w:val="00283361"/>
    <w:rsid w:val="00283A93"/>
    <w:rsid w:val="00283D96"/>
    <w:rsid w:val="0028405A"/>
    <w:rsid w:val="002840A5"/>
    <w:rsid w:val="002841C7"/>
    <w:rsid w:val="00284CCD"/>
    <w:rsid w:val="002851A5"/>
    <w:rsid w:val="002851DE"/>
    <w:rsid w:val="00285D4C"/>
    <w:rsid w:val="00286991"/>
    <w:rsid w:val="00286A89"/>
    <w:rsid w:val="00286E02"/>
    <w:rsid w:val="00286F9D"/>
    <w:rsid w:val="00287939"/>
    <w:rsid w:val="00287AFD"/>
    <w:rsid w:val="00287CD6"/>
    <w:rsid w:val="00287E0C"/>
    <w:rsid w:val="002902D4"/>
    <w:rsid w:val="00290D8C"/>
    <w:rsid w:val="002913E3"/>
    <w:rsid w:val="002914D3"/>
    <w:rsid w:val="00291A3E"/>
    <w:rsid w:val="00291CA0"/>
    <w:rsid w:val="002924FE"/>
    <w:rsid w:val="00292ACF"/>
    <w:rsid w:val="00292C3D"/>
    <w:rsid w:val="00292D78"/>
    <w:rsid w:val="00292D83"/>
    <w:rsid w:val="00292E64"/>
    <w:rsid w:val="00292FBF"/>
    <w:rsid w:val="002935EE"/>
    <w:rsid w:val="00293C0F"/>
    <w:rsid w:val="00294140"/>
    <w:rsid w:val="0029450C"/>
    <w:rsid w:val="00294C88"/>
    <w:rsid w:val="002951C0"/>
    <w:rsid w:val="002951C7"/>
    <w:rsid w:val="00295569"/>
    <w:rsid w:val="002955EB"/>
    <w:rsid w:val="00295B1A"/>
    <w:rsid w:val="00295CD6"/>
    <w:rsid w:val="00295F76"/>
    <w:rsid w:val="00296AC5"/>
    <w:rsid w:val="00297577"/>
    <w:rsid w:val="00297762"/>
    <w:rsid w:val="00297A33"/>
    <w:rsid w:val="00297B90"/>
    <w:rsid w:val="002A07BF"/>
    <w:rsid w:val="002A0847"/>
    <w:rsid w:val="002A0D71"/>
    <w:rsid w:val="002A11CC"/>
    <w:rsid w:val="002A15BD"/>
    <w:rsid w:val="002A162C"/>
    <w:rsid w:val="002A1A54"/>
    <w:rsid w:val="002A1AAB"/>
    <w:rsid w:val="002A2097"/>
    <w:rsid w:val="002A2441"/>
    <w:rsid w:val="002A2C58"/>
    <w:rsid w:val="002A36D5"/>
    <w:rsid w:val="002A3C93"/>
    <w:rsid w:val="002A40BF"/>
    <w:rsid w:val="002A42DB"/>
    <w:rsid w:val="002A494D"/>
    <w:rsid w:val="002A49FB"/>
    <w:rsid w:val="002A5696"/>
    <w:rsid w:val="002A598D"/>
    <w:rsid w:val="002A5A72"/>
    <w:rsid w:val="002A5D7F"/>
    <w:rsid w:val="002A5E36"/>
    <w:rsid w:val="002A6158"/>
    <w:rsid w:val="002A6A04"/>
    <w:rsid w:val="002A6B9A"/>
    <w:rsid w:val="002A73E9"/>
    <w:rsid w:val="002A759A"/>
    <w:rsid w:val="002A7CFF"/>
    <w:rsid w:val="002B01BC"/>
    <w:rsid w:val="002B02DC"/>
    <w:rsid w:val="002B043A"/>
    <w:rsid w:val="002B0655"/>
    <w:rsid w:val="002B0916"/>
    <w:rsid w:val="002B0B36"/>
    <w:rsid w:val="002B0CB8"/>
    <w:rsid w:val="002B0CFE"/>
    <w:rsid w:val="002B0FA1"/>
    <w:rsid w:val="002B1111"/>
    <w:rsid w:val="002B16A0"/>
    <w:rsid w:val="002B1773"/>
    <w:rsid w:val="002B1A10"/>
    <w:rsid w:val="002B1CAF"/>
    <w:rsid w:val="002B238D"/>
    <w:rsid w:val="002B23BF"/>
    <w:rsid w:val="002B285C"/>
    <w:rsid w:val="002B290A"/>
    <w:rsid w:val="002B29FF"/>
    <w:rsid w:val="002B2E99"/>
    <w:rsid w:val="002B2FB2"/>
    <w:rsid w:val="002B35D5"/>
    <w:rsid w:val="002B35E5"/>
    <w:rsid w:val="002B37E9"/>
    <w:rsid w:val="002B4119"/>
    <w:rsid w:val="002B44AF"/>
    <w:rsid w:val="002B48F9"/>
    <w:rsid w:val="002B4914"/>
    <w:rsid w:val="002B4CC9"/>
    <w:rsid w:val="002B50E9"/>
    <w:rsid w:val="002B5326"/>
    <w:rsid w:val="002B5C40"/>
    <w:rsid w:val="002B5CEC"/>
    <w:rsid w:val="002B5EE2"/>
    <w:rsid w:val="002B5FA1"/>
    <w:rsid w:val="002B5FBF"/>
    <w:rsid w:val="002B6324"/>
    <w:rsid w:val="002B6E9A"/>
    <w:rsid w:val="002B70BB"/>
    <w:rsid w:val="002B71AC"/>
    <w:rsid w:val="002B7205"/>
    <w:rsid w:val="002B7552"/>
    <w:rsid w:val="002B7562"/>
    <w:rsid w:val="002B7647"/>
    <w:rsid w:val="002B78A1"/>
    <w:rsid w:val="002B7CB6"/>
    <w:rsid w:val="002C0005"/>
    <w:rsid w:val="002C0520"/>
    <w:rsid w:val="002C0E76"/>
    <w:rsid w:val="002C1090"/>
    <w:rsid w:val="002C10DA"/>
    <w:rsid w:val="002C122B"/>
    <w:rsid w:val="002C15FD"/>
    <w:rsid w:val="002C1916"/>
    <w:rsid w:val="002C1AC0"/>
    <w:rsid w:val="002C200C"/>
    <w:rsid w:val="002C20ED"/>
    <w:rsid w:val="002C2103"/>
    <w:rsid w:val="002C2719"/>
    <w:rsid w:val="002C316F"/>
    <w:rsid w:val="002C32F3"/>
    <w:rsid w:val="002C3778"/>
    <w:rsid w:val="002C393E"/>
    <w:rsid w:val="002C3B2D"/>
    <w:rsid w:val="002C3CD8"/>
    <w:rsid w:val="002C3D11"/>
    <w:rsid w:val="002C3E5F"/>
    <w:rsid w:val="002C4322"/>
    <w:rsid w:val="002C438D"/>
    <w:rsid w:val="002C4491"/>
    <w:rsid w:val="002C4689"/>
    <w:rsid w:val="002C474E"/>
    <w:rsid w:val="002C4AE9"/>
    <w:rsid w:val="002C4B29"/>
    <w:rsid w:val="002C4CD5"/>
    <w:rsid w:val="002C50CA"/>
    <w:rsid w:val="002C56D2"/>
    <w:rsid w:val="002C582D"/>
    <w:rsid w:val="002C5883"/>
    <w:rsid w:val="002C5984"/>
    <w:rsid w:val="002C5B9D"/>
    <w:rsid w:val="002C5C46"/>
    <w:rsid w:val="002C5DE1"/>
    <w:rsid w:val="002C625F"/>
    <w:rsid w:val="002C65F1"/>
    <w:rsid w:val="002C6698"/>
    <w:rsid w:val="002C69A9"/>
    <w:rsid w:val="002C6E39"/>
    <w:rsid w:val="002C702A"/>
    <w:rsid w:val="002C77EB"/>
    <w:rsid w:val="002C79C5"/>
    <w:rsid w:val="002C7CE9"/>
    <w:rsid w:val="002D0099"/>
    <w:rsid w:val="002D08F9"/>
    <w:rsid w:val="002D0D45"/>
    <w:rsid w:val="002D0E9B"/>
    <w:rsid w:val="002D1094"/>
    <w:rsid w:val="002D1263"/>
    <w:rsid w:val="002D128E"/>
    <w:rsid w:val="002D1522"/>
    <w:rsid w:val="002D194A"/>
    <w:rsid w:val="002D19F1"/>
    <w:rsid w:val="002D1CA2"/>
    <w:rsid w:val="002D1DB1"/>
    <w:rsid w:val="002D21D4"/>
    <w:rsid w:val="002D29EE"/>
    <w:rsid w:val="002D2A04"/>
    <w:rsid w:val="002D2B26"/>
    <w:rsid w:val="002D3442"/>
    <w:rsid w:val="002D3519"/>
    <w:rsid w:val="002D37CF"/>
    <w:rsid w:val="002D39FA"/>
    <w:rsid w:val="002D3F78"/>
    <w:rsid w:val="002D4B3B"/>
    <w:rsid w:val="002D4DC0"/>
    <w:rsid w:val="002D50CB"/>
    <w:rsid w:val="002D524A"/>
    <w:rsid w:val="002D5FC6"/>
    <w:rsid w:val="002D603A"/>
    <w:rsid w:val="002D60F5"/>
    <w:rsid w:val="002D6BFD"/>
    <w:rsid w:val="002D6C3A"/>
    <w:rsid w:val="002D6F96"/>
    <w:rsid w:val="002D6FD8"/>
    <w:rsid w:val="002D7577"/>
    <w:rsid w:val="002D7839"/>
    <w:rsid w:val="002D79F2"/>
    <w:rsid w:val="002D7E11"/>
    <w:rsid w:val="002E01A7"/>
    <w:rsid w:val="002E0611"/>
    <w:rsid w:val="002E0732"/>
    <w:rsid w:val="002E079B"/>
    <w:rsid w:val="002E09D3"/>
    <w:rsid w:val="002E0A24"/>
    <w:rsid w:val="002E0B51"/>
    <w:rsid w:val="002E11FF"/>
    <w:rsid w:val="002E13D9"/>
    <w:rsid w:val="002E1D50"/>
    <w:rsid w:val="002E259E"/>
    <w:rsid w:val="002E2C69"/>
    <w:rsid w:val="002E2D54"/>
    <w:rsid w:val="002E2D88"/>
    <w:rsid w:val="002E33FC"/>
    <w:rsid w:val="002E3505"/>
    <w:rsid w:val="002E38E5"/>
    <w:rsid w:val="002E3A1D"/>
    <w:rsid w:val="002E3BDF"/>
    <w:rsid w:val="002E3D60"/>
    <w:rsid w:val="002E4016"/>
    <w:rsid w:val="002E439D"/>
    <w:rsid w:val="002E43E4"/>
    <w:rsid w:val="002E473C"/>
    <w:rsid w:val="002E480E"/>
    <w:rsid w:val="002E4DD5"/>
    <w:rsid w:val="002E50DA"/>
    <w:rsid w:val="002E5937"/>
    <w:rsid w:val="002E59EC"/>
    <w:rsid w:val="002E5F2D"/>
    <w:rsid w:val="002E687C"/>
    <w:rsid w:val="002E6957"/>
    <w:rsid w:val="002E6983"/>
    <w:rsid w:val="002E6D40"/>
    <w:rsid w:val="002E7160"/>
    <w:rsid w:val="002E7553"/>
    <w:rsid w:val="002E785E"/>
    <w:rsid w:val="002E7C6D"/>
    <w:rsid w:val="002E7CF5"/>
    <w:rsid w:val="002E7E92"/>
    <w:rsid w:val="002F0096"/>
    <w:rsid w:val="002F01B0"/>
    <w:rsid w:val="002F0289"/>
    <w:rsid w:val="002F08B3"/>
    <w:rsid w:val="002F0AE6"/>
    <w:rsid w:val="002F0B2E"/>
    <w:rsid w:val="002F0B74"/>
    <w:rsid w:val="002F0BD4"/>
    <w:rsid w:val="002F0C8A"/>
    <w:rsid w:val="002F0FB5"/>
    <w:rsid w:val="002F128D"/>
    <w:rsid w:val="002F1ADF"/>
    <w:rsid w:val="002F21A7"/>
    <w:rsid w:val="002F230A"/>
    <w:rsid w:val="002F2416"/>
    <w:rsid w:val="002F2580"/>
    <w:rsid w:val="002F25C2"/>
    <w:rsid w:val="002F2612"/>
    <w:rsid w:val="002F2866"/>
    <w:rsid w:val="002F2D78"/>
    <w:rsid w:val="002F37C6"/>
    <w:rsid w:val="002F3D67"/>
    <w:rsid w:val="002F42D2"/>
    <w:rsid w:val="002F434F"/>
    <w:rsid w:val="002F45B6"/>
    <w:rsid w:val="002F4820"/>
    <w:rsid w:val="002F4A2E"/>
    <w:rsid w:val="002F4AC8"/>
    <w:rsid w:val="002F4D23"/>
    <w:rsid w:val="002F5416"/>
    <w:rsid w:val="002F59D4"/>
    <w:rsid w:val="002F5CEB"/>
    <w:rsid w:val="002F5D60"/>
    <w:rsid w:val="002F5D9E"/>
    <w:rsid w:val="002F5DB3"/>
    <w:rsid w:val="002F5DC7"/>
    <w:rsid w:val="002F6044"/>
    <w:rsid w:val="002F61D7"/>
    <w:rsid w:val="002F6238"/>
    <w:rsid w:val="002F6328"/>
    <w:rsid w:val="002F63C3"/>
    <w:rsid w:val="002F6463"/>
    <w:rsid w:val="002F69C6"/>
    <w:rsid w:val="002F703B"/>
    <w:rsid w:val="002F71B0"/>
    <w:rsid w:val="002F736F"/>
    <w:rsid w:val="002F7566"/>
    <w:rsid w:val="002F7853"/>
    <w:rsid w:val="002F7A73"/>
    <w:rsid w:val="002F7C0E"/>
    <w:rsid w:val="00300031"/>
    <w:rsid w:val="0030020D"/>
    <w:rsid w:val="0030041C"/>
    <w:rsid w:val="00300BE3"/>
    <w:rsid w:val="00300DB6"/>
    <w:rsid w:val="00301040"/>
    <w:rsid w:val="003010B7"/>
    <w:rsid w:val="00301171"/>
    <w:rsid w:val="0030135F"/>
    <w:rsid w:val="00301379"/>
    <w:rsid w:val="003013E2"/>
    <w:rsid w:val="003016C8"/>
    <w:rsid w:val="00301741"/>
    <w:rsid w:val="00301A3E"/>
    <w:rsid w:val="00301F8D"/>
    <w:rsid w:val="00302660"/>
    <w:rsid w:val="003029B1"/>
    <w:rsid w:val="00302B8C"/>
    <w:rsid w:val="00302CD7"/>
    <w:rsid w:val="00302CDE"/>
    <w:rsid w:val="00302DA3"/>
    <w:rsid w:val="00302EFB"/>
    <w:rsid w:val="00302F59"/>
    <w:rsid w:val="00302F5C"/>
    <w:rsid w:val="00303B34"/>
    <w:rsid w:val="00303D91"/>
    <w:rsid w:val="00304158"/>
    <w:rsid w:val="0030462F"/>
    <w:rsid w:val="00304EBA"/>
    <w:rsid w:val="00305BF2"/>
    <w:rsid w:val="00305D62"/>
    <w:rsid w:val="003060AC"/>
    <w:rsid w:val="003060E9"/>
    <w:rsid w:val="0030630C"/>
    <w:rsid w:val="0030639D"/>
    <w:rsid w:val="0030652A"/>
    <w:rsid w:val="00306577"/>
    <w:rsid w:val="003067FE"/>
    <w:rsid w:val="003068A7"/>
    <w:rsid w:val="00306A27"/>
    <w:rsid w:val="00306DEA"/>
    <w:rsid w:val="00307088"/>
    <w:rsid w:val="0030765B"/>
    <w:rsid w:val="00307EDF"/>
    <w:rsid w:val="003102B9"/>
    <w:rsid w:val="003105C6"/>
    <w:rsid w:val="00310640"/>
    <w:rsid w:val="00310744"/>
    <w:rsid w:val="00310FD0"/>
    <w:rsid w:val="00311BE2"/>
    <w:rsid w:val="0031211D"/>
    <w:rsid w:val="0031244A"/>
    <w:rsid w:val="0031252C"/>
    <w:rsid w:val="00312580"/>
    <w:rsid w:val="00312ED4"/>
    <w:rsid w:val="00313183"/>
    <w:rsid w:val="0031365A"/>
    <w:rsid w:val="00313878"/>
    <w:rsid w:val="00314119"/>
    <w:rsid w:val="00314303"/>
    <w:rsid w:val="00314324"/>
    <w:rsid w:val="00314375"/>
    <w:rsid w:val="0031442C"/>
    <w:rsid w:val="0031462F"/>
    <w:rsid w:val="00314716"/>
    <w:rsid w:val="003147B8"/>
    <w:rsid w:val="00314CF3"/>
    <w:rsid w:val="003150BF"/>
    <w:rsid w:val="003155AD"/>
    <w:rsid w:val="003155C6"/>
    <w:rsid w:val="0031581A"/>
    <w:rsid w:val="003159B8"/>
    <w:rsid w:val="00315ADA"/>
    <w:rsid w:val="00315D22"/>
    <w:rsid w:val="00316275"/>
    <w:rsid w:val="00316B0D"/>
    <w:rsid w:val="00316EB2"/>
    <w:rsid w:val="0031754F"/>
    <w:rsid w:val="00317C3D"/>
    <w:rsid w:val="00320092"/>
    <w:rsid w:val="003202FF"/>
    <w:rsid w:val="003207DB"/>
    <w:rsid w:val="00320B56"/>
    <w:rsid w:val="00320EA5"/>
    <w:rsid w:val="00320EF6"/>
    <w:rsid w:val="003216B9"/>
    <w:rsid w:val="003217B6"/>
    <w:rsid w:val="00322144"/>
    <w:rsid w:val="00322207"/>
    <w:rsid w:val="003226D4"/>
    <w:rsid w:val="003227F6"/>
    <w:rsid w:val="003228BF"/>
    <w:rsid w:val="00322955"/>
    <w:rsid w:val="00322D3E"/>
    <w:rsid w:val="00322E8E"/>
    <w:rsid w:val="00322FE2"/>
    <w:rsid w:val="003230A7"/>
    <w:rsid w:val="003231CE"/>
    <w:rsid w:val="003232DA"/>
    <w:rsid w:val="00323341"/>
    <w:rsid w:val="003235D2"/>
    <w:rsid w:val="00323737"/>
    <w:rsid w:val="003238EA"/>
    <w:rsid w:val="00323C74"/>
    <w:rsid w:val="00323EC1"/>
    <w:rsid w:val="003241BB"/>
    <w:rsid w:val="00324241"/>
    <w:rsid w:val="0032433C"/>
    <w:rsid w:val="0032455E"/>
    <w:rsid w:val="00324E9C"/>
    <w:rsid w:val="00324F2E"/>
    <w:rsid w:val="0032537E"/>
    <w:rsid w:val="00325856"/>
    <w:rsid w:val="00325F55"/>
    <w:rsid w:val="00326187"/>
    <w:rsid w:val="00326561"/>
    <w:rsid w:val="003265FC"/>
    <w:rsid w:val="003266FB"/>
    <w:rsid w:val="00326D8A"/>
    <w:rsid w:val="0032708B"/>
    <w:rsid w:val="003270C2"/>
    <w:rsid w:val="00327B26"/>
    <w:rsid w:val="0033093C"/>
    <w:rsid w:val="0033097E"/>
    <w:rsid w:val="00330983"/>
    <w:rsid w:val="0033180A"/>
    <w:rsid w:val="00331ACB"/>
    <w:rsid w:val="00331F00"/>
    <w:rsid w:val="0033210B"/>
    <w:rsid w:val="00332709"/>
    <w:rsid w:val="0033276A"/>
    <w:rsid w:val="00332BA8"/>
    <w:rsid w:val="00332D0E"/>
    <w:rsid w:val="00332FD1"/>
    <w:rsid w:val="003335EE"/>
    <w:rsid w:val="00333A60"/>
    <w:rsid w:val="00333A6A"/>
    <w:rsid w:val="00333BBE"/>
    <w:rsid w:val="00333F42"/>
    <w:rsid w:val="00334035"/>
    <w:rsid w:val="003340C3"/>
    <w:rsid w:val="003344D2"/>
    <w:rsid w:val="00334549"/>
    <w:rsid w:val="0033457B"/>
    <w:rsid w:val="00334777"/>
    <w:rsid w:val="00334B48"/>
    <w:rsid w:val="00334D19"/>
    <w:rsid w:val="00334D90"/>
    <w:rsid w:val="00334DAC"/>
    <w:rsid w:val="0033523D"/>
    <w:rsid w:val="0033523F"/>
    <w:rsid w:val="003353C9"/>
    <w:rsid w:val="003359B4"/>
    <w:rsid w:val="003359E4"/>
    <w:rsid w:val="00335D05"/>
    <w:rsid w:val="00335D20"/>
    <w:rsid w:val="00335F9C"/>
    <w:rsid w:val="003361C1"/>
    <w:rsid w:val="00336381"/>
    <w:rsid w:val="003366C3"/>
    <w:rsid w:val="003366C6"/>
    <w:rsid w:val="0033673B"/>
    <w:rsid w:val="00336A15"/>
    <w:rsid w:val="00336DDA"/>
    <w:rsid w:val="00337328"/>
    <w:rsid w:val="00337550"/>
    <w:rsid w:val="0033768A"/>
    <w:rsid w:val="003378C8"/>
    <w:rsid w:val="00337C98"/>
    <w:rsid w:val="00337D7D"/>
    <w:rsid w:val="00340098"/>
    <w:rsid w:val="00340B77"/>
    <w:rsid w:val="00341282"/>
    <w:rsid w:val="003412D5"/>
    <w:rsid w:val="0034207C"/>
    <w:rsid w:val="00342A77"/>
    <w:rsid w:val="00342CCF"/>
    <w:rsid w:val="0034310F"/>
    <w:rsid w:val="00343C0A"/>
    <w:rsid w:val="00343CE8"/>
    <w:rsid w:val="0034403D"/>
    <w:rsid w:val="00344387"/>
    <w:rsid w:val="00344550"/>
    <w:rsid w:val="00344721"/>
    <w:rsid w:val="0034480A"/>
    <w:rsid w:val="00344CAF"/>
    <w:rsid w:val="00344F67"/>
    <w:rsid w:val="003455C0"/>
    <w:rsid w:val="00345CBA"/>
    <w:rsid w:val="00345D2F"/>
    <w:rsid w:val="00346077"/>
    <w:rsid w:val="0034673C"/>
    <w:rsid w:val="0034675E"/>
    <w:rsid w:val="00346C09"/>
    <w:rsid w:val="003473C8"/>
    <w:rsid w:val="00347552"/>
    <w:rsid w:val="0034757D"/>
    <w:rsid w:val="0034762D"/>
    <w:rsid w:val="0034773F"/>
    <w:rsid w:val="00347A3F"/>
    <w:rsid w:val="003501B5"/>
    <w:rsid w:val="003502E9"/>
    <w:rsid w:val="003503CD"/>
    <w:rsid w:val="003503CF"/>
    <w:rsid w:val="0035070E"/>
    <w:rsid w:val="003508BA"/>
    <w:rsid w:val="003509B1"/>
    <w:rsid w:val="00351115"/>
    <w:rsid w:val="003512AE"/>
    <w:rsid w:val="0035162B"/>
    <w:rsid w:val="00351A48"/>
    <w:rsid w:val="00352197"/>
    <w:rsid w:val="00352433"/>
    <w:rsid w:val="003524C8"/>
    <w:rsid w:val="00352B98"/>
    <w:rsid w:val="00352DA7"/>
    <w:rsid w:val="0035305C"/>
    <w:rsid w:val="00353873"/>
    <w:rsid w:val="00353945"/>
    <w:rsid w:val="00353B43"/>
    <w:rsid w:val="00353B82"/>
    <w:rsid w:val="0035490D"/>
    <w:rsid w:val="0035494E"/>
    <w:rsid w:val="00354C3F"/>
    <w:rsid w:val="00354D60"/>
    <w:rsid w:val="00354E07"/>
    <w:rsid w:val="003556AF"/>
    <w:rsid w:val="003557F6"/>
    <w:rsid w:val="00355C33"/>
    <w:rsid w:val="00355E9E"/>
    <w:rsid w:val="00356270"/>
    <w:rsid w:val="0035638B"/>
    <w:rsid w:val="003563E9"/>
    <w:rsid w:val="0035648F"/>
    <w:rsid w:val="0035652C"/>
    <w:rsid w:val="003568FF"/>
    <w:rsid w:val="003569DB"/>
    <w:rsid w:val="00356B0D"/>
    <w:rsid w:val="00356D60"/>
    <w:rsid w:val="00357054"/>
    <w:rsid w:val="00357603"/>
    <w:rsid w:val="00357A4E"/>
    <w:rsid w:val="00357D40"/>
    <w:rsid w:val="003613CC"/>
    <w:rsid w:val="0036174D"/>
    <w:rsid w:val="00361C6A"/>
    <w:rsid w:val="00361FC8"/>
    <w:rsid w:val="00362012"/>
    <w:rsid w:val="003621A8"/>
    <w:rsid w:val="0036222F"/>
    <w:rsid w:val="0036265C"/>
    <w:rsid w:val="0036276E"/>
    <w:rsid w:val="003628CB"/>
    <w:rsid w:val="00362B43"/>
    <w:rsid w:val="003634F4"/>
    <w:rsid w:val="00363589"/>
    <w:rsid w:val="00363947"/>
    <w:rsid w:val="00363C5E"/>
    <w:rsid w:val="00364041"/>
    <w:rsid w:val="0036473B"/>
    <w:rsid w:val="00364B0A"/>
    <w:rsid w:val="00364B76"/>
    <w:rsid w:val="00364FC4"/>
    <w:rsid w:val="003651BB"/>
    <w:rsid w:val="003655AC"/>
    <w:rsid w:val="00365A36"/>
    <w:rsid w:val="00365D19"/>
    <w:rsid w:val="0036688E"/>
    <w:rsid w:val="00366C4A"/>
    <w:rsid w:val="00367263"/>
    <w:rsid w:val="00367576"/>
    <w:rsid w:val="003675AC"/>
    <w:rsid w:val="00367760"/>
    <w:rsid w:val="003678D3"/>
    <w:rsid w:val="00367A30"/>
    <w:rsid w:val="00367A81"/>
    <w:rsid w:val="00367D88"/>
    <w:rsid w:val="00367EE6"/>
    <w:rsid w:val="00370546"/>
    <w:rsid w:val="003709A0"/>
    <w:rsid w:val="00370A30"/>
    <w:rsid w:val="00370C10"/>
    <w:rsid w:val="00370D0D"/>
    <w:rsid w:val="00371469"/>
    <w:rsid w:val="003718DE"/>
    <w:rsid w:val="00372592"/>
    <w:rsid w:val="003727D5"/>
    <w:rsid w:val="00372C45"/>
    <w:rsid w:val="00372FF1"/>
    <w:rsid w:val="003730F7"/>
    <w:rsid w:val="00373398"/>
    <w:rsid w:val="003736A8"/>
    <w:rsid w:val="0037372D"/>
    <w:rsid w:val="003738B4"/>
    <w:rsid w:val="003739AE"/>
    <w:rsid w:val="00373E25"/>
    <w:rsid w:val="00373F2B"/>
    <w:rsid w:val="003742A5"/>
    <w:rsid w:val="0037438C"/>
    <w:rsid w:val="003744D5"/>
    <w:rsid w:val="00374A8E"/>
    <w:rsid w:val="00374EC6"/>
    <w:rsid w:val="0037505F"/>
    <w:rsid w:val="00375176"/>
    <w:rsid w:val="003752C4"/>
    <w:rsid w:val="00375865"/>
    <w:rsid w:val="00375C34"/>
    <w:rsid w:val="0037618D"/>
    <w:rsid w:val="00376401"/>
    <w:rsid w:val="003764E2"/>
    <w:rsid w:val="00376F3F"/>
    <w:rsid w:val="003773B7"/>
    <w:rsid w:val="003775B1"/>
    <w:rsid w:val="00377821"/>
    <w:rsid w:val="003805D3"/>
    <w:rsid w:val="00380B90"/>
    <w:rsid w:val="00380C98"/>
    <w:rsid w:val="00380D33"/>
    <w:rsid w:val="00381426"/>
    <w:rsid w:val="003819D7"/>
    <w:rsid w:val="00381B88"/>
    <w:rsid w:val="00381D20"/>
    <w:rsid w:val="00381E62"/>
    <w:rsid w:val="00381F34"/>
    <w:rsid w:val="00382DE1"/>
    <w:rsid w:val="00383850"/>
    <w:rsid w:val="003846C3"/>
    <w:rsid w:val="00384A19"/>
    <w:rsid w:val="00384B8D"/>
    <w:rsid w:val="00384BB3"/>
    <w:rsid w:val="00384C2F"/>
    <w:rsid w:val="00384DB8"/>
    <w:rsid w:val="00384E53"/>
    <w:rsid w:val="0038586D"/>
    <w:rsid w:val="003858E7"/>
    <w:rsid w:val="00385ADA"/>
    <w:rsid w:val="00385C19"/>
    <w:rsid w:val="00385C6F"/>
    <w:rsid w:val="00385DB1"/>
    <w:rsid w:val="003864A8"/>
    <w:rsid w:val="003869CA"/>
    <w:rsid w:val="003869DB"/>
    <w:rsid w:val="003872AA"/>
    <w:rsid w:val="00387390"/>
    <w:rsid w:val="003874F6"/>
    <w:rsid w:val="003876EA"/>
    <w:rsid w:val="003877DF"/>
    <w:rsid w:val="00387DCB"/>
    <w:rsid w:val="00387E28"/>
    <w:rsid w:val="00387F2D"/>
    <w:rsid w:val="00387FC0"/>
    <w:rsid w:val="0039016D"/>
    <w:rsid w:val="0039035A"/>
    <w:rsid w:val="00390B79"/>
    <w:rsid w:val="0039133C"/>
    <w:rsid w:val="0039152B"/>
    <w:rsid w:val="003919AB"/>
    <w:rsid w:val="00391B8B"/>
    <w:rsid w:val="00391BF2"/>
    <w:rsid w:val="00391E8C"/>
    <w:rsid w:val="00391FDD"/>
    <w:rsid w:val="00392420"/>
    <w:rsid w:val="00392743"/>
    <w:rsid w:val="003927DE"/>
    <w:rsid w:val="003927FF"/>
    <w:rsid w:val="003929B9"/>
    <w:rsid w:val="003929EC"/>
    <w:rsid w:val="00392ABB"/>
    <w:rsid w:val="00392B12"/>
    <w:rsid w:val="00392DF4"/>
    <w:rsid w:val="003939B5"/>
    <w:rsid w:val="00394124"/>
    <w:rsid w:val="0039443C"/>
    <w:rsid w:val="0039484C"/>
    <w:rsid w:val="00394F07"/>
    <w:rsid w:val="003951A1"/>
    <w:rsid w:val="003952AE"/>
    <w:rsid w:val="00395609"/>
    <w:rsid w:val="0039560A"/>
    <w:rsid w:val="00395A76"/>
    <w:rsid w:val="00395A98"/>
    <w:rsid w:val="00395C78"/>
    <w:rsid w:val="00395EFC"/>
    <w:rsid w:val="00395F07"/>
    <w:rsid w:val="00395F47"/>
    <w:rsid w:val="00396074"/>
    <w:rsid w:val="0039624D"/>
    <w:rsid w:val="0039638B"/>
    <w:rsid w:val="00396604"/>
    <w:rsid w:val="0039679E"/>
    <w:rsid w:val="0039693F"/>
    <w:rsid w:val="00396FDF"/>
    <w:rsid w:val="00397A39"/>
    <w:rsid w:val="00397AE5"/>
    <w:rsid w:val="00397B21"/>
    <w:rsid w:val="00397C1B"/>
    <w:rsid w:val="00397CD6"/>
    <w:rsid w:val="003A01FC"/>
    <w:rsid w:val="003A11DE"/>
    <w:rsid w:val="003A19E4"/>
    <w:rsid w:val="003A1C27"/>
    <w:rsid w:val="003A1C83"/>
    <w:rsid w:val="003A1FF0"/>
    <w:rsid w:val="003A2213"/>
    <w:rsid w:val="003A2399"/>
    <w:rsid w:val="003A2400"/>
    <w:rsid w:val="003A24B1"/>
    <w:rsid w:val="003A2B71"/>
    <w:rsid w:val="003A2FAA"/>
    <w:rsid w:val="003A38CA"/>
    <w:rsid w:val="003A47E2"/>
    <w:rsid w:val="003A4918"/>
    <w:rsid w:val="003A55F1"/>
    <w:rsid w:val="003A587D"/>
    <w:rsid w:val="003A5894"/>
    <w:rsid w:val="003A5930"/>
    <w:rsid w:val="003A5F23"/>
    <w:rsid w:val="003A63A7"/>
    <w:rsid w:val="003A6438"/>
    <w:rsid w:val="003A6449"/>
    <w:rsid w:val="003A7688"/>
    <w:rsid w:val="003A79E1"/>
    <w:rsid w:val="003A7B65"/>
    <w:rsid w:val="003A7DBA"/>
    <w:rsid w:val="003A7E4C"/>
    <w:rsid w:val="003A7F5F"/>
    <w:rsid w:val="003B04CD"/>
    <w:rsid w:val="003B07C9"/>
    <w:rsid w:val="003B07E4"/>
    <w:rsid w:val="003B084F"/>
    <w:rsid w:val="003B0A08"/>
    <w:rsid w:val="003B0C76"/>
    <w:rsid w:val="003B114A"/>
    <w:rsid w:val="003B11C8"/>
    <w:rsid w:val="003B143C"/>
    <w:rsid w:val="003B147A"/>
    <w:rsid w:val="003B180F"/>
    <w:rsid w:val="003B1CB7"/>
    <w:rsid w:val="003B238E"/>
    <w:rsid w:val="003B2EE3"/>
    <w:rsid w:val="003B3025"/>
    <w:rsid w:val="003B3725"/>
    <w:rsid w:val="003B384F"/>
    <w:rsid w:val="003B3967"/>
    <w:rsid w:val="003B3B47"/>
    <w:rsid w:val="003B3D63"/>
    <w:rsid w:val="003B3E01"/>
    <w:rsid w:val="003B4092"/>
    <w:rsid w:val="003B433F"/>
    <w:rsid w:val="003B43D0"/>
    <w:rsid w:val="003B43F9"/>
    <w:rsid w:val="003B45A5"/>
    <w:rsid w:val="003B5061"/>
    <w:rsid w:val="003B506C"/>
    <w:rsid w:val="003B510F"/>
    <w:rsid w:val="003B5605"/>
    <w:rsid w:val="003B5901"/>
    <w:rsid w:val="003B5C1A"/>
    <w:rsid w:val="003B5F93"/>
    <w:rsid w:val="003B60E1"/>
    <w:rsid w:val="003B6790"/>
    <w:rsid w:val="003B779E"/>
    <w:rsid w:val="003B7EB5"/>
    <w:rsid w:val="003B7F07"/>
    <w:rsid w:val="003C07D3"/>
    <w:rsid w:val="003C0A2C"/>
    <w:rsid w:val="003C0D21"/>
    <w:rsid w:val="003C1038"/>
    <w:rsid w:val="003C13BA"/>
    <w:rsid w:val="003C171D"/>
    <w:rsid w:val="003C1860"/>
    <w:rsid w:val="003C1919"/>
    <w:rsid w:val="003C1B65"/>
    <w:rsid w:val="003C1D1D"/>
    <w:rsid w:val="003C209D"/>
    <w:rsid w:val="003C215F"/>
    <w:rsid w:val="003C239F"/>
    <w:rsid w:val="003C23D5"/>
    <w:rsid w:val="003C2499"/>
    <w:rsid w:val="003C278A"/>
    <w:rsid w:val="003C27D1"/>
    <w:rsid w:val="003C28D8"/>
    <w:rsid w:val="003C2B04"/>
    <w:rsid w:val="003C31EB"/>
    <w:rsid w:val="003C3406"/>
    <w:rsid w:val="003C34C3"/>
    <w:rsid w:val="003C351E"/>
    <w:rsid w:val="003C36B0"/>
    <w:rsid w:val="003C3820"/>
    <w:rsid w:val="003C38E6"/>
    <w:rsid w:val="003C39D7"/>
    <w:rsid w:val="003C3CB7"/>
    <w:rsid w:val="003C3FC6"/>
    <w:rsid w:val="003C4002"/>
    <w:rsid w:val="003C4236"/>
    <w:rsid w:val="003C4692"/>
    <w:rsid w:val="003C4BD9"/>
    <w:rsid w:val="003C5226"/>
    <w:rsid w:val="003C539D"/>
    <w:rsid w:val="003C53AC"/>
    <w:rsid w:val="003C55F0"/>
    <w:rsid w:val="003C5651"/>
    <w:rsid w:val="003C5807"/>
    <w:rsid w:val="003C59E6"/>
    <w:rsid w:val="003C5B5D"/>
    <w:rsid w:val="003C5C14"/>
    <w:rsid w:val="003C66A2"/>
    <w:rsid w:val="003C6905"/>
    <w:rsid w:val="003C6988"/>
    <w:rsid w:val="003C737F"/>
    <w:rsid w:val="003C73FE"/>
    <w:rsid w:val="003C740B"/>
    <w:rsid w:val="003C76AC"/>
    <w:rsid w:val="003C77BB"/>
    <w:rsid w:val="003C7CBD"/>
    <w:rsid w:val="003C7E5D"/>
    <w:rsid w:val="003C7F21"/>
    <w:rsid w:val="003D00CF"/>
    <w:rsid w:val="003D0255"/>
    <w:rsid w:val="003D08DB"/>
    <w:rsid w:val="003D0B7A"/>
    <w:rsid w:val="003D150E"/>
    <w:rsid w:val="003D1592"/>
    <w:rsid w:val="003D19D9"/>
    <w:rsid w:val="003D1D95"/>
    <w:rsid w:val="003D1DCD"/>
    <w:rsid w:val="003D2684"/>
    <w:rsid w:val="003D29F0"/>
    <w:rsid w:val="003D2C56"/>
    <w:rsid w:val="003D2D73"/>
    <w:rsid w:val="003D2FDF"/>
    <w:rsid w:val="003D3453"/>
    <w:rsid w:val="003D36DB"/>
    <w:rsid w:val="003D37CD"/>
    <w:rsid w:val="003D3889"/>
    <w:rsid w:val="003D3B15"/>
    <w:rsid w:val="003D48BB"/>
    <w:rsid w:val="003D4970"/>
    <w:rsid w:val="003D4B7A"/>
    <w:rsid w:val="003D503C"/>
    <w:rsid w:val="003D50DE"/>
    <w:rsid w:val="003D51E1"/>
    <w:rsid w:val="003D5780"/>
    <w:rsid w:val="003D5947"/>
    <w:rsid w:val="003D5CCC"/>
    <w:rsid w:val="003D6108"/>
    <w:rsid w:val="003D6352"/>
    <w:rsid w:val="003D6522"/>
    <w:rsid w:val="003D6C43"/>
    <w:rsid w:val="003D6FD6"/>
    <w:rsid w:val="003D739E"/>
    <w:rsid w:val="003D76CD"/>
    <w:rsid w:val="003D77AD"/>
    <w:rsid w:val="003D7AFE"/>
    <w:rsid w:val="003D7DE8"/>
    <w:rsid w:val="003D7E9B"/>
    <w:rsid w:val="003D7FC7"/>
    <w:rsid w:val="003E03A7"/>
    <w:rsid w:val="003E064D"/>
    <w:rsid w:val="003E0FEC"/>
    <w:rsid w:val="003E140A"/>
    <w:rsid w:val="003E1566"/>
    <w:rsid w:val="003E157D"/>
    <w:rsid w:val="003E17C6"/>
    <w:rsid w:val="003E1A6B"/>
    <w:rsid w:val="003E1F99"/>
    <w:rsid w:val="003E29E0"/>
    <w:rsid w:val="003E2B58"/>
    <w:rsid w:val="003E31F7"/>
    <w:rsid w:val="003E32D8"/>
    <w:rsid w:val="003E35D4"/>
    <w:rsid w:val="003E3691"/>
    <w:rsid w:val="003E36D6"/>
    <w:rsid w:val="003E3AF6"/>
    <w:rsid w:val="003E3FD0"/>
    <w:rsid w:val="003E4772"/>
    <w:rsid w:val="003E4C6A"/>
    <w:rsid w:val="003E5014"/>
    <w:rsid w:val="003E506E"/>
    <w:rsid w:val="003E520F"/>
    <w:rsid w:val="003E52B6"/>
    <w:rsid w:val="003E5391"/>
    <w:rsid w:val="003E54AB"/>
    <w:rsid w:val="003E5633"/>
    <w:rsid w:val="003E5915"/>
    <w:rsid w:val="003E5919"/>
    <w:rsid w:val="003E5AFC"/>
    <w:rsid w:val="003E5D34"/>
    <w:rsid w:val="003E63AF"/>
    <w:rsid w:val="003E6461"/>
    <w:rsid w:val="003E6E30"/>
    <w:rsid w:val="003E7393"/>
    <w:rsid w:val="003E7537"/>
    <w:rsid w:val="003E79FE"/>
    <w:rsid w:val="003E7A39"/>
    <w:rsid w:val="003E7CE2"/>
    <w:rsid w:val="003E7FF6"/>
    <w:rsid w:val="003F009A"/>
    <w:rsid w:val="003F09EB"/>
    <w:rsid w:val="003F0CF3"/>
    <w:rsid w:val="003F0D35"/>
    <w:rsid w:val="003F1118"/>
    <w:rsid w:val="003F12C2"/>
    <w:rsid w:val="003F1893"/>
    <w:rsid w:val="003F1AB1"/>
    <w:rsid w:val="003F1BDE"/>
    <w:rsid w:val="003F1D48"/>
    <w:rsid w:val="003F1E5B"/>
    <w:rsid w:val="003F20CC"/>
    <w:rsid w:val="003F223F"/>
    <w:rsid w:val="003F25CC"/>
    <w:rsid w:val="003F2878"/>
    <w:rsid w:val="003F2AD2"/>
    <w:rsid w:val="003F2F48"/>
    <w:rsid w:val="003F3C81"/>
    <w:rsid w:val="003F41CB"/>
    <w:rsid w:val="003F41D0"/>
    <w:rsid w:val="003F427B"/>
    <w:rsid w:val="003F4E21"/>
    <w:rsid w:val="003F53B9"/>
    <w:rsid w:val="003F5493"/>
    <w:rsid w:val="003F54D2"/>
    <w:rsid w:val="003F568A"/>
    <w:rsid w:val="003F56F8"/>
    <w:rsid w:val="003F5A6B"/>
    <w:rsid w:val="003F5B6C"/>
    <w:rsid w:val="003F5BBF"/>
    <w:rsid w:val="003F5E04"/>
    <w:rsid w:val="003F5FCD"/>
    <w:rsid w:val="003F60EF"/>
    <w:rsid w:val="003F649B"/>
    <w:rsid w:val="003F6897"/>
    <w:rsid w:val="003F6A0B"/>
    <w:rsid w:val="003F6C09"/>
    <w:rsid w:val="003F731D"/>
    <w:rsid w:val="003F73AA"/>
    <w:rsid w:val="003F7BE7"/>
    <w:rsid w:val="003F7C5A"/>
    <w:rsid w:val="003F7CCB"/>
    <w:rsid w:val="00400061"/>
    <w:rsid w:val="0040080F"/>
    <w:rsid w:val="004008B0"/>
    <w:rsid w:val="00400CAB"/>
    <w:rsid w:val="00400D8B"/>
    <w:rsid w:val="00400E68"/>
    <w:rsid w:val="0040102E"/>
    <w:rsid w:val="00401CF5"/>
    <w:rsid w:val="004020F1"/>
    <w:rsid w:val="00402371"/>
    <w:rsid w:val="004023D1"/>
    <w:rsid w:val="00402699"/>
    <w:rsid w:val="004029E8"/>
    <w:rsid w:val="00402B86"/>
    <w:rsid w:val="00403AB1"/>
    <w:rsid w:val="00403B96"/>
    <w:rsid w:val="00403D0F"/>
    <w:rsid w:val="0040415B"/>
    <w:rsid w:val="00404336"/>
    <w:rsid w:val="004043ED"/>
    <w:rsid w:val="00404605"/>
    <w:rsid w:val="00405082"/>
    <w:rsid w:val="004053AF"/>
    <w:rsid w:val="004055F0"/>
    <w:rsid w:val="00405ACA"/>
    <w:rsid w:val="00405C05"/>
    <w:rsid w:val="00405E9A"/>
    <w:rsid w:val="00405F4C"/>
    <w:rsid w:val="004063B4"/>
    <w:rsid w:val="004065D7"/>
    <w:rsid w:val="00406647"/>
    <w:rsid w:val="004067CD"/>
    <w:rsid w:val="004069E8"/>
    <w:rsid w:val="00407080"/>
    <w:rsid w:val="00407281"/>
    <w:rsid w:val="00407378"/>
    <w:rsid w:val="004073C9"/>
    <w:rsid w:val="00407652"/>
    <w:rsid w:val="00407876"/>
    <w:rsid w:val="00407924"/>
    <w:rsid w:val="00407CB7"/>
    <w:rsid w:val="00411074"/>
    <w:rsid w:val="0041195F"/>
    <w:rsid w:val="00411986"/>
    <w:rsid w:val="00411AD4"/>
    <w:rsid w:val="00411D8C"/>
    <w:rsid w:val="0041229D"/>
    <w:rsid w:val="004122F5"/>
    <w:rsid w:val="00412406"/>
    <w:rsid w:val="00412B72"/>
    <w:rsid w:val="00412C78"/>
    <w:rsid w:val="00412EAC"/>
    <w:rsid w:val="0041323B"/>
    <w:rsid w:val="00413305"/>
    <w:rsid w:val="004138F3"/>
    <w:rsid w:val="00413994"/>
    <w:rsid w:val="00413AF7"/>
    <w:rsid w:val="00413B38"/>
    <w:rsid w:val="00413DF8"/>
    <w:rsid w:val="00413F01"/>
    <w:rsid w:val="00413F5A"/>
    <w:rsid w:val="004140DF"/>
    <w:rsid w:val="004144CE"/>
    <w:rsid w:val="00414F62"/>
    <w:rsid w:val="0041501F"/>
    <w:rsid w:val="004150CE"/>
    <w:rsid w:val="0041517A"/>
    <w:rsid w:val="00415C6A"/>
    <w:rsid w:val="00416111"/>
    <w:rsid w:val="004169B7"/>
    <w:rsid w:val="00416A5E"/>
    <w:rsid w:val="00416E4E"/>
    <w:rsid w:val="004175CC"/>
    <w:rsid w:val="0041768F"/>
    <w:rsid w:val="00417A20"/>
    <w:rsid w:val="00417A6D"/>
    <w:rsid w:val="00417DB9"/>
    <w:rsid w:val="00417F5F"/>
    <w:rsid w:val="00420141"/>
    <w:rsid w:val="00420301"/>
    <w:rsid w:val="00420630"/>
    <w:rsid w:val="00420774"/>
    <w:rsid w:val="00420938"/>
    <w:rsid w:val="004211CA"/>
    <w:rsid w:val="00421273"/>
    <w:rsid w:val="004217CD"/>
    <w:rsid w:val="00421EBD"/>
    <w:rsid w:val="00421F49"/>
    <w:rsid w:val="00422106"/>
    <w:rsid w:val="00422205"/>
    <w:rsid w:val="00422B75"/>
    <w:rsid w:val="00422D24"/>
    <w:rsid w:val="00423092"/>
    <w:rsid w:val="00423183"/>
    <w:rsid w:val="0042347A"/>
    <w:rsid w:val="0042371E"/>
    <w:rsid w:val="00423898"/>
    <w:rsid w:val="004238A1"/>
    <w:rsid w:val="004238A3"/>
    <w:rsid w:val="00423AA3"/>
    <w:rsid w:val="00423DF9"/>
    <w:rsid w:val="00423F20"/>
    <w:rsid w:val="0042429E"/>
    <w:rsid w:val="004243CC"/>
    <w:rsid w:val="004249E6"/>
    <w:rsid w:val="00424A59"/>
    <w:rsid w:val="00424DB7"/>
    <w:rsid w:val="00425180"/>
    <w:rsid w:val="00425406"/>
    <w:rsid w:val="00425647"/>
    <w:rsid w:val="0042592A"/>
    <w:rsid w:val="00425B7D"/>
    <w:rsid w:val="00425BBC"/>
    <w:rsid w:val="00425FAC"/>
    <w:rsid w:val="00426658"/>
    <w:rsid w:val="0042752F"/>
    <w:rsid w:val="00427829"/>
    <w:rsid w:val="00427977"/>
    <w:rsid w:val="00427D9F"/>
    <w:rsid w:val="00427F1C"/>
    <w:rsid w:val="0043006D"/>
    <w:rsid w:val="00430950"/>
    <w:rsid w:val="00430AC4"/>
    <w:rsid w:val="00430C3F"/>
    <w:rsid w:val="00431189"/>
    <w:rsid w:val="0043138B"/>
    <w:rsid w:val="00431579"/>
    <w:rsid w:val="00431913"/>
    <w:rsid w:val="00431DD9"/>
    <w:rsid w:val="004320A6"/>
    <w:rsid w:val="00432501"/>
    <w:rsid w:val="0043254D"/>
    <w:rsid w:val="0043255B"/>
    <w:rsid w:val="00432FED"/>
    <w:rsid w:val="004333DF"/>
    <w:rsid w:val="004339F0"/>
    <w:rsid w:val="00433FE2"/>
    <w:rsid w:val="00434D78"/>
    <w:rsid w:val="00434E84"/>
    <w:rsid w:val="00435660"/>
    <w:rsid w:val="00435AB8"/>
    <w:rsid w:val="00435E25"/>
    <w:rsid w:val="00436006"/>
    <w:rsid w:val="004361BF"/>
    <w:rsid w:val="00436434"/>
    <w:rsid w:val="0043673E"/>
    <w:rsid w:val="00436D33"/>
    <w:rsid w:val="00436D36"/>
    <w:rsid w:val="00436ECB"/>
    <w:rsid w:val="00437084"/>
    <w:rsid w:val="004371A0"/>
    <w:rsid w:val="004371C6"/>
    <w:rsid w:val="004373BC"/>
    <w:rsid w:val="00437804"/>
    <w:rsid w:val="0043798C"/>
    <w:rsid w:val="004379E8"/>
    <w:rsid w:val="00437B5F"/>
    <w:rsid w:val="00437C5C"/>
    <w:rsid w:val="00437EF9"/>
    <w:rsid w:val="00437F23"/>
    <w:rsid w:val="0044014D"/>
    <w:rsid w:val="0044048B"/>
    <w:rsid w:val="004405E0"/>
    <w:rsid w:val="00440A29"/>
    <w:rsid w:val="00440C40"/>
    <w:rsid w:val="004410F7"/>
    <w:rsid w:val="00441689"/>
    <w:rsid w:val="004416A8"/>
    <w:rsid w:val="0044188D"/>
    <w:rsid w:val="004418AF"/>
    <w:rsid w:val="00441F97"/>
    <w:rsid w:val="0044216C"/>
    <w:rsid w:val="004422DE"/>
    <w:rsid w:val="00442817"/>
    <w:rsid w:val="00442D7F"/>
    <w:rsid w:val="004432FA"/>
    <w:rsid w:val="0044343F"/>
    <w:rsid w:val="004436A6"/>
    <w:rsid w:val="004439B3"/>
    <w:rsid w:val="00443AED"/>
    <w:rsid w:val="00444330"/>
    <w:rsid w:val="0044478E"/>
    <w:rsid w:val="00444928"/>
    <w:rsid w:val="00444DB3"/>
    <w:rsid w:val="00444DC6"/>
    <w:rsid w:val="00444E00"/>
    <w:rsid w:val="00444F9D"/>
    <w:rsid w:val="004452B4"/>
    <w:rsid w:val="00445332"/>
    <w:rsid w:val="00445447"/>
    <w:rsid w:val="004455F6"/>
    <w:rsid w:val="00445A66"/>
    <w:rsid w:val="00445C5E"/>
    <w:rsid w:val="00445CA5"/>
    <w:rsid w:val="00445DCD"/>
    <w:rsid w:val="004461C9"/>
    <w:rsid w:val="00446286"/>
    <w:rsid w:val="00446395"/>
    <w:rsid w:val="0044642B"/>
    <w:rsid w:val="004465C0"/>
    <w:rsid w:val="00446916"/>
    <w:rsid w:val="004469E2"/>
    <w:rsid w:val="00446CBA"/>
    <w:rsid w:val="0044708A"/>
    <w:rsid w:val="00447656"/>
    <w:rsid w:val="00447961"/>
    <w:rsid w:val="00447DA3"/>
    <w:rsid w:val="00450336"/>
    <w:rsid w:val="00450974"/>
    <w:rsid w:val="00450B8B"/>
    <w:rsid w:val="00451373"/>
    <w:rsid w:val="00451655"/>
    <w:rsid w:val="00451767"/>
    <w:rsid w:val="0045177B"/>
    <w:rsid w:val="00451A98"/>
    <w:rsid w:val="00452403"/>
    <w:rsid w:val="00452556"/>
    <w:rsid w:val="004529F8"/>
    <w:rsid w:val="00452B44"/>
    <w:rsid w:val="004535BD"/>
    <w:rsid w:val="00453B41"/>
    <w:rsid w:val="00453BA2"/>
    <w:rsid w:val="00453C9E"/>
    <w:rsid w:val="00454035"/>
    <w:rsid w:val="00454585"/>
    <w:rsid w:val="00454843"/>
    <w:rsid w:val="004557E5"/>
    <w:rsid w:val="004559EB"/>
    <w:rsid w:val="00455F62"/>
    <w:rsid w:val="00456006"/>
    <w:rsid w:val="00456170"/>
    <w:rsid w:val="0045690C"/>
    <w:rsid w:val="0045705E"/>
    <w:rsid w:val="00457369"/>
    <w:rsid w:val="004574A3"/>
    <w:rsid w:val="004578CD"/>
    <w:rsid w:val="00457C38"/>
    <w:rsid w:val="00460363"/>
    <w:rsid w:val="00460F3B"/>
    <w:rsid w:val="00460FE6"/>
    <w:rsid w:val="00461247"/>
    <w:rsid w:val="004612DE"/>
    <w:rsid w:val="0046141D"/>
    <w:rsid w:val="004615BE"/>
    <w:rsid w:val="00461C94"/>
    <w:rsid w:val="00461CA9"/>
    <w:rsid w:val="00461CC1"/>
    <w:rsid w:val="00461EC5"/>
    <w:rsid w:val="00461FC2"/>
    <w:rsid w:val="00462199"/>
    <w:rsid w:val="0046223D"/>
    <w:rsid w:val="004623C7"/>
    <w:rsid w:val="00462639"/>
    <w:rsid w:val="00462DA8"/>
    <w:rsid w:val="0046371D"/>
    <w:rsid w:val="00463912"/>
    <w:rsid w:val="00463B4E"/>
    <w:rsid w:val="00463D07"/>
    <w:rsid w:val="00464074"/>
    <w:rsid w:val="0046420A"/>
    <w:rsid w:val="004644DF"/>
    <w:rsid w:val="00464B39"/>
    <w:rsid w:val="00465502"/>
    <w:rsid w:val="00465602"/>
    <w:rsid w:val="004657B7"/>
    <w:rsid w:val="0046587E"/>
    <w:rsid w:val="00465A26"/>
    <w:rsid w:val="00465A75"/>
    <w:rsid w:val="00465BFE"/>
    <w:rsid w:val="00465C74"/>
    <w:rsid w:val="0046679D"/>
    <w:rsid w:val="00466895"/>
    <w:rsid w:val="004668CB"/>
    <w:rsid w:val="004669C6"/>
    <w:rsid w:val="00466A87"/>
    <w:rsid w:val="00466E53"/>
    <w:rsid w:val="00466EC1"/>
    <w:rsid w:val="004672B5"/>
    <w:rsid w:val="00467940"/>
    <w:rsid w:val="00467D3B"/>
    <w:rsid w:val="0047058D"/>
    <w:rsid w:val="00470BC0"/>
    <w:rsid w:val="00471076"/>
    <w:rsid w:val="0047107C"/>
    <w:rsid w:val="00471A24"/>
    <w:rsid w:val="00471A6E"/>
    <w:rsid w:val="00471A95"/>
    <w:rsid w:val="00471BA7"/>
    <w:rsid w:val="00471BC5"/>
    <w:rsid w:val="00472460"/>
    <w:rsid w:val="004728A7"/>
    <w:rsid w:val="00472C94"/>
    <w:rsid w:val="004737D8"/>
    <w:rsid w:val="0047391B"/>
    <w:rsid w:val="00473F6A"/>
    <w:rsid w:val="00474006"/>
    <w:rsid w:val="004740E4"/>
    <w:rsid w:val="00474581"/>
    <w:rsid w:val="00474806"/>
    <w:rsid w:val="004749F4"/>
    <w:rsid w:val="00474ABD"/>
    <w:rsid w:val="00474DCC"/>
    <w:rsid w:val="00474F03"/>
    <w:rsid w:val="004752E5"/>
    <w:rsid w:val="0047585C"/>
    <w:rsid w:val="00475982"/>
    <w:rsid w:val="004759C9"/>
    <w:rsid w:val="00475CD0"/>
    <w:rsid w:val="00475E71"/>
    <w:rsid w:val="00476294"/>
    <w:rsid w:val="004765DE"/>
    <w:rsid w:val="00476842"/>
    <w:rsid w:val="00476CC9"/>
    <w:rsid w:val="004770FA"/>
    <w:rsid w:val="00477125"/>
    <w:rsid w:val="0047768D"/>
    <w:rsid w:val="00477793"/>
    <w:rsid w:val="00477912"/>
    <w:rsid w:val="00477935"/>
    <w:rsid w:val="00477C23"/>
    <w:rsid w:val="00477FD1"/>
    <w:rsid w:val="00480296"/>
    <w:rsid w:val="00480392"/>
    <w:rsid w:val="004805A3"/>
    <w:rsid w:val="00480663"/>
    <w:rsid w:val="00480E51"/>
    <w:rsid w:val="004816BB"/>
    <w:rsid w:val="00481D82"/>
    <w:rsid w:val="004820C3"/>
    <w:rsid w:val="0048210A"/>
    <w:rsid w:val="00482306"/>
    <w:rsid w:val="0048241E"/>
    <w:rsid w:val="00482451"/>
    <w:rsid w:val="004828A6"/>
    <w:rsid w:val="0048296C"/>
    <w:rsid w:val="00482B2F"/>
    <w:rsid w:val="00482B48"/>
    <w:rsid w:val="00482BD8"/>
    <w:rsid w:val="00482EB9"/>
    <w:rsid w:val="00482FC8"/>
    <w:rsid w:val="0048309A"/>
    <w:rsid w:val="00483301"/>
    <w:rsid w:val="004834C7"/>
    <w:rsid w:val="004839DB"/>
    <w:rsid w:val="00483BE7"/>
    <w:rsid w:val="00483E55"/>
    <w:rsid w:val="00483FED"/>
    <w:rsid w:val="0048401D"/>
    <w:rsid w:val="00484194"/>
    <w:rsid w:val="004845F3"/>
    <w:rsid w:val="00484676"/>
    <w:rsid w:val="004846BA"/>
    <w:rsid w:val="004846CC"/>
    <w:rsid w:val="004847BC"/>
    <w:rsid w:val="00484E19"/>
    <w:rsid w:val="00485137"/>
    <w:rsid w:val="0048580A"/>
    <w:rsid w:val="004858BD"/>
    <w:rsid w:val="00485BD0"/>
    <w:rsid w:val="004861C0"/>
    <w:rsid w:val="004861F2"/>
    <w:rsid w:val="004864B2"/>
    <w:rsid w:val="004865DA"/>
    <w:rsid w:val="00486830"/>
    <w:rsid w:val="004869EB"/>
    <w:rsid w:val="00486A42"/>
    <w:rsid w:val="00487171"/>
    <w:rsid w:val="004871FF"/>
    <w:rsid w:val="00487353"/>
    <w:rsid w:val="004878BA"/>
    <w:rsid w:val="0048795F"/>
    <w:rsid w:val="00487BF7"/>
    <w:rsid w:val="0049012C"/>
    <w:rsid w:val="00490133"/>
    <w:rsid w:val="00490586"/>
    <w:rsid w:val="0049064D"/>
    <w:rsid w:val="00490BB5"/>
    <w:rsid w:val="00490E78"/>
    <w:rsid w:val="004911BA"/>
    <w:rsid w:val="00491368"/>
    <w:rsid w:val="00491407"/>
    <w:rsid w:val="00491426"/>
    <w:rsid w:val="004916AF"/>
    <w:rsid w:val="004917A3"/>
    <w:rsid w:val="004918CB"/>
    <w:rsid w:val="00491BD1"/>
    <w:rsid w:val="00492453"/>
    <w:rsid w:val="00492E55"/>
    <w:rsid w:val="00492F6F"/>
    <w:rsid w:val="0049319A"/>
    <w:rsid w:val="004931CB"/>
    <w:rsid w:val="0049385D"/>
    <w:rsid w:val="00493B16"/>
    <w:rsid w:val="004940DC"/>
    <w:rsid w:val="004942C9"/>
    <w:rsid w:val="0049443D"/>
    <w:rsid w:val="004947A2"/>
    <w:rsid w:val="00494875"/>
    <w:rsid w:val="0049498B"/>
    <w:rsid w:val="00494D05"/>
    <w:rsid w:val="00495008"/>
    <w:rsid w:val="00495100"/>
    <w:rsid w:val="004961B6"/>
    <w:rsid w:val="0049635B"/>
    <w:rsid w:val="00496368"/>
    <w:rsid w:val="00496B53"/>
    <w:rsid w:val="00496F55"/>
    <w:rsid w:val="00497091"/>
    <w:rsid w:val="004973BE"/>
    <w:rsid w:val="0049758F"/>
    <w:rsid w:val="00497754"/>
    <w:rsid w:val="004978B7"/>
    <w:rsid w:val="004978C4"/>
    <w:rsid w:val="00497C5B"/>
    <w:rsid w:val="00497D18"/>
    <w:rsid w:val="00497FF1"/>
    <w:rsid w:val="004A0039"/>
    <w:rsid w:val="004A0303"/>
    <w:rsid w:val="004A0584"/>
    <w:rsid w:val="004A05D4"/>
    <w:rsid w:val="004A05EE"/>
    <w:rsid w:val="004A0BAB"/>
    <w:rsid w:val="004A1120"/>
    <w:rsid w:val="004A114D"/>
    <w:rsid w:val="004A132B"/>
    <w:rsid w:val="004A136C"/>
    <w:rsid w:val="004A14E8"/>
    <w:rsid w:val="004A173C"/>
    <w:rsid w:val="004A1B75"/>
    <w:rsid w:val="004A269D"/>
    <w:rsid w:val="004A2974"/>
    <w:rsid w:val="004A2ACD"/>
    <w:rsid w:val="004A2E94"/>
    <w:rsid w:val="004A340C"/>
    <w:rsid w:val="004A344C"/>
    <w:rsid w:val="004A400F"/>
    <w:rsid w:val="004A42DB"/>
    <w:rsid w:val="004A44AE"/>
    <w:rsid w:val="004A47D7"/>
    <w:rsid w:val="004A49EC"/>
    <w:rsid w:val="004A4DAE"/>
    <w:rsid w:val="004A535B"/>
    <w:rsid w:val="004A54A7"/>
    <w:rsid w:val="004A5525"/>
    <w:rsid w:val="004A585C"/>
    <w:rsid w:val="004A5A53"/>
    <w:rsid w:val="004A5DFD"/>
    <w:rsid w:val="004A645F"/>
    <w:rsid w:val="004A646C"/>
    <w:rsid w:val="004A64D4"/>
    <w:rsid w:val="004A66E9"/>
    <w:rsid w:val="004A671C"/>
    <w:rsid w:val="004A675F"/>
    <w:rsid w:val="004A6A08"/>
    <w:rsid w:val="004A6D2A"/>
    <w:rsid w:val="004A6DAF"/>
    <w:rsid w:val="004A6E43"/>
    <w:rsid w:val="004A720A"/>
    <w:rsid w:val="004A741B"/>
    <w:rsid w:val="004A74DC"/>
    <w:rsid w:val="004A7554"/>
    <w:rsid w:val="004A796D"/>
    <w:rsid w:val="004A7D06"/>
    <w:rsid w:val="004A7F6B"/>
    <w:rsid w:val="004B0439"/>
    <w:rsid w:val="004B0510"/>
    <w:rsid w:val="004B0A2E"/>
    <w:rsid w:val="004B0D32"/>
    <w:rsid w:val="004B0DF2"/>
    <w:rsid w:val="004B111B"/>
    <w:rsid w:val="004B1226"/>
    <w:rsid w:val="004B132A"/>
    <w:rsid w:val="004B18EB"/>
    <w:rsid w:val="004B19E3"/>
    <w:rsid w:val="004B1C6D"/>
    <w:rsid w:val="004B23D7"/>
    <w:rsid w:val="004B2A28"/>
    <w:rsid w:val="004B2DEE"/>
    <w:rsid w:val="004B2F06"/>
    <w:rsid w:val="004B3023"/>
    <w:rsid w:val="004B3117"/>
    <w:rsid w:val="004B3358"/>
    <w:rsid w:val="004B337F"/>
    <w:rsid w:val="004B35AF"/>
    <w:rsid w:val="004B3DD2"/>
    <w:rsid w:val="004B3E63"/>
    <w:rsid w:val="004B3EB0"/>
    <w:rsid w:val="004B4531"/>
    <w:rsid w:val="004B493B"/>
    <w:rsid w:val="004B4B1B"/>
    <w:rsid w:val="004B4FC1"/>
    <w:rsid w:val="004B5397"/>
    <w:rsid w:val="004B54C8"/>
    <w:rsid w:val="004B54E6"/>
    <w:rsid w:val="004B58DE"/>
    <w:rsid w:val="004B5AD8"/>
    <w:rsid w:val="004B5BAA"/>
    <w:rsid w:val="004B5D00"/>
    <w:rsid w:val="004B638E"/>
    <w:rsid w:val="004B6431"/>
    <w:rsid w:val="004B6657"/>
    <w:rsid w:val="004B67D1"/>
    <w:rsid w:val="004B6920"/>
    <w:rsid w:val="004B6A9F"/>
    <w:rsid w:val="004B6AE3"/>
    <w:rsid w:val="004B6D97"/>
    <w:rsid w:val="004B79DD"/>
    <w:rsid w:val="004B7A56"/>
    <w:rsid w:val="004B7AA5"/>
    <w:rsid w:val="004B7CD2"/>
    <w:rsid w:val="004B7E9E"/>
    <w:rsid w:val="004C0D81"/>
    <w:rsid w:val="004C0DAB"/>
    <w:rsid w:val="004C0E09"/>
    <w:rsid w:val="004C0F0C"/>
    <w:rsid w:val="004C10CB"/>
    <w:rsid w:val="004C1111"/>
    <w:rsid w:val="004C137E"/>
    <w:rsid w:val="004C1716"/>
    <w:rsid w:val="004C1A79"/>
    <w:rsid w:val="004C1AC7"/>
    <w:rsid w:val="004C20A6"/>
    <w:rsid w:val="004C20C7"/>
    <w:rsid w:val="004C2629"/>
    <w:rsid w:val="004C2DD2"/>
    <w:rsid w:val="004C2F10"/>
    <w:rsid w:val="004C34AB"/>
    <w:rsid w:val="004C4254"/>
    <w:rsid w:val="004C4A5B"/>
    <w:rsid w:val="004C51BA"/>
    <w:rsid w:val="004C59A6"/>
    <w:rsid w:val="004C5D87"/>
    <w:rsid w:val="004C5FC7"/>
    <w:rsid w:val="004C6021"/>
    <w:rsid w:val="004C66AB"/>
    <w:rsid w:val="004C679C"/>
    <w:rsid w:val="004C6812"/>
    <w:rsid w:val="004C7103"/>
    <w:rsid w:val="004C7501"/>
    <w:rsid w:val="004C7A2F"/>
    <w:rsid w:val="004C7AAF"/>
    <w:rsid w:val="004C7CB8"/>
    <w:rsid w:val="004D0358"/>
    <w:rsid w:val="004D03DA"/>
    <w:rsid w:val="004D06CC"/>
    <w:rsid w:val="004D0CD3"/>
    <w:rsid w:val="004D0E91"/>
    <w:rsid w:val="004D0EA7"/>
    <w:rsid w:val="004D138D"/>
    <w:rsid w:val="004D13B7"/>
    <w:rsid w:val="004D1986"/>
    <w:rsid w:val="004D19AB"/>
    <w:rsid w:val="004D19FC"/>
    <w:rsid w:val="004D1BA3"/>
    <w:rsid w:val="004D1C8E"/>
    <w:rsid w:val="004D1DBB"/>
    <w:rsid w:val="004D2334"/>
    <w:rsid w:val="004D24C9"/>
    <w:rsid w:val="004D2985"/>
    <w:rsid w:val="004D2B6C"/>
    <w:rsid w:val="004D2D97"/>
    <w:rsid w:val="004D3986"/>
    <w:rsid w:val="004D3D25"/>
    <w:rsid w:val="004D4563"/>
    <w:rsid w:val="004D47AF"/>
    <w:rsid w:val="004D49E9"/>
    <w:rsid w:val="004D4A18"/>
    <w:rsid w:val="004D4AD7"/>
    <w:rsid w:val="004D4B94"/>
    <w:rsid w:val="004D4E0A"/>
    <w:rsid w:val="004D50C2"/>
    <w:rsid w:val="004D5327"/>
    <w:rsid w:val="004D5A0A"/>
    <w:rsid w:val="004D5A50"/>
    <w:rsid w:val="004D5BB6"/>
    <w:rsid w:val="004D5F5B"/>
    <w:rsid w:val="004D5FDC"/>
    <w:rsid w:val="004D62B3"/>
    <w:rsid w:val="004D69B1"/>
    <w:rsid w:val="004D6AC2"/>
    <w:rsid w:val="004D6F3F"/>
    <w:rsid w:val="004D708D"/>
    <w:rsid w:val="004D71E0"/>
    <w:rsid w:val="004D7684"/>
    <w:rsid w:val="004D78BD"/>
    <w:rsid w:val="004D79D8"/>
    <w:rsid w:val="004D7EEC"/>
    <w:rsid w:val="004E043D"/>
    <w:rsid w:val="004E04F0"/>
    <w:rsid w:val="004E07DF"/>
    <w:rsid w:val="004E0A69"/>
    <w:rsid w:val="004E0B17"/>
    <w:rsid w:val="004E0C83"/>
    <w:rsid w:val="004E0ED5"/>
    <w:rsid w:val="004E1359"/>
    <w:rsid w:val="004E1538"/>
    <w:rsid w:val="004E17B9"/>
    <w:rsid w:val="004E19D4"/>
    <w:rsid w:val="004E21FF"/>
    <w:rsid w:val="004E2A77"/>
    <w:rsid w:val="004E2AD7"/>
    <w:rsid w:val="004E2E76"/>
    <w:rsid w:val="004E2F9D"/>
    <w:rsid w:val="004E31B7"/>
    <w:rsid w:val="004E3CDA"/>
    <w:rsid w:val="004E3CFF"/>
    <w:rsid w:val="004E3D0A"/>
    <w:rsid w:val="004E3D16"/>
    <w:rsid w:val="004E3E1C"/>
    <w:rsid w:val="004E3FCE"/>
    <w:rsid w:val="004E4596"/>
    <w:rsid w:val="004E4B66"/>
    <w:rsid w:val="004E4BE8"/>
    <w:rsid w:val="004E4BFD"/>
    <w:rsid w:val="004E4E30"/>
    <w:rsid w:val="004E4ED6"/>
    <w:rsid w:val="004E56B5"/>
    <w:rsid w:val="004E587B"/>
    <w:rsid w:val="004E5CFA"/>
    <w:rsid w:val="004E5ECC"/>
    <w:rsid w:val="004E657C"/>
    <w:rsid w:val="004E66A7"/>
    <w:rsid w:val="004E6AA7"/>
    <w:rsid w:val="004E6C02"/>
    <w:rsid w:val="004E6FA8"/>
    <w:rsid w:val="004E77B8"/>
    <w:rsid w:val="004E7C5D"/>
    <w:rsid w:val="004E7F53"/>
    <w:rsid w:val="004E7FE5"/>
    <w:rsid w:val="004F0060"/>
    <w:rsid w:val="004F0102"/>
    <w:rsid w:val="004F06EA"/>
    <w:rsid w:val="004F0840"/>
    <w:rsid w:val="004F0986"/>
    <w:rsid w:val="004F09EC"/>
    <w:rsid w:val="004F0E02"/>
    <w:rsid w:val="004F0F51"/>
    <w:rsid w:val="004F1203"/>
    <w:rsid w:val="004F164C"/>
    <w:rsid w:val="004F1BDC"/>
    <w:rsid w:val="004F2112"/>
    <w:rsid w:val="004F2659"/>
    <w:rsid w:val="004F2665"/>
    <w:rsid w:val="004F296A"/>
    <w:rsid w:val="004F2C5E"/>
    <w:rsid w:val="004F3719"/>
    <w:rsid w:val="004F3A59"/>
    <w:rsid w:val="004F41FE"/>
    <w:rsid w:val="004F460B"/>
    <w:rsid w:val="004F4744"/>
    <w:rsid w:val="004F4CF1"/>
    <w:rsid w:val="004F5215"/>
    <w:rsid w:val="004F53FF"/>
    <w:rsid w:val="004F56AD"/>
    <w:rsid w:val="004F5F7E"/>
    <w:rsid w:val="004F6108"/>
    <w:rsid w:val="004F7722"/>
    <w:rsid w:val="004F7AEF"/>
    <w:rsid w:val="004F7CD6"/>
    <w:rsid w:val="004F7E0A"/>
    <w:rsid w:val="004F7E52"/>
    <w:rsid w:val="00500459"/>
    <w:rsid w:val="0050103C"/>
    <w:rsid w:val="00501170"/>
    <w:rsid w:val="00501CEA"/>
    <w:rsid w:val="00502586"/>
    <w:rsid w:val="00502891"/>
    <w:rsid w:val="0050290D"/>
    <w:rsid w:val="00502948"/>
    <w:rsid w:val="00502A9C"/>
    <w:rsid w:val="00502B4A"/>
    <w:rsid w:val="00502C9F"/>
    <w:rsid w:val="00502E63"/>
    <w:rsid w:val="00503339"/>
    <w:rsid w:val="0050351B"/>
    <w:rsid w:val="00503757"/>
    <w:rsid w:val="00503DF7"/>
    <w:rsid w:val="00504018"/>
    <w:rsid w:val="00504593"/>
    <w:rsid w:val="00504881"/>
    <w:rsid w:val="00504B24"/>
    <w:rsid w:val="00505221"/>
    <w:rsid w:val="00505EC1"/>
    <w:rsid w:val="0050601B"/>
    <w:rsid w:val="00506383"/>
    <w:rsid w:val="005065A9"/>
    <w:rsid w:val="00506893"/>
    <w:rsid w:val="00506AE0"/>
    <w:rsid w:val="00506C23"/>
    <w:rsid w:val="00507141"/>
    <w:rsid w:val="00507243"/>
    <w:rsid w:val="005072FB"/>
    <w:rsid w:val="00507324"/>
    <w:rsid w:val="0050737D"/>
    <w:rsid w:val="00507428"/>
    <w:rsid w:val="00507513"/>
    <w:rsid w:val="00507646"/>
    <w:rsid w:val="00507681"/>
    <w:rsid w:val="00507C42"/>
    <w:rsid w:val="00507CDE"/>
    <w:rsid w:val="00507E8A"/>
    <w:rsid w:val="00507F5D"/>
    <w:rsid w:val="00507F89"/>
    <w:rsid w:val="0051004F"/>
    <w:rsid w:val="0051008F"/>
    <w:rsid w:val="005102CC"/>
    <w:rsid w:val="005107B7"/>
    <w:rsid w:val="00510AB9"/>
    <w:rsid w:val="00510E54"/>
    <w:rsid w:val="00510EAF"/>
    <w:rsid w:val="00510F14"/>
    <w:rsid w:val="0051195E"/>
    <w:rsid w:val="005120A5"/>
    <w:rsid w:val="005126A4"/>
    <w:rsid w:val="005127A7"/>
    <w:rsid w:val="00513118"/>
    <w:rsid w:val="0051323E"/>
    <w:rsid w:val="0051369B"/>
    <w:rsid w:val="0051380C"/>
    <w:rsid w:val="00513994"/>
    <w:rsid w:val="00513A4A"/>
    <w:rsid w:val="00513CCE"/>
    <w:rsid w:val="005148DB"/>
    <w:rsid w:val="0051557A"/>
    <w:rsid w:val="00515906"/>
    <w:rsid w:val="005160B6"/>
    <w:rsid w:val="0051639C"/>
    <w:rsid w:val="005166F0"/>
    <w:rsid w:val="00516A4A"/>
    <w:rsid w:val="00516A8F"/>
    <w:rsid w:val="00516A96"/>
    <w:rsid w:val="00516C48"/>
    <w:rsid w:val="00517088"/>
    <w:rsid w:val="005174E5"/>
    <w:rsid w:val="005179C5"/>
    <w:rsid w:val="00517D9A"/>
    <w:rsid w:val="00517FB9"/>
    <w:rsid w:val="005201B8"/>
    <w:rsid w:val="00520604"/>
    <w:rsid w:val="00520683"/>
    <w:rsid w:val="005209D6"/>
    <w:rsid w:val="00520D0F"/>
    <w:rsid w:val="00520DB6"/>
    <w:rsid w:val="00520F84"/>
    <w:rsid w:val="005211A5"/>
    <w:rsid w:val="00521218"/>
    <w:rsid w:val="005212FC"/>
    <w:rsid w:val="005217D3"/>
    <w:rsid w:val="00521A69"/>
    <w:rsid w:val="00521B68"/>
    <w:rsid w:val="00521BE0"/>
    <w:rsid w:val="00521C98"/>
    <w:rsid w:val="00521CB8"/>
    <w:rsid w:val="00521DB0"/>
    <w:rsid w:val="00521F0D"/>
    <w:rsid w:val="00522C08"/>
    <w:rsid w:val="00522DC0"/>
    <w:rsid w:val="00522FA0"/>
    <w:rsid w:val="00523558"/>
    <w:rsid w:val="005239B0"/>
    <w:rsid w:val="00523C8D"/>
    <w:rsid w:val="00523DBE"/>
    <w:rsid w:val="00523F10"/>
    <w:rsid w:val="0052434E"/>
    <w:rsid w:val="005250F5"/>
    <w:rsid w:val="0052587C"/>
    <w:rsid w:val="005258F8"/>
    <w:rsid w:val="00525957"/>
    <w:rsid w:val="00525AA9"/>
    <w:rsid w:val="00525B55"/>
    <w:rsid w:val="00525FFD"/>
    <w:rsid w:val="005262B3"/>
    <w:rsid w:val="0052732D"/>
    <w:rsid w:val="005273EE"/>
    <w:rsid w:val="0052747C"/>
    <w:rsid w:val="00527B44"/>
    <w:rsid w:val="00530254"/>
    <w:rsid w:val="0053062F"/>
    <w:rsid w:val="00530829"/>
    <w:rsid w:val="00530911"/>
    <w:rsid w:val="00530A4C"/>
    <w:rsid w:val="00530A72"/>
    <w:rsid w:val="00530AF3"/>
    <w:rsid w:val="00530CBD"/>
    <w:rsid w:val="00531058"/>
    <w:rsid w:val="005310BF"/>
    <w:rsid w:val="00531163"/>
    <w:rsid w:val="00531231"/>
    <w:rsid w:val="0053142A"/>
    <w:rsid w:val="0053187A"/>
    <w:rsid w:val="0053190E"/>
    <w:rsid w:val="005319B7"/>
    <w:rsid w:val="00531A79"/>
    <w:rsid w:val="005322F0"/>
    <w:rsid w:val="00532B2B"/>
    <w:rsid w:val="00532C6B"/>
    <w:rsid w:val="00532D14"/>
    <w:rsid w:val="00532F27"/>
    <w:rsid w:val="005331A0"/>
    <w:rsid w:val="00533A6B"/>
    <w:rsid w:val="00533EF0"/>
    <w:rsid w:val="0053410D"/>
    <w:rsid w:val="0053479B"/>
    <w:rsid w:val="00534897"/>
    <w:rsid w:val="00534C76"/>
    <w:rsid w:val="00534D92"/>
    <w:rsid w:val="00534EB9"/>
    <w:rsid w:val="00534FA5"/>
    <w:rsid w:val="005356EF"/>
    <w:rsid w:val="0053596E"/>
    <w:rsid w:val="00535D97"/>
    <w:rsid w:val="00536253"/>
    <w:rsid w:val="005363D2"/>
    <w:rsid w:val="0053658C"/>
    <w:rsid w:val="005369FD"/>
    <w:rsid w:val="00536C2D"/>
    <w:rsid w:val="00536FF1"/>
    <w:rsid w:val="0053720D"/>
    <w:rsid w:val="00537242"/>
    <w:rsid w:val="0053733C"/>
    <w:rsid w:val="0053748F"/>
    <w:rsid w:val="005374D6"/>
    <w:rsid w:val="00537552"/>
    <w:rsid w:val="00537673"/>
    <w:rsid w:val="00537A23"/>
    <w:rsid w:val="00537B48"/>
    <w:rsid w:val="00537E73"/>
    <w:rsid w:val="00540129"/>
    <w:rsid w:val="00540650"/>
    <w:rsid w:val="00540688"/>
    <w:rsid w:val="0054073B"/>
    <w:rsid w:val="00540C56"/>
    <w:rsid w:val="00540E21"/>
    <w:rsid w:val="00541F64"/>
    <w:rsid w:val="00542584"/>
    <w:rsid w:val="00542998"/>
    <w:rsid w:val="005429C3"/>
    <w:rsid w:val="00542D83"/>
    <w:rsid w:val="00542D9E"/>
    <w:rsid w:val="00543593"/>
    <w:rsid w:val="0054380B"/>
    <w:rsid w:val="00543E8A"/>
    <w:rsid w:val="00544075"/>
    <w:rsid w:val="0054441D"/>
    <w:rsid w:val="005445D8"/>
    <w:rsid w:val="00544B8E"/>
    <w:rsid w:val="00544BDF"/>
    <w:rsid w:val="00545930"/>
    <w:rsid w:val="00545941"/>
    <w:rsid w:val="00545C93"/>
    <w:rsid w:val="00545F4D"/>
    <w:rsid w:val="00546159"/>
    <w:rsid w:val="00546168"/>
    <w:rsid w:val="005461CC"/>
    <w:rsid w:val="0054644B"/>
    <w:rsid w:val="005464F0"/>
    <w:rsid w:val="005465EF"/>
    <w:rsid w:val="00546DB6"/>
    <w:rsid w:val="00546DDD"/>
    <w:rsid w:val="00546E71"/>
    <w:rsid w:val="00547D42"/>
    <w:rsid w:val="005505FB"/>
    <w:rsid w:val="00550901"/>
    <w:rsid w:val="00550BD4"/>
    <w:rsid w:val="00550D38"/>
    <w:rsid w:val="00551500"/>
    <w:rsid w:val="00551554"/>
    <w:rsid w:val="00551718"/>
    <w:rsid w:val="00551C0D"/>
    <w:rsid w:val="00551C4C"/>
    <w:rsid w:val="00551DAD"/>
    <w:rsid w:val="005520C4"/>
    <w:rsid w:val="00552114"/>
    <w:rsid w:val="00552177"/>
    <w:rsid w:val="005525A4"/>
    <w:rsid w:val="005529B8"/>
    <w:rsid w:val="005532FF"/>
    <w:rsid w:val="00553545"/>
    <w:rsid w:val="005535C9"/>
    <w:rsid w:val="0055366F"/>
    <w:rsid w:val="005536D1"/>
    <w:rsid w:val="00553E99"/>
    <w:rsid w:val="00553FBA"/>
    <w:rsid w:val="00554317"/>
    <w:rsid w:val="0055448D"/>
    <w:rsid w:val="0055478D"/>
    <w:rsid w:val="005548FD"/>
    <w:rsid w:val="005549B4"/>
    <w:rsid w:val="00554C45"/>
    <w:rsid w:val="00554ED5"/>
    <w:rsid w:val="00555141"/>
    <w:rsid w:val="005552A8"/>
    <w:rsid w:val="00555516"/>
    <w:rsid w:val="00555A62"/>
    <w:rsid w:val="00555C3B"/>
    <w:rsid w:val="00555D32"/>
    <w:rsid w:val="00555F4C"/>
    <w:rsid w:val="00556135"/>
    <w:rsid w:val="00556578"/>
    <w:rsid w:val="00556930"/>
    <w:rsid w:val="00556EA9"/>
    <w:rsid w:val="0055744C"/>
    <w:rsid w:val="0055775A"/>
    <w:rsid w:val="005577A9"/>
    <w:rsid w:val="00557900"/>
    <w:rsid w:val="0056008B"/>
    <w:rsid w:val="005600E8"/>
    <w:rsid w:val="005607D3"/>
    <w:rsid w:val="00560953"/>
    <w:rsid w:val="005609F0"/>
    <w:rsid w:val="00560A62"/>
    <w:rsid w:val="00560C91"/>
    <w:rsid w:val="00560CD7"/>
    <w:rsid w:val="0056102B"/>
    <w:rsid w:val="005611BD"/>
    <w:rsid w:val="005614CE"/>
    <w:rsid w:val="0056161B"/>
    <w:rsid w:val="00561966"/>
    <w:rsid w:val="00561CD3"/>
    <w:rsid w:val="0056203E"/>
    <w:rsid w:val="005621F5"/>
    <w:rsid w:val="0056284B"/>
    <w:rsid w:val="00562AAD"/>
    <w:rsid w:val="00562B99"/>
    <w:rsid w:val="00562D0E"/>
    <w:rsid w:val="0056302A"/>
    <w:rsid w:val="00563072"/>
    <w:rsid w:val="005635CC"/>
    <w:rsid w:val="0056360A"/>
    <w:rsid w:val="0056382A"/>
    <w:rsid w:val="00563845"/>
    <w:rsid w:val="005638D9"/>
    <w:rsid w:val="00563A23"/>
    <w:rsid w:val="00564836"/>
    <w:rsid w:val="00564892"/>
    <w:rsid w:val="00564DB3"/>
    <w:rsid w:val="005650C0"/>
    <w:rsid w:val="005651F9"/>
    <w:rsid w:val="00565329"/>
    <w:rsid w:val="00565AF3"/>
    <w:rsid w:val="00565E28"/>
    <w:rsid w:val="00565E7E"/>
    <w:rsid w:val="00566045"/>
    <w:rsid w:val="00566085"/>
    <w:rsid w:val="00566372"/>
    <w:rsid w:val="0056680E"/>
    <w:rsid w:val="00566BAF"/>
    <w:rsid w:val="00566CB7"/>
    <w:rsid w:val="005670A2"/>
    <w:rsid w:val="005670BD"/>
    <w:rsid w:val="00567485"/>
    <w:rsid w:val="005674BE"/>
    <w:rsid w:val="0056778A"/>
    <w:rsid w:val="005677A7"/>
    <w:rsid w:val="0056785C"/>
    <w:rsid w:val="00567983"/>
    <w:rsid w:val="00567B96"/>
    <w:rsid w:val="00567BA9"/>
    <w:rsid w:val="00567C8C"/>
    <w:rsid w:val="00567CB2"/>
    <w:rsid w:val="005703D7"/>
    <w:rsid w:val="00570429"/>
    <w:rsid w:val="00570449"/>
    <w:rsid w:val="00570470"/>
    <w:rsid w:val="005709FC"/>
    <w:rsid w:val="00570E33"/>
    <w:rsid w:val="00571A20"/>
    <w:rsid w:val="00571CCF"/>
    <w:rsid w:val="00571DD2"/>
    <w:rsid w:val="005721C1"/>
    <w:rsid w:val="00572236"/>
    <w:rsid w:val="00572544"/>
    <w:rsid w:val="005726BB"/>
    <w:rsid w:val="00572C2D"/>
    <w:rsid w:val="00572C8F"/>
    <w:rsid w:val="00573289"/>
    <w:rsid w:val="005734CF"/>
    <w:rsid w:val="00573693"/>
    <w:rsid w:val="005736BF"/>
    <w:rsid w:val="005737AE"/>
    <w:rsid w:val="005737D3"/>
    <w:rsid w:val="00573CB1"/>
    <w:rsid w:val="00573CC2"/>
    <w:rsid w:val="00573E77"/>
    <w:rsid w:val="0057466E"/>
    <w:rsid w:val="005748A2"/>
    <w:rsid w:val="005748EC"/>
    <w:rsid w:val="00574E54"/>
    <w:rsid w:val="00574F37"/>
    <w:rsid w:val="005753A7"/>
    <w:rsid w:val="005753BE"/>
    <w:rsid w:val="00575557"/>
    <w:rsid w:val="00575729"/>
    <w:rsid w:val="0057599C"/>
    <w:rsid w:val="00575B65"/>
    <w:rsid w:val="00575C73"/>
    <w:rsid w:val="00575F76"/>
    <w:rsid w:val="00576854"/>
    <w:rsid w:val="005768E3"/>
    <w:rsid w:val="005769A8"/>
    <w:rsid w:val="00576D4F"/>
    <w:rsid w:val="00576D8B"/>
    <w:rsid w:val="0057709C"/>
    <w:rsid w:val="00577B37"/>
    <w:rsid w:val="00577CEA"/>
    <w:rsid w:val="00577E36"/>
    <w:rsid w:val="00577E3E"/>
    <w:rsid w:val="0058068D"/>
    <w:rsid w:val="005809BE"/>
    <w:rsid w:val="00581187"/>
    <w:rsid w:val="005814E8"/>
    <w:rsid w:val="005815D0"/>
    <w:rsid w:val="0058234C"/>
    <w:rsid w:val="005828E5"/>
    <w:rsid w:val="00582C2C"/>
    <w:rsid w:val="00582C44"/>
    <w:rsid w:val="00582D96"/>
    <w:rsid w:val="00582EE2"/>
    <w:rsid w:val="005830DC"/>
    <w:rsid w:val="0058324E"/>
    <w:rsid w:val="0058355A"/>
    <w:rsid w:val="00583834"/>
    <w:rsid w:val="005838CA"/>
    <w:rsid w:val="0058406F"/>
    <w:rsid w:val="00584D45"/>
    <w:rsid w:val="00584D93"/>
    <w:rsid w:val="00584EA6"/>
    <w:rsid w:val="00585303"/>
    <w:rsid w:val="005859D1"/>
    <w:rsid w:val="005864B2"/>
    <w:rsid w:val="00586555"/>
    <w:rsid w:val="00586654"/>
    <w:rsid w:val="005867F1"/>
    <w:rsid w:val="0058680B"/>
    <w:rsid w:val="00586E2E"/>
    <w:rsid w:val="00586ED7"/>
    <w:rsid w:val="00586F2F"/>
    <w:rsid w:val="00587175"/>
    <w:rsid w:val="00587B88"/>
    <w:rsid w:val="00587DA9"/>
    <w:rsid w:val="00587F0E"/>
    <w:rsid w:val="0059091B"/>
    <w:rsid w:val="00590BA4"/>
    <w:rsid w:val="00590F3D"/>
    <w:rsid w:val="005910D9"/>
    <w:rsid w:val="005919C7"/>
    <w:rsid w:val="00591EBD"/>
    <w:rsid w:val="0059216B"/>
    <w:rsid w:val="005923FB"/>
    <w:rsid w:val="005925E7"/>
    <w:rsid w:val="00592EA2"/>
    <w:rsid w:val="0059305B"/>
    <w:rsid w:val="00593154"/>
    <w:rsid w:val="005932E9"/>
    <w:rsid w:val="00593572"/>
    <w:rsid w:val="00593A80"/>
    <w:rsid w:val="00593B1B"/>
    <w:rsid w:val="00593B72"/>
    <w:rsid w:val="00593BC7"/>
    <w:rsid w:val="00593CC3"/>
    <w:rsid w:val="00594016"/>
    <w:rsid w:val="00594065"/>
    <w:rsid w:val="0059409C"/>
    <w:rsid w:val="005940BD"/>
    <w:rsid w:val="0059429E"/>
    <w:rsid w:val="00594391"/>
    <w:rsid w:val="005944AC"/>
    <w:rsid w:val="00594619"/>
    <w:rsid w:val="0059502F"/>
    <w:rsid w:val="00595319"/>
    <w:rsid w:val="0059564B"/>
    <w:rsid w:val="0059575F"/>
    <w:rsid w:val="00595B3D"/>
    <w:rsid w:val="00595D06"/>
    <w:rsid w:val="005963F8"/>
    <w:rsid w:val="00596FEB"/>
    <w:rsid w:val="00597099"/>
    <w:rsid w:val="0059739B"/>
    <w:rsid w:val="005A01C9"/>
    <w:rsid w:val="005A0260"/>
    <w:rsid w:val="005A05DC"/>
    <w:rsid w:val="005A0665"/>
    <w:rsid w:val="005A06E8"/>
    <w:rsid w:val="005A077C"/>
    <w:rsid w:val="005A07B9"/>
    <w:rsid w:val="005A0A46"/>
    <w:rsid w:val="005A0AB8"/>
    <w:rsid w:val="005A0CA7"/>
    <w:rsid w:val="005A0D5A"/>
    <w:rsid w:val="005A0E5C"/>
    <w:rsid w:val="005A14D5"/>
    <w:rsid w:val="005A19E2"/>
    <w:rsid w:val="005A1D03"/>
    <w:rsid w:val="005A1D9E"/>
    <w:rsid w:val="005A1E8D"/>
    <w:rsid w:val="005A2017"/>
    <w:rsid w:val="005A243C"/>
    <w:rsid w:val="005A24D5"/>
    <w:rsid w:val="005A28B7"/>
    <w:rsid w:val="005A2927"/>
    <w:rsid w:val="005A2F91"/>
    <w:rsid w:val="005A398C"/>
    <w:rsid w:val="005A3A53"/>
    <w:rsid w:val="005A3F9A"/>
    <w:rsid w:val="005A419B"/>
    <w:rsid w:val="005A4251"/>
    <w:rsid w:val="005A4555"/>
    <w:rsid w:val="005A4DC6"/>
    <w:rsid w:val="005A4FC2"/>
    <w:rsid w:val="005A53BE"/>
    <w:rsid w:val="005A5516"/>
    <w:rsid w:val="005A57F7"/>
    <w:rsid w:val="005A58C4"/>
    <w:rsid w:val="005A5CE4"/>
    <w:rsid w:val="005A608C"/>
    <w:rsid w:val="005A6217"/>
    <w:rsid w:val="005A64CB"/>
    <w:rsid w:val="005A65C5"/>
    <w:rsid w:val="005A6A71"/>
    <w:rsid w:val="005A6C1F"/>
    <w:rsid w:val="005A72D4"/>
    <w:rsid w:val="005A784B"/>
    <w:rsid w:val="005A7B8D"/>
    <w:rsid w:val="005A7BE2"/>
    <w:rsid w:val="005B1145"/>
    <w:rsid w:val="005B12A1"/>
    <w:rsid w:val="005B1438"/>
    <w:rsid w:val="005B14E1"/>
    <w:rsid w:val="005B164B"/>
    <w:rsid w:val="005B1865"/>
    <w:rsid w:val="005B1B6D"/>
    <w:rsid w:val="005B1BF2"/>
    <w:rsid w:val="005B1C13"/>
    <w:rsid w:val="005B1D99"/>
    <w:rsid w:val="005B209C"/>
    <w:rsid w:val="005B20B1"/>
    <w:rsid w:val="005B222D"/>
    <w:rsid w:val="005B2421"/>
    <w:rsid w:val="005B2B9B"/>
    <w:rsid w:val="005B2BA4"/>
    <w:rsid w:val="005B2BFA"/>
    <w:rsid w:val="005B2D4A"/>
    <w:rsid w:val="005B313C"/>
    <w:rsid w:val="005B3CFF"/>
    <w:rsid w:val="005B3D26"/>
    <w:rsid w:val="005B41BF"/>
    <w:rsid w:val="005B44B5"/>
    <w:rsid w:val="005B452D"/>
    <w:rsid w:val="005B48C0"/>
    <w:rsid w:val="005B4A2E"/>
    <w:rsid w:val="005B4D09"/>
    <w:rsid w:val="005B52EA"/>
    <w:rsid w:val="005B58C4"/>
    <w:rsid w:val="005B5B88"/>
    <w:rsid w:val="005B5DC0"/>
    <w:rsid w:val="005B60F9"/>
    <w:rsid w:val="005B63FC"/>
    <w:rsid w:val="005B6847"/>
    <w:rsid w:val="005B6C86"/>
    <w:rsid w:val="005B6F00"/>
    <w:rsid w:val="005B7145"/>
    <w:rsid w:val="005B7271"/>
    <w:rsid w:val="005B742D"/>
    <w:rsid w:val="005B7A45"/>
    <w:rsid w:val="005B7BAD"/>
    <w:rsid w:val="005C005B"/>
    <w:rsid w:val="005C012E"/>
    <w:rsid w:val="005C03DD"/>
    <w:rsid w:val="005C0585"/>
    <w:rsid w:val="005C05AA"/>
    <w:rsid w:val="005C06B7"/>
    <w:rsid w:val="005C0E9C"/>
    <w:rsid w:val="005C0F03"/>
    <w:rsid w:val="005C10E2"/>
    <w:rsid w:val="005C12AC"/>
    <w:rsid w:val="005C18BE"/>
    <w:rsid w:val="005C1A45"/>
    <w:rsid w:val="005C1BBA"/>
    <w:rsid w:val="005C1C82"/>
    <w:rsid w:val="005C1E2F"/>
    <w:rsid w:val="005C20A6"/>
    <w:rsid w:val="005C24B3"/>
    <w:rsid w:val="005C2628"/>
    <w:rsid w:val="005C2654"/>
    <w:rsid w:val="005C29E7"/>
    <w:rsid w:val="005C3006"/>
    <w:rsid w:val="005C327F"/>
    <w:rsid w:val="005C33C2"/>
    <w:rsid w:val="005C33FE"/>
    <w:rsid w:val="005C34F8"/>
    <w:rsid w:val="005C38BB"/>
    <w:rsid w:val="005C38E5"/>
    <w:rsid w:val="005C3D64"/>
    <w:rsid w:val="005C3F2B"/>
    <w:rsid w:val="005C440D"/>
    <w:rsid w:val="005C520F"/>
    <w:rsid w:val="005C56B8"/>
    <w:rsid w:val="005C56BA"/>
    <w:rsid w:val="005C58D3"/>
    <w:rsid w:val="005C5E78"/>
    <w:rsid w:val="005C6214"/>
    <w:rsid w:val="005C635E"/>
    <w:rsid w:val="005C684A"/>
    <w:rsid w:val="005C6A80"/>
    <w:rsid w:val="005C6F07"/>
    <w:rsid w:val="005C6F90"/>
    <w:rsid w:val="005C7442"/>
    <w:rsid w:val="005C762E"/>
    <w:rsid w:val="005C76B2"/>
    <w:rsid w:val="005C7813"/>
    <w:rsid w:val="005C79FB"/>
    <w:rsid w:val="005C7E75"/>
    <w:rsid w:val="005C7F45"/>
    <w:rsid w:val="005D008F"/>
    <w:rsid w:val="005D031A"/>
    <w:rsid w:val="005D03B6"/>
    <w:rsid w:val="005D0AF9"/>
    <w:rsid w:val="005D0C59"/>
    <w:rsid w:val="005D13D4"/>
    <w:rsid w:val="005D1771"/>
    <w:rsid w:val="005D17BC"/>
    <w:rsid w:val="005D18FF"/>
    <w:rsid w:val="005D1B24"/>
    <w:rsid w:val="005D1F63"/>
    <w:rsid w:val="005D2162"/>
    <w:rsid w:val="005D2323"/>
    <w:rsid w:val="005D246D"/>
    <w:rsid w:val="005D2614"/>
    <w:rsid w:val="005D27A4"/>
    <w:rsid w:val="005D2A7B"/>
    <w:rsid w:val="005D2DE6"/>
    <w:rsid w:val="005D318E"/>
    <w:rsid w:val="005D31C1"/>
    <w:rsid w:val="005D33E9"/>
    <w:rsid w:val="005D37B6"/>
    <w:rsid w:val="005D3D69"/>
    <w:rsid w:val="005D3E76"/>
    <w:rsid w:val="005D4059"/>
    <w:rsid w:val="005D4295"/>
    <w:rsid w:val="005D46E1"/>
    <w:rsid w:val="005D48A0"/>
    <w:rsid w:val="005D4CFE"/>
    <w:rsid w:val="005D4D40"/>
    <w:rsid w:val="005D502B"/>
    <w:rsid w:val="005D5214"/>
    <w:rsid w:val="005D537F"/>
    <w:rsid w:val="005D5496"/>
    <w:rsid w:val="005D5519"/>
    <w:rsid w:val="005D55BB"/>
    <w:rsid w:val="005D5645"/>
    <w:rsid w:val="005D598A"/>
    <w:rsid w:val="005D5DDF"/>
    <w:rsid w:val="005D6119"/>
    <w:rsid w:val="005D65E9"/>
    <w:rsid w:val="005D66B4"/>
    <w:rsid w:val="005D66E6"/>
    <w:rsid w:val="005D6AAA"/>
    <w:rsid w:val="005D6CA6"/>
    <w:rsid w:val="005D6DEA"/>
    <w:rsid w:val="005D6F4A"/>
    <w:rsid w:val="005D6F7D"/>
    <w:rsid w:val="005D702B"/>
    <w:rsid w:val="005D775D"/>
    <w:rsid w:val="005D799D"/>
    <w:rsid w:val="005D7A10"/>
    <w:rsid w:val="005D7A17"/>
    <w:rsid w:val="005D7AE2"/>
    <w:rsid w:val="005E02CD"/>
    <w:rsid w:val="005E02E7"/>
    <w:rsid w:val="005E0DB9"/>
    <w:rsid w:val="005E0FD6"/>
    <w:rsid w:val="005E1233"/>
    <w:rsid w:val="005E132C"/>
    <w:rsid w:val="005E13B7"/>
    <w:rsid w:val="005E161D"/>
    <w:rsid w:val="005E1CD1"/>
    <w:rsid w:val="005E1D38"/>
    <w:rsid w:val="005E212C"/>
    <w:rsid w:val="005E2314"/>
    <w:rsid w:val="005E23D3"/>
    <w:rsid w:val="005E249A"/>
    <w:rsid w:val="005E27AA"/>
    <w:rsid w:val="005E2FA8"/>
    <w:rsid w:val="005E3F1A"/>
    <w:rsid w:val="005E3F22"/>
    <w:rsid w:val="005E436F"/>
    <w:rsid w:val="005E4845"/>
    <w:rsid w:val="005E4B1C"/>
    <w:rsid w:val="005E5328"/>
    <w:rsid w:val="005E5523"/>
    <w:rsid w:val="005E56B4"/>
    <w:rsid w:val="005E5826"/>
    <w:rsid w:val="005E5BB6"/>
    <w:rsid w:val="005E5F4C"/>
    <w:rsid w:val="005E63C1"/>
    <w:rsid w:val="005E6753"/>
    <w:rsid w:val="005E6A0D"/>
    <w:rsid w:val="005E6D56"/>
    <w:rsid w:val="005E6ED4"/>
    <w:rsid w:val="005E7268"/>
    <w:rsid w:val="005E73CA"/>
    <w:rsid w:val="005E774A"/>
    <w:rsid w:val="005E7BDD"/>
    <w:rsid w:val="005E7D16"/>
    <w:rsid w:val="005E7DCA"/>
    <w:rsid w:val="005E7F18"/>
    <w:rsid w:val="005F00FB"/>
    <w:rsid w:val="005F03B5"/>
    <w:rsid w:val="005F0AEF"/>
    <w:rsid w:val="005F0CDA"/>
    <w:rsid w:val="005F0F11"/>
    <w:rsid w:val="005F0FA0"/>
    <w:rsid w:val="005F1089"/>
    <w:rsid w:val="005F12FD"/>
    <w:rsid w:val="005F149D"/>
    <w:rsid w:val="005F16A0"/>
    <w:rsid w:val="005F195C"/>
    <w:rsid w:val="005F19B4"/>
    <w:rsid w:val="005F1B9A"/>
    <w:rsid w:val="005F1C7B"/>
    <w:rsid w:val="005F1C7E"/>
    <w:rsid w:val="005F1FEE"/>
    <w:rsid w:val="005F2A0F"/>
    <w:rsid w:val="005F2DFB"/>
    <w:rsid w:val="005F2EB9"/>
    <w:rsid w:val="005F348D"/>
    <w:rsid w:val="005F44DB"/>
    <w:rsid w:val="005F48B2"/>
    <w:rsid w:val="005F49E5"/>
    <w:rsid w:val="005F4FF2"/>
    <w:rsid w:val="005F5362"/>
    <w:rsid w:val="005F5419"/>
    <w:rsid w:val="005F55D3"/>
    <w:rsid w:val="005F57C8"/>
    <w:rsid w:val="005F5832"/>
    <w:rsid w:val="005F599A"/>
    <w:rsid w:val="005F59AF"/>
    <w:rsid w:val="005F5A6F"/>
    <w:rsid w:val="005F5B7F"/>
    <w:rsid w:val="005F5D36"/>
    <w:rsid w:val="005F5E57"/>
    <w:rsid w:val="005F5E69"/>
    <w:rsid w:val="005F5FBB"/>
    <w:rsid w:val="005F5FFC"/>
    <w:rsid w:val="005F600C"/>
    <w:rsid w:val="005F6018"/>
    <w:rsid w:val="005F64FB"/>
    <w:rsid w:val="005F695D"/>
    <w:rsid w:val="005F6A34"/>
    <w:rsid w:val="005F6BD8"/>
    <w:rsid w:val="005F6CEB"/>
    <w:rsid w:val="005F6EFB"/>
    <w:rsid w:val="005F7013"/>
    <w:rsid w:val="005F76AA"/>
    <w:rsid w:val="005F77B9"/>
    <w:rsid w:val="00600340"/>
    <w:rsid w:val="006004BE"/>
    <w:rsid w:val="00600B5A"/>
    <w:rsid w:val="0060122F"/>
    <w:rsid w:val="00601312"/>
    <w:rsid w:val="006016F3"/>
    <w:rsid w:val="00602255"/>
    <w:rsid w:val="00603042"/>
    <w:rsid w:val="00603219"/>
    <w:rsid w:val="00603835"/>
    <w:rsid w:val="00603860"/>
    <w:rsid w:val="006038FF"/>
    <w:rsid w:val="006042EA"/>
    <w:rsid w:val="006044B1"/>
    <w:rsid w:val="00604C9F"/>
    <w:rsid w:val="00605559"/>
    <w:rsid w:val="00605C3E"/>
    <w:rsid w:val="00606059"/>
    <w:rsid w:val="00606165"/>
    <w:rsid w:val="006061F7"/>
    <w:rsid w:val="006062A0"/>
    <w:rsid w:val="006066ED"/>
    <w:rsid w:val="00606BC8"/>
    <w:rsid w:val="00606BE2"/>
    <w:rsid w:val="00606F99"/>
    <w:rsid w:val="006072B8"/>
    <w:rsid w:val="0060735A"/>
    <w:rsid w:val="00607373"/>
    <w:rsid w:val="006073A2"/>
    <w:rsid w:val="006073F4"/>
    <w:rsid w:val="0060749E"/>
    <w:rsid w:val="00607A2E"/>
    <w:rsid w:val="006101CE"/>
    <w:rsid w:val="00610273"/>
    <w:rsid w:val="006102BD"/>
    <w:rsid w:val="00610B4E"/>
    <w:rsid w:val="00610E3D"/>
    <w:rsid w:val="00610F12"/>
    <w:rsid w:val="00611B8F"/>
    <w:rsid w:val="00612613"/>
    <w:rsid w:val="00612EB1"/>
    <w:rsid w:val="00613014"/>
    <w:rsid w:val="0061331D"/>
    <w:rsid w:val="0061337F"/>
    <w:rsid w:val="006134EB"/>
    <w:rsid w:val="006138C6"/>
    <w:rsid w:val="006138F6"/>
    <w:rsid w:val="00613D2D"/>
    <w:rsid w:val="00613DAE"/>
    <w:rsid w:val="00613F15"/>
    <w:rsid w:val="00613F3A"/>
    <w:rsid w:val="006143D5"/>
    <w:rsid w:val="00614A54"/>
    <w:rsid w:val="00614B2C"/>
    <w:rsid w:val="00614E2F"/>
    <w:rsid w:val="00615076"/>
    <w:rsid w:val="006152B4"/>
    <w:rsid w:val="006154F7"/>
    <w:rsid w:val="006155A8"/>
    <w:rsid w:val="0061560B"/>
    <w:rsid w:val="006156CC"/>
    <w:rsid w:val="00615817"/>
    <w:rsid w:val="00615EAB"/>
    <w:rsid w:val="006167B9"/>
    <w:rsid w:val="00616F83"/>
    <w:rsid w:val="006170FA"/>
    <w:rsid w:val="0061772F"/>
    <w:rsid w:val="00617846"/>
    <w:rsid w:val="00617C26"/>
    <w:rsid w:val="00620118"/>
    <w:rsid w:val="00620210"/>
    <w:rsid w:val="0062093F"/>
    <w:rsid w:val="00620ADB"/>
    <w:rsid w:val="00620CF0"/>
    <w:rsid w:val="0062139F"/>
    <w:rsid w:val="006217D0"/>
    <w:rsid w:val="00621888"/>
    <w:rsid w:val="00621B02"/>
    <w:rsid w:val="00622209"/>
    <w:rsid w:val="006224E7"/>
    <w:rsid w:val="00622665"/>
    <w:rsid w:val="006227F0"/>
    <w:rsid w:val="006228BD"/>
    <w:rsid w:val="00622AC6"/>
    <w:rsid w:val="00622B6F"/>
    <w:rsid w:val="0062314A"/>
    <w:rsid w:val="00623242"/>
    <w:rsid w:val="0062331F"/>
    <w:rsid w:val="00623718"/>
    <w:rsid w:val="006237C1"/>
    <w:rsid w:val="00623A2C"/>
    <w:rsid w:val="00623C89"/>
    <w:rsid w:val="00623D6C"/>
    <w:rsid w:val="00624031"/>
    <w:rsid w:val="00624040"/>
    <w:rsid w:val="0062475B"/>
    <w:rsid w:val="00624975"/>
    <w:rsid w:val="006249F6"/>
    <w:rsid w:val="00624AAD"/>
    <w:rsid w:val="00625185"/>
    <w:rsid w:val="006253E4"/>
    <w:rsid w:val="00625422"/>
    <w:rsid w:val="00625471"/>
    <w:rsid w:val="006255D9"/>
    <w:rsid w:val="00625739"/>
    <w:rsid w:val="006258B0"/>
    <w:rsid w:val="00625B95"/>
    <w:rsid w:val="00625DDC"/>
    <w:rsid w:val="006262DC"/>
    <w:rsid w:val="006264ED"/>
    <w:rsid w:val="00626557"/>
    <w:rsid w:val="00626816"/>
    <w:rsid w:val="00627138"/>
    <w:rsid w:val="00627374"/>
    <w:rsid w:val="006279D0"/>
    <w:rsid w:val="00627B4F"/>
    <w:rsid w:val="00630037"/>
    <w:rsid w:val="00630825"/>
    <w:rsid w:val="00630D27"/>
    <w:rsid w:val="006311BB"/>
    <w:rsid w:val="00631653"/>
    <w:rsid w:val="0063205F"/>
    <w:rsid w:val="00632880"/>
    <w:rsid w:val="006328EB"/>
    <w:rsid w:val="00632981"/>
    <w:rsid w:val="006329B9"/>
    <w:rsid w:val="00632A2B"/>
    <w:rsid w:val="00633EAB"/>
    <w:rsid w:val="0063404E"/>
    <w:rsid w:val="006345C5"/>
    <w:rsid w:val="00635415"/>
    <w:rsid w:val="00635FBB"/>
    <w:rsid w:val="00635FF0"/>
    <w:rsid w:val="00636644"/>
    <w:rsid w:val="00636661"/>
    <w:rsid w:val="00636F33"/>
    <w:rsid w:val="006372C3"/>
    <w:rsid w:val="00637487"/>
    <w:rsid w:val="00637D13"/>
    <w:rsid w:val="00637E1F"/>
    <w:rsid w:val="0064014B"/>
    <w:rsid w:val="006406C3"/>
    <w:rsid w:val="0064070F"/>
    <w:rsid w:val="00640BB0"/>
    <w:rsid w:val="00640BDB"/>
    <w:rsid w:val="00640CE4"/>
    <w:rsid w:val="00640DD2"/>
    <w:rsid w:val="00640E4A"/>
    <w:rsid w:val="00641118"/>
    <w:rsid w:val="0064115B"/>
    <w:rsid w:val="0064148F"/>
    <w:rsid w:val="00641569"/>
    <w:rsid w:val="00641F0D"/>
    <w:rsid w:val="006428C1"/>
    <w:rsid w:val="00642C6E"/>
    <w:rsid w:val="00642DF2"/>
    <w:rsid w:val="00642E34"/>
    <w:rsid w:val="00643074"/>
    <w:rsid w:val="006432C4"/>
    <w:rsid w:val="006434FF"/>
    <w:rsid w:val="00643AB5"/>
    <w:rsid w:val="006440FA"/>
    <w:rsid w:val="00645179"/>
    <w:rsid w:val="006453C1"/>
    <w:rsid w:val="00645D62"/>
    <w:rsid w:val="0064669C"/>
    <w:rsid w:val="00646991"/>
    <w:rsid w:val="00646AD5"/>
    <w:rsid w:val="00646EFF"/>
    <w:rsid w:val="006473D4"/>
    <w:rsid w:val="00647644"/>
    <w:rsid w:val="00647A00"/>
    <w:rsid w:val="00647B39"/>
    <w:rsid w:val="00647B68"/>
    <w:rsid w:val="00647B6C"/>
    <w:rsid w:val="00647C30"/>
    <w:rsid w:val="00647D50"/>
    <w:rsid w:val="00650283"/>
    <w:rsid w:val="006502A0"/>
    <w:rsid w:val="00650554"/>
    <w:rsid w:val="006506DC"/>
    <w:rsid w:val="006508B0"/>
    <w:rsid w:val="006508F7"/>
    <w:rsid w:val="00650D21"/>
    <w:rsid w:val="00650EB0"/>
    <w:rsid w:val="00650EC3"/>
    <w:rsid w:val="006516D8"/>
    <w:rsid w:val="00651A29"/>
    <w:rsid w:val="00651C85"/>
    <w:rsid w:val="00651D7F"/>
    <w:rsid w:val="00651E4D"/>
    <w:rsid w:val="006520F0"/>
    <w:rsid w:val="0065227D"/>
    <w:rsid w:val="00652306"/>
    <w:rsid w:val="0065250A"/>
    <w:rsid w:val="00652529"/>
    <w:rsid w:val="0065291A"/>
    <w:rsid w:val="00652CB9"/>
    <w:rsid w:val="00652DA1"/>
    <w:rsid w:val="00652DC4"/>
    <w:rsid w:val="00652EF0"/>
    <w:rsid w:val="00652F85"/>
    <w:rsid w:val="00653117"/>
    <w:rsid w:val="00653261"/>
    <w:rsid w:val="00653791"/>
    <w:rsid w:val="006539D2"/>
    <w:rsid w:val="00653AFF"/>
    <w:rsid w:val="00653D8F"/>
    <w:rsid w:val="006541F6"/>
    <w:rsid w:val="00654282"/>
    <w:rsid w:val="00654370"/>
    <w:rsid w:val="00654500"/>
    <w:rsid w:val="0065470D"/>
    <w:rsid w:val="00654A8C"/>
    <w:rsid w:val="00654BC3"/>
    <w:rsid w:val="00654F70"/>
    <w:rsid w:val="00655477"/>
    <w:rsid w:val="00655769"/>
    <w:rsid w:val="00655A3D"/>
    <w:rsid w:val="00655CB3"/>
    <w:rsid w:val="006567A5"/>
    <w:rsid w:val="00656AC3"/>
    <w:rsid w:val="006571F3"/>
    <w:rsid w:val="00657222"/>
    <w:rsid w:val="006578BE"/>
    <w:rsid w:val="00657AE5"/>
    <w:rsid w:val="00657B8B"/>
    <w:rsid w:val="006602ED"/>
    <w:rsid w:val="0066041A"/>
    <w:rsid w:val="00660876"/>
    <w:rsid w:val="006608D5"/>
    <w:rsid w:val="006608EA"/>
    <w:rsid w:val="00660965"/>
    <w:rsid w:val="0066098A"/>
    <w:rsid w:val="0066106F"/>
    <w:rsid w:val="00661330"/>
    <w:rsid w:val="006614B2"/>
    <w:rsid w:val="006615B9"/>
    <w:rsid w:val="00661887"/>
    <w:rsid w:val="00661B12"/>
    <w:rsid w:val="00661CF2"/>
    <w:rsid w:val="00661FF3"/>
    <w:rsid w:val="00662075"/>
    <w:rsid w:val="00662EF3"/>
    <w:rsid w:val="0066347E"/>
    <w:rsid w:val="0066391F"/>
    <w:rsid w:val="00663A07"/>
    <w:rsid w:val="00663AFB"/>
    <w:rsid w:val="00663BC9"/>
    <w:rsid w:val="00663BD9"/>
    <w:rsid w:val="00663C83"/>
    <w:rsid w:val="0066409E"/>
    <w:rsid w:val="006641C4"/>
    <w:rsid w:val="006647A3"/>
    <w:rsid w:val="006647DA"/>
    <w:rsid w:val="006647F5"/>
    <w:rsid w:val="006648A4"/>
    <w:rsid w:val="0066493C"/>
    <w:rsid w:val="00664AB6"/>
    <w:rsid w:val="00665300"/>
    <w:rsid w:val="006653A1"/>
    <w:rsid w:val="00665A6D"/>
    <w:rsid w:val="00665A7F"/>
    <w:rsid w:val="00665F68"/>
    <w:rsid w:val="00666401"/>
    <w:rsid w:val="006665CB"/>
    <w:rsid w:val="006669F0"/>
    <w:rsid w:val="00666E3C"/>
    <w:rsid w:val="00666F46"/>
    <w:rsid w:val="00667A83"/>
    <w:rsid w:val="00667BE1"/>
    <w:rsid w:val="00670239"/>
    <w:rsid w:val="0067038C"/>
    <w:rsid w:val="00670471"/>
    <w:rsid w:val="00670938"/>
    <w:rsid w:val="00670AC6"/>
    <w:rsid w:val="00670C14"/>
    <w:rsid w:val="00670E34"/>
    <w:rsid w:val="0067103B"/>
    <w:rsid w:val="0067112B"/>
    <w:rsid w:val="006713EF"/>
    <w:rsid w:val="00671881"/>
    <w:rsid w:val="00671D08"/>
    <w:rsid w:val="00672694"/>
    <w:rsid w:val="006726C2"/>
    <w:rsid w:val="006726D3"/>
    <w:rsid w:val="00672717"/>
    <w:rsid w:val="00672773"/>
    <w:rsid w:val="006728AB"/>
    <w:rsid w:val="006728C6"/>
    <w:rsid w:val="00672A00"/>
    <w:rsid w:val="00672CD7"/>
    <w:rsid w:val="00672D90"/>
    <w:rsid w:val="006730B6"/>
    <w:rsid w:val="00673740"/>
    <w:rsid w:val="00673903"/>
    <w:rsid w:val="00673D4D"/>
    <w:rsid w:val="006745B6"/>
    <w:rsid w:val="006749AE"/>
    <w:rsid w:val="006749C2"/>
    <w:rsid w:val="00674AB8"/>
    <w:rsid w:val="00674D46"/>
    <w:rsid w:val="00675433"/>
    <w:rsid w:val="00675499"/>
    <w:rsid w:val="00675503"/>
    <w:rsid w:val="006756B8"/>
    <w:rsid w:val="006759AD"/>
    <w:rsid w:val="00675C31"/>
    <w:rsid w:val="00675FF7"/>
    <w:rsid w:val="006760CE"/>
    <w:rsid w:val="00676AEA"/>
    <w:rsid w:val="0067709C"/>
    <w:rsid w:val="0067710D"/>
    <w:rsid w:val="00677193"/>
    <w:rsid w:val="00677322"/>
    <w:rsid w:val="00677359"/>
    <w:rsid w:val="006776BC"/>
    <w:rsid w:val="00677980"/>
    <w:rsid w:val="00677AEB"/>
    <w:rsid w:val="00677C5A"/>
    <w:rsid w:val="00677CA2"/>
    <w:rsid w:val="00677E3F"/>
    <w:rsid w:val="00680229"/>
    <w:rsid w:val="00680361"/>
    <w:rsid w:val="00680485"/>
    <w:rsid w:val="00680AC7"/>
    <w:rsid w:val="00680AFE"/>
    <w:rsid w:val="00680EB8"/>
    <w:rsid w:val="00680FD6"/>
    <w:rsid w:val="00681296"/>
    <w:rsid w:val="0068201B"/>
    <w:rsid w:val="00682B69"/>
    <w:rsid w:val="00683017"/>
    <w:rsid w:val="0068309A"/>
    <w:rsid w:val="0068315C"/>
    <w:rsid w:val="006833D0"/>
    <w:rsid w:val="00683E9B"/>
    <w:rsid w:val="00683FC9"/>
    <w:rsid w:val="0068403B"/>
    <w:rsid w:val="00684355"/>
    <w:rsid w:val="0068449C"/>
    <w:rsid w:val="00684529"/>
    <w:rsid w:val="0068468B"/>
    <w:rsid w:val="006847FB"/>
    <w:rsid w:val="00684B50"/>
    <w:rsid w:val="00684E49"/>
    <w:rsid w:val="006852D5"/>
    <w:rsid w:val="00685D22"/>
    <w:rsid w:val="00685DD1"/>
    <w:rsid w:val="00685FD1"/>
    <w:rsid w:val="00686125"/>
    <w:rsid w:val="00686220"/>
    <w:rsid w:val="00686A4D"/>
    <w:rsid w:val="00686B86"/>
    <w:rsid w:val="00687743"/>
    <w:rsid w:val="00687902"/>
    <w:rsid w:val="00687CCA"/>
    <w:rsid w:val="00687FEE"/>
    <w:rsid w:val="006902B7"/>
    <w:rsid w:val="00690371"/>
    <w:rsid w:val="00690445"/>
    <w:rsid w:val="00690A08"/>
    <w:rsid w:val="00690B7D"/>
    <w:rsid w:val="00690DA7"/>
    <w:rsid w:val="00690E7D"/>
    <w:rsid w:val="006911E0"/>
    <w:rsid w:val="006911E4"/>
    <w:rsid w:val="00691270"/>
    <w:rsid w:val="0069163B"/>
    <w:rsid w:val="00691A92"/>
    <w:rsid w:val="00691C11"/>
    <w:rsid w:val="00691CF1"/>
    <w:rsid w:val="00691DCA"/>
    <w:rsid w:val="00692553"/>
    <w:rsid w:val="006925C4"/>
    <w:rsid w:val="006928D0"/>
    <w:rsid w:val="00692BD2"/>
    <w:rsid w:val="00693839"/>
    <w:rsid w:val="00693F06"/>
    <w:rsid w:val="006940C6"/>
    <w:rsid w:val="006945FB"/>
    <w:rsid w:val="006946A9"/>
    <w:rsid w:val="00694755"/>
    <w:rsid w:val="00694C91"/>
    <w:rsid w:val="00695075"/>
    <w:rsid w:val="006956CD"/>
    <w:rsid w:val="00695B8B"/>
    <w:rsid w:val="00695DA2"/>
    <w:rsid w:val="00695E10"/>
    <w:rsid w:val="00695EED"/>
    <w:rsid w:val="006960D0"/>
    <w:rsid w:val="006969CB"/>
    <w:rsid w:val="00696F90"/>
    <w:rsid w:val="00697018"/>
    <w:rsid w:val="0069749D"/>
    <w:rsid w:val="006976C7"/>
    <w:rsid w:val="0069783E"/>
    <w:rsid w:val="006A0055"/>
    <w:rsid w:val="006A0292"/>
    <w:rsid w:val="006A0411"/>
    <w:rsid w:val="006A0780"/>
    <w:rsid w:val="006A0CD3"/>
    <w:rsid w:val="006A0EEA"/>
    <w:rsid w:val="006A0EF2"/>
    <w:rsid w:val="006A1420"/>
    <w:rsid w:val="006A173A"/>
    <w:rsid w:val="006A1C2D"/>
    <w:rsid w:val="006A1DED"/>
    <w:rsid w:val="006A21D1"/>
    <w:rsid w:val="006A2399"/>
    <w:rsid w:val="006A29AD"/>
    <w:rsid w:val="006A29BD"/>
    <w:rsid w:val="006A2A61"/>
    <w:rsid w:val="006A2D11"/>
    <w:rsid w:val="006A305A"/>
    <w:rsid w:val="006A32D5"/>
    <w:rsid w:val="006A3536"/>
    <w:rsid w:val="006A3996"/>
    <w:rsid w:val="006A442C"/>
    <w:rsid w:val="006A46B3"/>
    <w:rsid w:val="006A4803"/>
    <w:rsid w:val="006A4838"/>
    <w:rsid w:val="006A4A04"/>
    <w:rsid w:val="006A4C42"/>
    <w:rsid w:val="006A59C0"/>
    <w:rsid w:val="006A5C66"/>
    <w:rsid w:val="006A5D92"/>
    <w:rsid w:val="006A5DA1"/>
    <w:rsid w:val="006A6961"/>
    <w:rsid w:val="006A6EB3"/>
    <w:rsid w:val="006A6F12"/>
    <w:rsid w:val="006A718D"/>
    <w:rsid w:val="006A731D"/>
    <w:rsid w:val="006A734D"/>
    <w:rsid w:val="006A78A8"/>
    <w:rsid w:val="006A78AF"/>
    <w:rsid w:val="006A7BCB"/>
    <w:rsid w:val="006A7EE3"/>
    <w:rsid w:val="006B050B"/>
    <w:rsid w:val="006B0EE3"/>
    <w:rsid w:val="006B11C1"/>
    <w:rsid w:val="006B1343"/>
    <w:rsid w:val="006B17F5"/>
    <w:rsid w:val="006B1860"/>
    <w:rsid w:val="006B1CCB"/>
    <w:rsid w:val="006B20CB"/>
    <w:rsid w:val="006B217A"/>
    <w:rsid w:val="006B26D9"/>
    <w:rsid w:val="006B2AAE"/>
    <w:rsid w:val="006B344A"/>
    <w:rsid w:val="006B3802"/>
    <w:rsid w:val="006B3BDD"/>
    <w:rsid w:val="006B3FED"/>
    <w:rsid w:val="006B4027"/>
    <w:rsid w:val="006B41E5"/>
    <w:rsid w:val="006B43A2"/>
    <w:rsid w:val="006B44C4"/>
    <w:rsid w:val="006B47EE"/>
    <w:rsid w:val="006B4927"/>
    <w:rsid w:val="006B4B0D"/>
    <w:rsid w:val="006B4E97"/>
    <w:rsid w:val="006B544B"/>
    <w:rsid w:val="006B5918"/>
    <w:rsid w:val="006B6277"/>
    <w:rsid w:val="006B67A7"/>
    <w:rsid w:val="006B6BD8"/>
    <w:rsid w:val="006B6DF2"/>
    <w:rsid w:val="006B71CD"/>
    <w:rsid w:val="006B79A6"/>
    <w:rsid w:val="006B7AEC"/>
    <w:rsid w:val="006B7BB4"/>
    <w:rsid w:val="006B7FF1"/>
    <w:rsid w:val="006C016C"/>
    <w:rsid w:val="006C028F"/>
    <w:rsid w:val="006C0AAE"/>
    <w:rsid w:val="006C0C2D"/>
    <w:rsid w:val="006C0CFD"/>
    <w:rsid w:val="006C0D70"/>
    <w:rsid w:val="006C1090"/>
    <w:rsid w:val="006C1174"/>
    <w:rsid w:val="006C129B"/>
    <w:rsid w:val="006C18B6"/>
    <w:rsid w:val="006C1C3F"/>
    <w:rsid w:val="006C1E5C"/>
    <w:rsid w:val="006C20CE"/>
    <w:rsid w:val="006C2141"/>
    <w:rsid w:val="006C225C"/>
    <w:rsid w:val="006C2479"/>
    <w:rsid w:val="006C284E"/>
    <w:rsid w:val="006C3013"/>
    <w:rsid w:val="006C3497"/>
    <w:rsid w:val="006C3DBF"/>
    <w:rsid w:val="006C4074"/>
    <w:rsid w:val="006C479C"/>
    <w:rsid w:val="006C4D08"/>
    <w:rsid w:val="006C4F8F"/>
    <w:rsid w:val="006C58A3"/>
    <w:rsid w:val="006C58F1"/>
    <w:rsid w:val="006C5E4A"/>
    <w:rsid w:val="006C6206"/>
    <w:rsid w:val="006C63AF"/>
    <w:rsid w:val="006C68B0"/>
    <w:rsid w:val="006C692D"/>
    <w:rsid w:val="006C6C52"/>
    <w:rsid w:val="006C6CB4"/>
    <w:rsid w:val="006C6D2F"/>
    <w:rsid w:val="006C6EF4"/>
    <w:rsid w:val="006C6FD8"/>
    <w:rsid w:val="006C710C"/>
    <w:rsid w:val="006C75E6"/>
    <w:rsid w:val="006C78A8"/>
    <w:rsid w:val="006C7BB1"/>
    <w:rsid w:val="006C7D40"/>
    <w:rsid w:val="006C7FA3"/>
    <w:rsid w:val="006C7FD2"/>
    <w:rsid w:val="006D0031"/>
    <w:rsid w:val="006D0761"/>
    <w:rsid w:val="006D08A0"/>
    <w:rsid w:val="006D0953"/>
    <w:rsid w:val="006D0D0F"/>
    <w:rsid w:val="006D12D9"/>
    <w:rsid w:val="006D192F"/>
    <w:rsid w:val="006D22E8"/>
    <w:rsid w:val="006D258B"/>
    <w:rsid w:val="006D2940"/>
    <w:rsid w:val="006D2AA1"/>
    <w:rsid w:val="006D2AF6"/>
    <w:rsid w:val="006D2C96"/>
    <w:rsid w:val="006D2D6D"/>
    <w:rsid w:val="006D2DE3"/>
    <w:rsid w:val="006D2F15"/>
    <w:rsid w:val="006D3129"/>
    <w:rsid w:val="006D3188"/>
    <w:rsid w:val="006D3D3A"/>
    <w:rsid w:val="006D3FCE"/>
    <w:rsid w:val="006D4523"/>
    <w:rsid w:val="006D4900"/>
    <w:rsid w:val="006D4CEA"/>
    <w:rsid w:val="006D50EF"/>
    <w:rsid w:val="006D5106"/>
    <w:rsid w:val="006D520A"/>
    <w:rsid w:val="006D5313"/>
    <w:rsid w:val="006D6651"/>
    <w:rsid w:val="006D699B"/>
    <w:rsid w:val="006D6EF5"/>
    <w:rsid w:val="006D6F98"/>
    <w:rsid w:val="006D70C2"/>
    <w:rsid w:val="006D7107"/>
    <w:rsid w:val="006D74AD"/>
    <w:rsid w:val="006D756C"/>
    <w:rsid w:val="006D76E2"/>
    <w:rsid w:val="006D76EA"/>
    <w:rsid w:val="006D7B01"/>
    <w:rsid w:val="006D7B79"/>
    <w:rsid w:val="006D7CC4"/>
    <w:rsid w:val="006E0016"/>
    <w:rsid w:val="006E016C"/>
    <w:rsid w:val="006E0579"/>
    <w:rsid w:val="006E0ADD"/>
    <w:rsid w:val="006E0FA9"/>
    <w:rsid w:val="006E1052"/>
    <w:rsid w:val="006E1184"/>
    <w:rsid w:val="006E14AE"/>
    <w:rsid w:val="006E160A"/>
    <w:rsid w:val="006E1904"/>
    <w:rsid w:val="006E19D3"/>
    <w:rsid w:val="006E2230"/>
    <w:rsid w:val="006E2563"/>
    <w:rsid w:val="006E2B9E"/>
    <w:rsid w:val="006E3090"/>
    <w:rsid w:val="006E3374"/>
    <w:rsid w:val="006E34AE"/>
    <w:rsid w:val="006E3AB5"/>
    <w:rsid w:val="006E3BD7"/>
    <w:rsid w:val="006E4351"/>
    <w:rsid w:val="006E498F"/>
    <w:rsid w:val="006E4A66"/>
    <w:rsid w:val="006E4DAA"/>
    <w:rsid w:val="006E505D"/>
    <w:rsid w:val="006E51D6"/>
    <w:rsid w:val="006E5250"/>
    <w:rsid w:val="006E52D7"/>
    <w:rsid w:val="006E5323"/>
    <w:rsid w:val="006E54DA"/>
    <w:rsid w:val="006E5685"/>
    <w:rsid w:val="006E5839"/>
    <w:rsid w:val="006E59AA"/>
    <w:rsid w:val="006E59C2"/>
    <w:rsid w:val="006E5A18"/>
    <w:rsid w:val="006E5AEF"/>
    <w:rsid w:val="006E60E4"/>
    <w:rsid w:val="006E641A"/>
    <w:rsid w:val="006E6480"/>
    <w:rsid w:val="006E682F"/>
    <w:rsid w:val="006E6D28"/>
    <w:rsid w:val="006E7981"/>
    <w:rsid w:val="006F021C"/>
    <w:rsid w:val="006F0739"/>
    <w:rsid w:val="006F0950"/>
    <w:rsid w:val="006F0AD6"/>
    <w:rsid w:val="006F0AE7"/>
    <w:rsid w:val="006F14F7"/>
    <w:rsid w:val="006F157F"/>
    <w:rsid w:val="006F1637"/>
    <w:rsid w:val="006F17B0"/>
    <w:rsid w:val="006F1C8A"/>
    <w:rsid w:val="006F1CD6"/>
    <w:rsid w:val="006F1E7E"/>
    <w:rsid w:val="006F212E"/>
    <w:rsid w:val="006F272C"/>
    <w:rsid w:val="006F299F"/>
    <w:rsid w:val="006F2D2C"/>
    <w:rsid w:val="006F2F4D"/>
    <w:rsid w:val="006F321F"/>
    <w:rsid w:val="006F3400"/>
    <w:rsid w:val="006F35A2"/>
    <w:rsid w:val="006F3692"/>
    <w:rsid w:val="006F3BD4"/>
    <w:rsid w:val="006F4182"/>
    <w:rsid w:val="006F4225"/>
    <w:rsid w:val="006F4383"/>
    <w:rsid w:val="006F4C54"/>
    <w:rsid w:val="006F4F94"/>
    <w:rsid w:val="006F5721"/>
    <w:rsid w:val="006F5A71"/>
    <w:rsid w:val="006F5B90"/>
    <w:rsid w:val="006F5D97"/>
    <w:rsid w:val="006F5F61"/>
    <w:rsid w:val="006F62BD"/>
    <w:rsid w:val="006F642D"/>
    <w:rsid w:val="006F67CD"/>
    <w:rsid w:val="006F6873"/>
    <w:rsid w:val="006F68D8"/>
    <w:rsid w:val="006F6EBF"/>
    <w:rsid w:val="006F7A26"/>
    <w:rsid w:val="006F7BFD"/>
    <w:rsid w:val="006F7FED"/>
    <w:rsid w:val="00700134"/>
    <w:rsid w:val="007002EA"/>
    <w:rsid w:val="007004BE"/>
    <w:rsid w:val="00700579"/>
    <w:rsid w:val="0070081C"/>
    <w:rsid w:val="00700A35"/>
    <w:rsid w:val="00700E3D"/>
    <w:rsid w:val="00700E91"/>
    <w:rsid w:val="0070108A"/>
    <w:rsid w:val="007011B9"/>
    <w:rsid w:val="00701228"/>
    <w:rsid w:val="00701856"/>
    <w:rsid w:val="00701F9B"/>
    <w:rsid w:val="00702DC1"/>
    <w:rsid w:val="007031DB"/>
    <w:rsid w:val="00703609"/>
    <w:rsid w:val="00703630"/>
    <w:rsid w:val="0070387B"/>
    <w:rsid w:val="00703EE6"/>
    <w:rsid w:val="007040C6"/>
    <w:rsid w:val="0070417E"/>
    <w:rsid w:val="0070434E"/>
    <w:rsid w:val="00704884"/>
    <w:rsid w:val="007048BB"/>
    <w:rsid w:val="00704944"/>
    <w:rsid w:val="007049D7"/>
    <w:rsid w:val="00704DB4"/>
    <w:rsid w:val="007053D0"/>
    <w:rsid w:val="00705783"/>
    <w:rsid w:val="007057CE"/>
    <w:rsid w:val="0070596B"/>
    <w:rsid w:val="007061A4"/>
    <w:rsid w:val="007061D5"/>
    <w:rsid w:val="00706D81"/>
    <w:rsid w:val="00706E3A"/>
    <w:rsid w:val="007071E1"/>
    <w:rsid w:val="00707565"/>
    <w:rsid w:val="00707AA3"/>
    <w:rsid w:val="00707E1F"/>
    <w:rsid w:val="00707E80"/>
    <w:rsid w:val="00710B91"/>
    <w:rsid w:val="007115BC"/>
    <w:rsid w:val="007118A5"/>
    <w:rsid w:val="007118E5"/>
    <w:rsid w:val="00711A97"/>
    <w:rsid w:val="00711A9F"/>
    <w:rsid w:val="00711BD7"/>
    <w:rsid w:val="00711C2A"/>
    <w:rsid w:val="00711C52"/>
    <w:rsid w:val="00711D1B"/>
    <w:rsid w:val="00711D52"/>
    <w:rsid w:val="0071263F"/>
    <w:rsid w:val="00712919"/>
    <w:rsid w:val="00713297"/>
    <w:rsid w:val="007132DF"/>
    <w:rsid w:val="00713440"/>
    <w:rsid w:val="00713D2F"/>
    <w:rsid w:val="00714147"/>
    <w:rsid w:val="0071440A"/>
    <w:rsid w:val="007144A1"/>
    <w:rsid w:val="00714676"/>
    <w:rsid w:val="00714785"/>
    <w:rsid w:val="00714F1F"/>
    <w:rsid w:val="007153BC"/>
    <w:rsid w:val="00715C30"/>
    <w:rsid w:val="007167A9"/>
    <w:rsid w:val="00716B2A"/>
    <w:rsid w:val="00716E18"/>
    <w:rsid w:val="00716FA5"/>
    <w:rsid w:val="00717036"/>
    <w:rsid w:val="0071726F"/>
    <w:rsid w:val="00717419"/>
    <w:rsid w:val="007176EC"/>
    <w:rsid w:val="0071778F"/>
    <w:rsid w:val="00717D0B"/>
    <w:rsid w:val="00717FCF"/>
    <w:rsid w:val="0072019D"/>
    <w:rsid w:val="007203FA"/>
    <w:rsid w:val="0072052A"/>
    <w:rsid w:val="00720715"/>
    <w:rsid w:val="007209E4"/>
    <w:rsid w:val="00720C33"/>
    <w:rsid w:val="00720C85"/>
    <w:rsid w:val="00720D95"/>
    <w:rsid w:val="00720DB4"/>
    <w:rsid w:val="007211B8"/>
    <w:rsid w:val="0072123D"/>
    <w:rsid w:val="007214F4"/>
    <w:rsid w:val="007216C7"/>
    <w:rsid w:val="00721AC6"/>
    <w:rsid w:val="00721E07"/>
    <w:rsid w:val="007221D7"/>
    <w:rsid w:val="0072243D"/>
    <w:rsid w:val="00722478"/>
    <w:rsid w:val="00722F30"/>
    <w:rsid w:val="007230B1"/>
    <w:rsid w:val="0072313D"/>
    <w:rsid w:val="0072321F"/>
    <w:rsid w:val="00723277"/>
    <w:rsid w:val="00723303"/>
    <w:rsid w:val="007237B1"/>
    <w:rsid w:val="00723C92"/>
    <w:rsid w:val="00723CAE"/>
    <w:rsid w:val="00723DC0"/>
    <w:rsid w:val="00724185"/>
    <w:rsid w:val="007244CC"/>
    <w:rsid w:val="0072491D"/>
    <w:rsid w:val="00724AE9"/>
    <w:rsid w:val="00724BC4"/>
    <w:rsid w:val="00724EB9"/>
    <w:rsid w:val="00725C29"/>
    <w:rsid w:val="00725C57"/>
    <w:rsid w:val="00725E73"/>
    <w:rsid w:val="00726389"/>
    <w:rsid w:val="0072672A"/>
    <w:rsid w:val="00726A0A"/>
    <w:rsid w:val="00726B34"/>
    <w:rsid w:val="00726EE0"/>
    <w:rsid w:val="0072734B"/>
    <w:rsid w:val="00727A26"/>
    <w:rsid w:val="00727AFF"/>
    <w:rsid w:val="00727B50"/>
    <w:rsid w:val="00727F76"/>
    <w:rsid w:val="0073014C"/>
    <w:rsid w:val="00730246"/>
    <w:rsid w:val="0073065A"/>
    <w:rsid w:val="007307FE"/>
    <w:rsid w:val="00730A87"/>
    <w:rsid w:val="00730D73"/>
    <w:rsid w:val="00730DB4"/>
    <w:rsid w:val="00730F19"/>
    <w:rsid w:val="00730F23"/>
    <w:rsid w:val="00731316"/>
    <w:rsid w:val="00731371"/>
    <w:rsid w:val="007317D0"/>
    <w:rsid w:val="007318AD"/>
    <w:rsid w:val="0073199E"/>
    <w:rsid w:val="00731A9B"/>
    <w:rsid w:val="007320D7"/>
    <w:rsid w:val="007325F2"/>
    <w:rsid w:val="0073266A"/>
    <w:rsid w:val="00732F8A"/>
    <w:rsid w:val="00732FB5"/>
    <w:rsid w:val="0073309F"/>
    <w:rsid w:val="00733467"/>
    <w:rsid w:val="0073383B"/>
    <w:rsid w:val="0073398C"/>
    <w:rsid w:val="00733B2E"/>
    <w:rsid w:val="00734513"/>
    <w:rsid w:val="0073467A"/>
    <w:rsid w:val="007349A7"/>
    <w:rsid w:val="00734AFC"/>
    <w:rsid w:val="00734E69"/>
    <w:rsid w:val="00734F58"/>
    <w:rsid w:val="00734F9C"/>
    <w:rsid w:val="0073591E"/>
    <w:rsid w:val="00735BA6"/>
    <w:rsid w:val="00736941"/>
    <w:rsid w:val="0073696D"/>
    <w:rsid w:val="00736E06"/>
    <w:rsid w:val="007373BE"/>
    <w:rsid w:val="0073770C"/>
    <w:rsid w:val="00737931"/>
    <w:rsid w:val="00737C39"/>
    <w:rsid w:val="00740356"/>
    <w:rsid w:val="00740555"/>
    <w:rsid w:val="00740694"/>
    <w:rsid w:val="00740771"/>
    <w:rsid w:val="007409AF"/>
    <w:rsid w:val="007409FC"/>
    <w:rsid w:val="00740A1A"/>
    <w:rsid w:val="00740AC4"/>
    <w:rsid w:val="00740B46"/>
    <w:rsid w:val="00740BF8"/>
    <w:rsid w:val="00740BFA"/>
    <w:rsid w:val="00740CD0"/>
    <w:rsid w:val="00740F41"/>
    <w:rsid w:val="00740F64"/>
    <w:rsid w:val="007411D8"/>
    <w:rsid w:val="00741328"/>
    <w:rsid w:val="00741FC9"/>
    <w:rsid w:val="0074207B"/>
    <w:rsid w:val="00742608"/>
    <w:rsid w:val="00742620"/>
    <w:rsid w:val="0074316A"/>
    <w:rsid w:val="0074346B"/>
    <w:rsid w:val="0074358E"/>
    <w:rsid w:val="00743970"/>
    <w:rsid w:val="00743B82"/>
    <w:rsid w:val="007442BC"/>
    <w:rsid w:val="007445EE"/>
    <w:rsid w:val="007447B6"/>
    <w:rsid w:val="00744F4C"/>
    <w:rsid w:val="00745167"/>
    <w:rsid w:val="00745379"/>
    <w:rsid w:val="0074566B"/>
    <w:rsid w:val="007464D9"/>
    <w:rsid w:val="007465CC"/>
    <w:rsid w:val="0074696A"/>
    <w:rsid w:val="00746BA9"/>
    <w:rsid w:val="00746BCD"/>
    <w:rsid w:val="00746F45"/>
    <w:rsid w:val="00747069"/>
    <w:rsid w:val="007471A1"/>
    <w:rsid w:val="007471CC"/>
    <w:rsid w:val="0074725E"/>
    <w:rsid w:val="007476B0"/>
    <w:rsid w:val="00747D82"/>
    <w:rsid w:val="00747ECE"/>
    <w:rsid w:val="00750192"/>
    <w:rsid w:val="007504D5"/>
    <w:rsid w:val="00750639"/>
    <w:rsid w:val="00750732"/>
    <w:rsid w:val="00750815"/>
    <w:rsid w:val="00750B7D"/>
    <w:rsid w:val="00750C68"/>
    <w:rsid w:val="00751B1F"/>
    <w:rsid w:val="00751B40"/>
    <w:rsid w:val="00751B8D"/>
    <w:rsid w:val="00751C32"/>
    <w:rsid w:val="00751DC8"/>
    <w:rsid w:val="007521D3"/>
    <w:rsid w:val="007524ED"/>
    <w:rsid w:val="00752986"/>
    <w:rsid w:val="00753298"/>
    <w:rsid w:val="007533F8"/>
    <w:rsid w:val="00753508"/>
    <w:rsid w:val="007538E8"/>
    <w:rsid w:val="00753911"/>
    <w:rsid w:val="00753B9B"/>
    <w:rsid w:val="00753C6A"/>
    <w:rsid w:val="00754132"/>
    <w:rsid w:val="00754401"/>
    <w:rsid w:val="007544FF"/>
    <w:rsid w:val="00754CB7"/>
    <w:rsid w:val="00754FBF"/>
    <w:rsid w:val="0075507C"/>
    <w:rsid w:val="0075517C"/>
    <w:rsid w:val="00755197"/>
    <w:rsid w:val="00755365"/>
    <w:rsid w:val="0075544B"/>
    <w:rsid w:val="00755CDE"/>
    <w:rsid w:val="00756165"/>
    <w:rsid w:val="00756650"/>
    <w:rsid w:val="00756660"/>
    <w:rsid w:val="00756AFC"/>
    <w:rsid w:val="00756B27"/>
    <w:rsid w:val="007573E8"/>
    <w:rsid w:val="00757781"/>
    <w:rsid w:val="00757B08"/>
    <w:rsid w:val="007600C6"/>
    <w:rsid w:val="00760615"/>
    <w:rsid w:val="00760AD9"/>
    <w:rsid w:val="00760D24"/>
    <w:rsid w:val="007614DC"/>
    <w:rsid w:val="00761541"/>
    <w:rsid w:val="007615EE"/>
    <w:rsid w:val="00761D74"/>
    <w:rsid w:val="00761EB8"/>
    <w:rsid w:val="007623E7"/>
    <w:rsid w:val="007629A4"/>
    <w:rsid w:val="00762CBB"/>
    <w:rsid w:val="00762E1B"/>
    <w:rsid w:val="0076302F"/>
    <w:rsid w:val="007632D3"/>
    <w:rsid w:val="00763F7C"/>
    <w:rsid w:val="0076423D"/>
    <w:rsid w:val="00764540"/>
    <w:rsid w:val="00764A6D"/>
    <w:rsid w:val="0076530E"/>
    <w:rsid w:val="00765354"/>
    <w:rsid w:val="007653D2"/>
    <w:rsid w:val="007655AF"/>
    <w:rsid w:val="0076560C"/>
    <w:rsid w:val="00765846"/>
    <w:rsid w:val="00766377"/>
    <w:rsid w:val="00766506"/>
    <w:rsid w:val="00766514"/>
    <w:rsid w:val="00766746"/>
    <w:rsid w:val="0076677C"/>
    <w:rsid w:val="00766959"/>
    <w:rsid w:val="00766AD4"/>
    <w:rsid w:val="00766BF8"/>
    <w:rsid w:val="007677AA"/>
    <w:rsid w:val="0076782D"/>
    <w:rsid w:val="007679D7"/>
    <w:rsid w:val="00770799"/>
    <w:rsid w:val="00770A3C"/>
    <w:rsid w:val="00770F4B"/>
    <w:rsid w:val="007710B8"/>
    <w:rsid w:val="00771702"/>
    <w:rsid w:val="0077174D"/>
    <w:rsid w:val="007719D3"/>
    <w:rsid w:val="00771C4F"/>
    <w:rsid w:val="00771D98"/>
    <w:rsid w:val="00771DF4"/>
    <w:rsid w:val="007721BA"/>
    <w:rsid w:val="00772223"/>
    <w:rsid w:val="00772582"/>
    <w:rsid w:val="00772597"/>
    <w:rsid w:val="00772667"/>
    <w:rsid w:val="00772AE8"/>
    <w:rsid w:val="00772BBF"/>
    <w:rsid w:val="00772C48"/>
    <w:rsid w:val="00772E2C"/>
    <w:rsid w:val="00773056"/>
    <w:rsid w:val="00773527"/>
    <w:rsid w:val="007736DE"/>
    <w:rsid w:val="00773721"/>
    <w:rsid w:val="00773DA1"/>
    <w:rsid w:val="0077424E"/>
    <w:rsid w:val="00774291"/>
    <w:rsid w:val="00774469"/>
    <w:rsid w:val="00774696"/>
    <w:rsid w:val="00774CA4"/>
    <w:rsid w:val="00775315"/>
    <w:rsid w:val="0077591C"/>
    <w:rsid w:val="0077597C"/>
    <w:rsid w:val="00775B14"/>
    <w:rsid w:val="00775BAB"/>
    <w:rsid w:val="0077656E"/>
    <w:rsid w:val="00776827"/>
    <w:rsid w:val="00776E65"/>
    <w:rsid w:val="00777055"/>
    <w:rsid w:val="0077774F"/>
    <w:rsid w:val="007777E0"/>
    <w:rsid w:val="00777A33"/>
    <w:rsid w:val="00777D91"/>
    <w:rsid w:val="00780283"/>
    <w:rsid w:val="00780C4C"/>
    <w:rsid w:val="00780D58"/>
    <w:rsid w:val="00780E33"/>
    <w:rsid w:val="00780FFE"/>
    <w:rsid w:val="007810F2"/>
    <w:rsid w:val="00781553"/>
    <w:rsid w:val="007815F8"/>
    <w:rsid w:val="00781EBD"/>
    <w:rsid w:val="007824BA"/>
    <w:rsid w:val="007829E5"/>
    <w:rsid w:val="00783285"/>
    <w:rsid w:val="007832FC"/>
    <w:rsid w:val="0078346A"/>
    <w:rsid w:val="0078368A"/>
    <w:rsid w:val="00783AF2"/>
    <w:rsid w:val="00783CC6"/>
    <w:rsid w:val="00784321"/>
    <w:rsid w:val="0078445D"/>
    <w:rsid w:val="007845A4"/>
    <w:rsid w:val="0078469D"/>
    <w:rsid w:val="00784748"/>
    <w:rsid w:val="00784A10"/>
    <w:rsid w:val="00784E39"/>
    <w:rsid w:val="007853F7"/>
    <w:rsid w:val="00785666"/>
    <w:rsid w:val="0078574C"/>
    <w:rsid w:val="00785960"/>
    <w:rsid w:val="00786024"/>
    <w:rsid w:val="00786354"/>
    <w:rsid w:val="007867F1"/>
    <w:rsid w:val="00786BD4"/>
    <w:rsid w:val="007872BD"/>
    <w:rsid w:val="00787558"/>
    <w:rsid w:val="00787EBA"/>
    <w:rsid w:val="0079004B"/>
    <w:rsid w:val="0079031C"/>
    <w:rsid w:val="0079047D"/>
    <w:rsid w:val="00790774"/>
    <w:rsid w:val="007908EE"/>
    <w:rsid w:val="00790D0A"/>
    <w:rsid w:val="00790D83"/>
    <w:rsid w:val="00790E35"/>
    <w:rsid w:val="007910A1"/>
    <w:rsid w:val="00791DCC"/>
    <w:rsid w:val="007923A3"/>
    <w:rsid w:val="007926E2"/>
    <w:rsid w:val="00792C49"/>
    <w:rsid w:val="007931F0"/>
    <w:rsid w:val="00793294"/>
    <w:rsid w:val="0079332B"/>
    <w:rsid w:val="00793465"/>
    <w:rsid w:val="00793C27"/>
    <w:rsid w:val="00793DEF"/>
    <w:rsid w:val="00793F82"/>
    <w:rsid w:val="00793FDF"/>
    <w:rsid w:val="0079448C"/>
    <w:rsid w:val="007945DC"/>
    <w:rsid w:val="00794884"/>
    <w:rsid w:val="00794981"/>
    <w:rsid w:val="00794ECF"/>
    <w:rsid w:val="0079521A"/>
    <w:rsid w:val="00795683"/>
    <w:rsid w:val="00795A2D"/>
    <w:rsid w:val="00795A81"/>
    <w:rsid w:val="00795AFB"/>
    <w:rsid w:val="00795BE4"/>
    <w:rsid w:val="00795D88"/>
    <w:rsid w:val="007961BD"/>
    <w:rsid w:val="00796761"/>
    <w:rsid w:val="00796772"/>
    <w:rsid w:val="007967F5"/>
    <w:rsid w:val="00796977"/>
    <w:rsid w:val="00797144"/>
    <w:rsid w:val="00797342"/>
    <w:rsid w:val="007973D2"/>
    <w:rsid w:val="007973EB"/>
    <w:rsid w:val="00797AA5"/>
    <w:rsid w:val="00797FD5"/>
    <w:rsid w:val="007A0697"/>
    <w:rsid w:val="007A0F8E"/>
    <w:rsid w:val="007A103E"/>
    <w:rsid w:val="007A116C"/>
    <w:rsid w:val="007A13FE"/>
    <w:rsid w:val="007A1472"/>
    <w:rsid w:val="007A14F2"/>
    <w:rsid w:val="007A16E9"/>
    <w:rsid w:val="007A1BB5"/>
    <w:rsid w:val="007A1DFA"/>
    <w:rsid w:val="007A1F74"/>
    <w:rsid w:val="007A2106"/>
    <w:rsid w:val="007A23FB"/>
    <w:rsid w:val="007A2DE1"/>
    <w:rsid w:val="007A2E00"/>
    <w:rsid w:val="007A2E05"/>
    <w:rsid w:val="007A2FF8"/>
    <w:rsid w:val="007A34F2"/>
    <w:rsid w:val="007A36F4"/>
    <w:rsid w:val="007A3CB3"/>
    <w:rsid w:val="007A3FCB"/>
    <w:rsid w:val="007A4544"/>
    <w:rsid w:val="007A46D6"/>
    <w:rsid w:val="007A4719"/>
    <w:rsid w:val="007A4AA6"/>
    <w:rsid w:val="007A4F69"/>
    <w:rsid w:val="007A54ED"/>
    <w:rsid w:val="007A57DE"/>
    <w:rsid w:val="007A59D2"/>
    <w:rsid w:val="007A5BEE"/>
    <w:rsid w:val="007A5C71"/>
    <w:rsid w:val="007A6651"/>
    <w:rsid w:val="007A668D"/>
    <w:rsid w:val="007A6F87"/>
    <w:rsid w:val="007A701E"/>
    <w:rsid w:val="007A7082"/>
    <w:rsid w:val="007A7125"/>
    <w:rsid w:val="007A71AF"/>
    <w:rsid w:val="007A7929"/>
    <w:rsid w:val="007A7E3A"/>
    <w:rsid w:val="007B00DC"/>
    <w:rsid w:val="007B0303"/>
    <w:rsid w:val="007B0389"/>
    <w:rsid w:val="007B03E2"/>
    <w:rsid w:val="007B0720"/>
    <w:rsid w:val="007B1273"/>
    <w:rsid w:val="007B1A37"/>
    <w:rsid w:val="007B1DC1"/>
    <w:rsid w:val="007B23FF"/>
    <w:rsid w:val="007B25A2"/>
    <w:rsid w:val="007B2635"/>
    <w:rsid w:val="007B2677"/>
    <w:rsid w:val="007B2FD8"/>
    <w:rsid w:val="007B342D"/>
    <w:rsid w:val="007B37E8"/>
    <w:rsid w:val="007B39C4"/>
    <w:rsid w:val="007B3E8B"/>
    <w:rsid w:val="007B3F28"/>
    <w:rsid w:val="007B3F33"/>
    <w:rsid w:val="007B43BF"/>
    <w:rsid w:val="007B44AA"/>
    <w:rsid w:val="007B4763"/>
    <w:rsid w:val="007B484E"/>
    <w:rsid w:val="007B48B0"/>
    <w:rsid w:val="007B4BBA"/>
    <w:rsid w:val="007B4CC2"/>
    <w:rsid w:val="007B4EB1"/>
    <w:rsid w:val="007B4F23"/>
    <w:rsid w:val="007B50D7"/>
    <w:rsid w:val="007B5346"/>
    <w:rsid w:val="007B571D"/>
    <w:rsid w:val="007B58E9"/>
    <w:rsid w:val="007B5974"/>
    <w:rsid w:val="007B6118"/>
    <w:rsid w:val="007B6193"/>
    <w:rsid w:val="007B6435"/>
    <w:rsid w:val="007B6790"/>
    <w:rsid w:val="007B6B7F"/>
    <w:rsid w:val="007B6D38"/>
    <w:rsid w:val="007B6D52"/>
    <w:rsid w:val="007B6D6A"/>
    <w:rsid w:val="007B7059"/>
    <w:rsid w:val="007B7079"/>
    <w:rsid w:val="007B75A2"/>
    <w:rsid w:val="007B75D4"/>
    <w:rsid w:val="007B7F28"/>
    <w:rsid w:val="007C00DC"/>
    <w:rsid w:val="007C0137"/>
    <w:rsid w:val="007C01C0"/>
    <w:rsid w:val="007C041E"/>
    <w:rsid w:val="007C083C"/>
    <w:rsid w:val="007C09C6"/>
    <w:rsid w:val="007C0B4F"/>
    <w:rsid w:val="007C0FC2"/>
    <w:rsid w:val="007C1015"/>
    <w:rsid w:val="007C12B4"/>
    <w:rsid w:val="007C1A08"/>
    <w:rsid w:val="007C255E"/>
    <w:rsid w:val="007C25EF"/>
    <w:rsid w:val="007C2797"/>
    <w:rsid w:val="007C315C"/>
    <w:rsid w:val="007C31C2"/>
    <w:rsid w:val="007C31F5"/>
    <w:rsid w:val="007C3237"/>
    <w:rsid w:val="007C32D7"/>
    <w:rsid w:val="007C33AA"/>
    <w:rsid w:val="007C395C"/>
    <w:rsid w:val="007C40D0"/>
    <w:rsid w:val="007C41AF"/>
    <w:rsid w:val="007C41BB"/>
    <w:rsid w:val="007C4C7B"/>
    <w:rsid w:val="007C51AE"/>
    <w:rsid w:val="007C53A0"/>
    <w:rsid w:val="007C61B3"/>
    <w:rsid w:val="007C62D3"/>
    <w:rsid w:val="007C6423"/>
    <w:rsid w:val="007C6B65"/>
    <w:rsid w:val="007C6F93"/>
    <w:rsid w:val="007C7081"/>
    <w:rsid w:val="007D0096"/>
    <w:rsid w:val="007D0555"/>
    <w:rsid w:val="007D05FA"/>
    <w:rsid w:val="007D06C2"/>
    <w:rsid w:val="007D0980"/>
    <w:rsid w:val="007D0A0D"/>
    <w:rsid w:val="007D0B6C"/>
    <w:rsid w:val="007D0B7E"/>
    <w:rsid w:val="007D0CEE"/>
    <w:rsid w:val="007D1183"/>
    <w:rsid w:val="007D1506"/>
    <w:rsid w:val="007D1571"/>
    <w:rsid w:val="007D161B"/>
    <w:rsid w:val="007D178B"/>
    <w:rsid w:val="007D1973"/>
    <w:rsid w:val="007D1F20"/>
    <w:rsid w:val="007D2919"/>
    <w:rsid w:val="007D2924"/>
    <w:rsid w:val="007D2971"/>
    <w:rsid w:val="007D29E5"/>
    <w:rsid w:val="007D2C18"/>
    <w:rsid w:val="007D30F1"/>
    <w:rsid w:val="007D3442"/>
    <w:rsid w:val="007D3893"/>
    <w:rsid w:val="007D43D5"/>
    <w:rsid w:val="007D444D"/>
    <w:rsid w:val="007D49D8"/>
    <w:rsid w:val="007D4F77"/>
    <w:rsid w:val="007D4F9F"/>
    <w:rsid w:val="007D51E0"/>
    <w:rsid w:val="007D5367"/>
    <w:rsid w:val="007D55B9"/>
    <w:rsid w:val="007D5786"/>
    <w:rsid w:val="007D5E02"/>
    <w:rsid w:val="007D5E4D"/>
    <w:rsid w:val="007D5EE8"/>
    <w:rsid w:val="007D5F68"/>
    <w:rsid w:val="007D62F9"/>
    <w:rsid w:val="007D67D1"/>
    <w:rsid w:val="007D6EE0"/>
    <w:rsid w:val="007D6F33"/>
    <w:rsid w:val="007D703C"/>
    <w:rsid w:val="007D71EE"/>
    <w:rsid w:val="007D75D9"/>
    <w:rsid w:val="007D789D"/>
    <w:rsid w:val="007D7AFF"/>
    <w:rsid w:val="007D7B34"/>
    <w:rsid w:val="007D7DD0"/>
    <w:rsid w:val="007D7F8F"/>
    <w:rsid w:val="007D7F96"/>
    <w:rsid w:val="007E037F"/>
    <w:rsid w:val="007E05A5"/>
    <w:rsid w:val="007E05F1"/>
    <w:rsid w:val="007E06F8"/>
    <w:rsid w:val="007E07AC"/>
    <w:rsid w:val="007E0C2C"/>
    <w:rsid w:val="007E1190"/>
    <w:rsid w:val="007E11FB"/>
    <w:rsid w:val="007E1732"/>
    <w:rsid w:val="007E1E59"/>
    <w:rsid w:val="007E21A3"/>
    <w:rsid w:val="007E26ED"/>
    <w:rsid w:val="007E2BCB"/>
    <w:rsid w:val="007E2C07"/>
    <w:rsid w:val="007E2F25"/>
    <w:rsid w:val="007E3273"/>
    <w:rsid w:val="007E3924"/>
    <w:rsid w:val="007E3B10"/>
    <w:rsid w:val="007E3E7F"/>
    <w:rsid w:val="007E4340"/>
    <w:rsid w:val="007E479A"/>
    <w:rsid w:val="007E4903"/>
    <w:rsid w:val="007E4B7B"/>
    <w:rsid w:val="007E4D84"/>
    <w:rsid w:val="007E4DB1"/>
    <w:rsid w:val="007E5281"/>
    <w:rsid w:val="007E5427"/>
    <w:rsid w:val="007E5475"/>
    <w:rsid w:val="007E56C4"/>
    <w:rsid w:val="007E5A21"/>
    <w:rsid w:val="007E5AD0"/>
    <w:rsid w:val="007E5AD2"/>
    <w:rsid w:val="007E5BA7"/>
    <w:rsid w:val="007E605B"/>
    <w:rsid w:val="007E60B6"/>
    <w:rsid w:val="007E6393"/>
    <w:rsid w:val="007E695E"/>
    <w:rsid w:val="007E6AAA"/>
    <w:rsid w:val="007E6E8E"/>
    <w:rsid w:val="007E6FBC"/>
    <w:rsid w:val="007E7104"/>
    <w:rsid w:val="007E72F3"/>
    <w:rsid w:val="007E7591"/>
    <w:rsid w:val="007E791C"/>
    <w:rsid w:val="007E7EC0"/>
    <w:rsid w:val="007F0037"/>
    <w:rsid w:val="007F021D"/>
    <w:rsid w:val="007F025A"/>
    <w:rsid w:val="007F04B0"/>
    <w:rsid w:val="007F08C4"/>
    <w:rsid w:val="007F0C3C"/>
    <w:rsid w:val="007F0CF2"/>
    <w:rsid w:val="007F0FFA"/>
    <w:rsid w:val="007F133F"/>
    <w:rsid w:val="007F1436"/>
    <w:rsid w:val="007F14FF"/>
    <w:rsid w:val="007F16AB"/>
    <w:rsid w:val="007F187E"/>
    <w:rsid w:val="007F21AA"/>
    <w:rsid w:val="007F252D"/>
    <w:rsid w:val="007F30F8"/>
    <w:rsid w:val="007F39EB"/>
    <w:rsid w:val="007F3F57"/>
    <w:rsid w:val="007F4034"/>
    <w:rsid w:val="007F4747"/>
    <w:rsid w:val="007F49A7"/>
    <w:rsid w:val="007F4A8A"/>
    <w:rsid w:val="007F4D3F"/>
    <w:rsid w:val="007F5034"/>
    <w:rsid w:val="007F5070"/>
    <w:rsid w:val="007F5379"/>
    <w:rsid w:val="007F5631"/>
    <w:rsid w:val="007F5659"/>
    <w:rsid w:val="007F5A45"/>
    <w:rsid w:val="007F5F5B"/>
    <w:rsid w:val="007F614C"/>
    <w:rsid w:val="007F66B9"/>
    <w:rsid w:val="007F7210"/>
    <w:rsid w:val="007F73D0"/>
    <w:rsid w:val="007F740F"/>
    <w:rsid w:val="007F7871"/>
    <w:rsid w:val="007F7873"/>
    <w:rsid w:val="007F7D93"/>
    <w:rsid w:val="007F7F8B"/>
    <w:rsid w:val="008003B5"/>
    <w:rsid w:val="00800425"/>
    <w:rsid w:val="00800516"/>
    <w:rsid w:val="00800C01"/>
    <w:rsid w:val="00800CA9"/>
    <w:rsid w:val="0080192A"/>
    <w:rsid w:val="0080193A"/>
    <w:rsid w:val="00801BEC"/>
    <w:rsid w:val="00801F68"/>
    <w:rsid w:val="008023D5"/>
    <w:rsid w:val="0080267C"/>
    <w:rsid w:val="00803253"/>
    <w:rsid w:val="00803349"/>
    <w:rsid w:val="008034E2"/>
    <w:rsid w:val="00803AFB"/>
    <w:rsid w:val="00803F1B"/>
    <w:rsid w:val="0080497D"/>
    <w:rsid w:val="00804B94"/>
    <w:rsid w:val="00804BA3"/>
    <w:rsid w:val="00804E18"/>
    <w:rsid w:val="00804E4E"/>
    <w:rsid w:val="00804F5D"/>
    <w:rsid w:val="008052D4"/>
    <w:rsid w:val="00805D0A"/>
    <w:rsid w:val="00805F42"/>
    <w:rsid w:val="008064B3"/>
    <w:rsid w:val="008066BA"/>
    <w:rsid w:val="00806ADC"/>
    <w:rsid w:val="00806BF2"/>
    <w:rsid w:val="00806CD3"/>
    <w:rsid w:val="008071F3"/>
    <w:rsid w:val="008078F9"/>
    <w:rsid w:val="00807B1E"/>
    <w:rsid w:val="0081001F"/>
    <w:rsid w:val="00810076"/>
    <w:rsid w:val="00810188"/>
    <w:rsid w:val="00810556"/>
    <w:rsid w:val="008107B1"/>
    <w:rsid w:val="008107CA"/>
    <w:rsid w:val="00810BE4"/>
    <w:rsid w:val="00810C3C"/>
    <w:rsid w:val="00811223"/>
    <w:rsid w:val="00811342"/>
    <w:rsid w:val="0081136A"/>
    <w:rsid w:val="00811BC2"/>
    <w:rsid w:val="00812751"/>
    <w:rsid w:val="00812941"/>
    <w:rsid w:val="00812AB3"/>
    <w:rsid w:val="00812CD1"/>
    <w:rsid w:val="00812E2E"/>
    <w:rsid w:val="00813034"/>
    <w:rsid w:val="00813283"/>
    <w:rsid w:val="008135DD"/>
    <w:rsid w:val="00813C0E"/>
    <w:rsid w:val="00813E71"/>
    <w:rsid w:val="00814208"/>
    <w:rsid w:val="0081428E"/>
    <w:rsid w:val="0081452C"/>
    <w:rsid w:val="008152A9"/>
    <w:rsid w:val="0081538E"/>
    <w:rsid w:val="00815701"/>
    <w:rsid w:val="00816061"/>
    <w:rsid w:val="00816263"/>
    <w:rsid w:val="008164DB"/>
    <w:rsid w:val="00816555"/>
    <w:rsid w:val="008175AE"/>
    <w:rsid w:val="00817BE5"/>
    <w:rsid w:val="00817D88"/>
    <w:rsid w:val="00817EF2"/>
    <w:rsid w:val="0082062D"/>
    <w:rsid w:val="0082077B"/>
    <w:rsid w:val="00820C7C"/>
    <w:rsid w:val="00820F7B"/>
    <w:rsid w:val="00820FE3"/>
    <w:rsid w:val="0082167A"/>
    <w:rsid w:val="008216AE"/>
    <w:rsid w:val="00821900"/>
    <w:rsid w:val="00821916"/>
    <w:rsid w:val="00821E3A"/>
    <w:rsid w:val="008224A9"/>
    <w:rsid w:val="00822515"/>
    <w:rsid w:val="00822830"/>
    <w:rsid w:val="00822853"/>
    <w:rsid w:val="00822D52"/>
    <w:rsid w:val="00822E27"/>
    <w:rsid w:val="0082315C"/>
    <w:rsid w:val="008231AD"/>
    <w:rsid w:val="008232CD"/>
    <w:rsid w:val="00823CBF"/>
    <w:rsid w:val="00823FD5"/>
    <w:rsid w:val="008240E8"/>
    <w:rsid w:val="008247D5"/>
    <w:rsid w:val="00824A2D"/>
    <w:rsid w:val="00824D35"/>
    <w:rsid w:val="00825164"/>
    <w:rsid w:val="008252B9"/>
    <w:rsid w:val="0082549B"/>
    <w:rsid w:val="008254FE"/>
    <w:rsid w:val="008257AE"/>
    <w:rsid w:val="008258AE"/>
    <w:rsid w:val="00825A18"/>
    <w:rsid w:val="00825BE4"/>
    <w:rsid w:val="00825C1B"/>
    <w:rsid w:val="00826234"/>
    <w:rsid w:val="0082664C"/>
    <w:rsid w:val="00826E85"/>
    <w:rsid w:val="00827053"/>
    <w:rsid w:val="008270FC"/>
    <w:rsid w:val="0082713D"/>
    <w:rsid w:val="0082735F"/>
    <w:rsid w:val="00827592"/>
    <w:rsid w:val="00827EB3"/>
    <w:rsid w:val="00827FF6"/>
    <w:rsid w:val="00830587"/>
    <w:rsid w:val="0083061D"/>
    <w:rsid w:val="00830822"/>
    <w:rsid w:val="008308AF"/>
    <w:rsid w:val="00830997"/>
    <w:rsid w:val="00830D5F"/>
    <w:rsid w:val="00830F6A"/>
    <w:rsid w:val="008310D7"/>
    <w:rsid w:val="00831427"/>
    <w:rsid w:val="008318CB"/>
    <w:rsid w:val="008319F8"/>
    <w:rsid w:val="0083204D"/>
    <w:rsid w:val="00832997"/>
    <w:rsid w:val="008329A5"/>
    <w:rsid w:val="00832D18"/>
    <w:rsid w:val="00832D27"/>
    <w:rsid w:val="008334E8"/>
    <w:rsid w:val="008338C0"/>
    <w:rsid w:val="00833E86"/>
    <w:rsid w:val="00833F7B"/>
    <w:rsid w:val="00833FD8"/>
    <w:rsid w:val="0083447F"/>
    <w:rsid w:val="00834699"/>
    <w:rsid w:val="00834860"/>
    <w:rsid w:val="00834A80"/>
    <w:rsid w:val="00834DC9"/>
    <w:rsid w:val="00834EB7"/>
    <w:rsid w:val="0083535E"/>
    <w:rsid w:val="00835806"/>
    <w:rsid w:val="00835DEE"/>
    <w:rsid w:val="0083634B"/>
    <w:rsid w:val="008368FB"/>
    <w:rsid w:val="00836B6B"/>
    <w:rsid w:val="00837036"/>
    <w:rsid w:val="008371F3"/>
    <w:rsid w:val="008377F9"/>
    <w:rsid w:val="00837C64"/>
    <w:rsid w:val="00837D5F"/>
    <w:rsid w:val="00837E90"/>
    <w:rsid w:val="00837FE5"/>
    <w:rsid w:val="0084078F"/>
    <w:rsid w:val="00840A49"/>
    <w:rsid w:val="00840B6C"/>
    <w:rsid w:val="00840C3B"/>
    <w:rsid w:val="00840F0E"/>
    <w:rsid w:val="00841050"/>
    <w:rsid w:val="008413CD"/>
    <w:rsid w:val="00841464"/>
    <w:rsid w:val="008414D1"/>
    <w:rsid w:val="008416BC"/>
    <w:rsid w:val="0084181D"/>
    <w:rsid w:val="00841ED5"/>
    <w:rsid w:val="00842127"/>
    <w:rsid w:val="00842761"/>
    <w:rsid w:val="008432DD"/>
    <w:rsid w:val="0084346E"/>
    <w:rsid w:val="008435C9"/>
    <w:rsid w:val="00843C20"/>
    <w:rsid w:val="00843C2F"/>
    <w:rsid w:val="00843F87"/>
    <w:rsid w:val="00844006"/>
    <w:rsid w:val="00844075"/>
    <w:rsid w:val="0084483C"/>
    <w:rsid w:val="00844893"/>
    <w:rsid w:val="008448BA"/>
    <w:rsid w:val="00844B0A"/>
    <w:rsid w:val="00844DBE"/>
    <w:rsid w:val="008451B3"/>
    <w:rsid w:val="00845289"/>
    <w:rsid w:val="0084569B"/>
    <w:rsid w:val="008456C5"/>
    <w:rsid w:val="008456DC"/>
    <w:rsid w:val="0084596B"/>
    <w:rsid w:val="00846101"/>
    <w:rsid w:val="00846501"/>
    <w:rsid w:val="0084675E"/>
    <w:rsid w:val="008467EF"/>
    <w:rsid w:val="00846B42"/>
    <w:rsid w:val="008475E1"/>
    <w:rsid w:val="0084760F"/>
    <w:rsid w:val="00847656"/>
    <w:rsid w:val="00847862"/>
    <w:rsid w:val="008479D8"/>
    <w:rsid w:val="00847B85"/>
    <w:rsid w:val="00847CBF"/>
    <w:rsid w:val="0085059D"/>
    <w:rsid w:val="00850812"/>
    <w:rsid w:val="00851087"/>
    <w:rsid w:val="008511DC"/>
    <w:rsid w:val="008517E2"/>
    <w:rsid w:val="00851D08"/>
    <w:rsid w:val="008521CD"/>
    <w:rsid w:val="008523E8"/>
    <w:rsid w:val="00852707"/>
    <w:rsid w:val="0085294D"/>
    <w:rsid w:val="00852B81"/>
    <w:rsid w:val="00852C6B"/>
    <w:rsid w:val="00852DB7"/>
    <w:rsid w:val="00853291"/>
    <w:rsid w:val="008535C4"/>
    <w:rsid w:val="00853672"/>
    <w:rsid w:val="00853C91"/>
    <w:rsid w:val="00853CD6"/>
    <w:rsid w:val="00853DA8"/>
    <w:rsid w:val="00853DFC"/>
    <w:rsid w:val="00854122"/>
    <w:rsid w:val="00854367"/>
    <w:rsid w:val="00854487"/>
    <w:rsid w:val="0085465E"/>
    <w:rsid w:val="00854888"/>
    <w:rsid w:val="00854D08"/>
    <w:rsid w:val="00854EAC"/>
    <w:rsid w:val="00854F49"/>
    <w:rsid w:val="008553C5"/>
    <w:rsid w:val="008556A7"/>
    <w:rsid w:val="00855856"/>
    <w:rsid w:val="00856026"/>
    <w:rsid w:val="008562AF"/>
    <w:rsid w:val="00856585"/>
    <w:rsid w:val="008565C8"/>
    <w:rsid w:val="008566E4"/>
    <w:rsid w:val="008566F9"/>
    <w:rsid w:val="00856717"/>
    <w:rsid w:val="0085673B"/>
    <w:rsid w:val="008568F0"/>
    <w:rsid w:val="0085694E"/>
    <w:rsid w:val="00857057"/>
    <w:rsid w:val="0085747C"/>
    <w:rsid w:val="00857498"/>
    <w:rsid w:val="008575C7"/>
    <w:rsid w:val="00857634"/>
    <w:rsid w:val="00857638"/>
    <w:rsid w:val="0085777B"/>
    <w:rsid w:val="008578C3"/>
    <w:rsid w:val="00857C99"/>
    <w:rsid w:val="00857E79"/>
    <w:rsid w:val="00857EC9"/>
    <w:rsid w:val="00860115"/>
    <w:rsid w:val="008607E5"/>
    <w:rsid w:val="00860801"/>
    <w:rsid w:val="0086099A"/>
    <w:rsid w:val="00860D68"/>
    <w:rsid w:val="00860E0B"/>
    <w:rsid w:val="00860EF9"/>
    <w:rsid w:val="00860F07"/>
    <w:rsid w:val="00861068"/>
    <w:rsid w:val="00861D60"/>
    <w:rsid w:val="00862102"/>
    <w:rsid w:val="008624DD"/>
    <w:rsid w:val="00862A64"/>
    <w:rsid w:val="00862C3A"/>
    <w:rsid w:val="00862CDF"/>
    <w:rsid w:val="00863090"/>
    <w:rsid w:val="00863154"/>
    <w:rsid w:val="008632F7"/>
    <w:rsid w:val="00863621"/>
    <w:rsid w:val="00863665"/>
    <w:rsid w:val="00863C2B"/>
    <w:rsid w:val="00863E28"/>
    <w:rsid w:val="0086452E"/>
    <w:rsid w:val="008645CA"/>
    <w:rsid w:val="008648DB"/>
    <w:rsid w:val="0086490F"/>
    <w:rsid w:val="008649C2"/>
    <w:rsid w:val="00864D8E"/>
    <w:rsid w:val="00865184"/>
    <w:rsid w:val="00865258"/>
    <w:rsid w:val="008652E7"/>
    <w:rsid w:val="00865958"/>
    <w:rsid w:val="008659E7"/>
    <w:rsid w:val="00865B63"/>
    <w:rsid w:val="00866045"/>
    <w:rsid w:val="008663E6"/>
    <w:rsid w:val="00866F71"/>
    <w:rsid w:val="00867225"/>
    <w:rsid w:val="00867242"/>
    <w:rsid w:val="00867518"/>
    <w:rsid w:val="0086770A"/>
    <w:rsid w:val="00867CBD"/>
    <w:rsid w:val="0087007E"/>
    <w:rsid w:val="0087008F"/>
    <w:rsid w:val="0087024D"/>
    <w:rsid w:val="00870305"/>
    <w:rsid w:val="008703CC"/>
    <w:rsid w:val="008703E4"/>
    <w:rsid w:val="0087095D"/>
    <w:rsid w:val="00870E55"/>
    <w:rsid w:val="0087145B"/>
    <w:rsid w:val="0087164C"/>
    <w:rsid w:val="0087168D"/>
    <w:rsid w:val="00871D9F"/>
    <w:rsid w:val="00871EDA"/>
    <w:rsid w:val="00871F79"/>
    <w:rsid w:val="00872363"/>
    <w:rsid w:val="008727B4"/>
    <w:rsid w:val="008728BD"/>
    <w:rsid w:val="00872D5A"/>
    <w:rsid w:val="00872DCE"/>
    <w:rsid w:val="00872FFA"/>
    <w:rsid w:val="00873214"/>
    <w:rsid w:val="008733D7"/>
    <w:rsid w:val="0087374C"/>
    <w:rsid w:val="00873807"/>
    <w:rsid w:val="00873A9B"/>
    <w:rsid w:val="00873FAE"/>
    <w:rsid w:val="008748F9"/>
    <w:rsid w:val="00874CAB"/>
    <w:rsid w:val="008750B7"/>
    <w:rsid w:val="00875468"/>
    <w:rsid w:val="0087551E"/>
    <w:rsid w:val="00875730"/>
    <w:rsid w:val="00875CE8"/>
    <w:rsid w:val="00875F4B"/>
    <w:rsid w:val="00876267"/>
    <w:rsid w:val="0087664E"/>
    <w:rsid w:val="0087668D"/>
    <w:rsid w:val="0087695A"/>
    <w:rsid w:val="008774C3"/>
    <w:rsid w:val="008777B7"/>
    <w:rsid w:val="00877F7A"/>
    <w:rsid w:val="00880209"/>
    <w:rsid w:val="008803B3"/>
    <w:rsid w:val="008805B2"/>
    <w:rsid w:val="00880809"/>
    <w:rsid w:val="008809EA"/>
    <w:rsid w:val="00880A1F"/>
    <w:rsid w:val="00880AD9"/>
    <w:rsid w:val="00880B36"/>
    <w:rsid w:val="00881028"/>
    <w:rsid w:val="0088170D"/>
    <w:rsid w:val="00881780"/>
    <w:rsid w:val="00881D56"/>
    <w:rsid w:val="00882B47"/>
    <w:rsid w:val="00882C3E"/>
    <w:rsid w:val="00882DA6"/>
    <w:rsid w:val="008832F4"/>
    <w:rsid w:val="0088339D"/>
    <w:rsid w:val="0088340B"/>
    <w:rsid w:val="008836E1"/>
    <w:rsid w:val="00883AF5"/>
    <w:rsid w:val="00884175"/>
    <w:rsid w:val="008846A8"/>
    <w:rsid w:val="008849C1"/>
    <w:rsid w:val="00885555"/>
    <w:rsid w:val="0088559B"/>
    <w:rsid w:val="008858EA"/>
    <w:rsid w:val="008859F6"/>
    <w:rsid w:val="00885D6D"/>
    <w:rsid w:val="00885F6C"/>
    <w:rsid w:val="008861C6"/>
    <w:rsid w:val="008862AB"/>
    <w:rsid w:val="00886351"/>
    <w:rsid w:val="0088687E"/>
    <w:rsid w:val="008868A1"/>
    <w:rsid w:val="00886A62"/>
    <w:rsid w:val="00886D7C"/>
    <w:rsid w:val="00886F92"/>
    <w:rsid w:val="008873D0"/>
    <w:rsid w:val="00887681"/>
    <w:rsid w:val="00890681"/>
    <w:rsid w:val="0089078C"/>
    <w:rsid w:val="00890929"/>
    <w:rsid w:val="0089096D"/>
    <w:rsid w:val="00890A71"/>
    <w:rsid w:val="00890B36"/>
    <w:rsid w:val="00890B4E"/>
    <w:rsid w:val="008913A3"/>
    <w:rsid w:val="008918C6"/>
    <w:rsid w:val="008919A5"/>
    <w:rsid w:val="00891AAA"/>
    <w:rsid w:val="00891C74"/>
    <w:rsid w:val="00891E64"/>
    <w:rsid w:val="00892306"/>
    <w:rsid w:val="008923B2"/>
    <w:rsid w:val="00892E04"/>
    <w:rsid w:val="00893647"/>
    <w:rsid w:val="00893C5F"/>
    <w:rsid w:val="00893D40"/>
    <w:rsid w:val="00893ED5"/>
    <w:rsid w:val="00893FAC"/>
    <w:rsid w:val="008940C6"/>
    <w:rsid w:val="00894567"/>
    <w:rsid w:val="0089467C"/>
    <w:rsid w:val="008949B2"/>
    <w:rsid w:val="008949D2"/>
    <w:rsid w:val="0089502C"/>
    <w:rsid w:val="00895193"/>
    <w:rsid w:val="00895267"/>
    <w:rsid w:val="00895486"/>
    <w:rsid w:val="0089549C"/>
    <w:rsid w:val="008956F4"/>
    <w:rsid w:val="008957BD"/>
    <w:rsid w:val="00895825"/>
    <w:rsid w:val="008959FA"/>
    <w:rsid w:val="00895C15"/>
    <w:rsid w:val="00895DF9"/>
    <w:rsid w:val="00895EB9"/>
    <w:rsid w:val="00896041"/>
    <w:rsid w:val="008961C4"/>
    <w:rsid w:val="008962F4"/>
    <w:rsid w:val="008964B4"/>
    <w:rsid w:val="00896978"/>
    <w:rsid w:val="00896A8C"/>
    <w:rsid w:val="00896E3A"/>
    <w:rsid w:val="00897DEB"/>
    <w:rsid w:val="00897DFD"/>
    <w:rsid w:val="00897F23"/>
    <w:rsid w:val="008A06DA"/>
    <w:rsid w:val="008A0A4B"/>
    <w:rsid w:val="008A0CB1"/>
    <w:rsid w:val="008A103A"/>
    <w:rsid w:val="008A1054"/>
    <w:rsid w:val="008A125C"/>
    <w:rsid w:val="008A1488"/>
    <w:rsid w:val="008A1675"/>
    <w:rsid w:val="008A1765"/>
    <w:rsid w:val="008A17F3"/>
    <w:rsid w:val="008A1A72"/>
    <w:rsid w:val="008A1DF1"/>
    <w:rsid w:val="008A28D4"/>
    <w:rsid w:val="008A2AD7"/>
    <w:rsid w:val="008A3076"/>
    <w:rsid w:val="008A3263"/>
    <w:rsid w:val="008A3E2A"/>
    <w:rsid w:val="008A451A"/>
    <w:rsid w:val="008A47D6"/>
    <w:rsid w:val="008A4A3B"/>
    <w:rsid w:val="008A4B60"/>
    <w:rsid w:val="008A5627"/>
    <w:rsid w:val="008A5C75"/>
    <w:rsid w:val="008A5E79"/>
    <w:rsid w:val="008A5FE5"/>
    <w:rsid w:val="008A6163"/>
    <w:rsid w:val="008A64F5"/>
    <w:rsid w:val="008A6579"/>
    <w:rsid w:val="008A6904"/>
    <w:rsid w:val="008A6A43"/>
    <w:rsid w:val="008A6D2B"/>
    <w:rsid w:val="008A6D4A"/>
    <w:rsid w:val="008A7014"/>
    <w:rsid w:val="008A71CC"/>
    <w:rsid w:val="008A74AF"/>
    <w:rsid w:val="008A7B3A"/>
    <w:rsid w:val="008B028B"/>
    <w:rsid w:val="008B053B"/>
    <w:rsid w:val="008B0C65"/>
    <w:rsid w:val="008B1506"/>
    <w:rsid w:val="008B1EC9"/>
    <w:rsid w:val="008B230B"/>
    <w:rsid w:val="008B24E9"/>
    <w:rsid w:val="008B2E66"/>
    <w:rsid w:val="008B31E4"/>
    <w:rsid w:val="008B37EC"/>
    <w:rsid w:val="008B3B12"/>
    <w:rsid w:val="008B3D52"/>
    <w:rsid w:val="008B3E73"/>
    <w:rsid w:val="008B4298"/>
    <w:rsid w:val="008B45AB"/>
    <w:rsid w:val="008B4998"/>
    <w:rsid w:val="008B505D"/>
    <w:rsid w:val="008B50F4"/>
    <w:rsid w:val="008B5351"/>
    <w:rsid w:val="008B5513"/>
    <w:rsid w:val="008B5B3F"/>
    <w:rsid w:val="008B5B41"/>
    <w:rsid w:val="008B5CC5"/>
    <w:rsid w:val="008B5CD1"/>
    <w:rsid w:val="008B5F3E"/>
    <w:rsid w:val="008B60CF"/>
    <w:rsid w:val="008B6126"/>
    <w:rsid w:val="008B6424"/>
    <w:rsid w:val="008B64C9"/>
    <w:rsid w:val="008B6558"/>
    <w:rsid w:val="008B6622"/>
    <w:rsid w:val="008B6A15"/>
    <w:rsid w:val="008B6E84"/>
    <w:rsid w:val="008B6EAA"/>
    <w:rsid w:val="008B6FE8"/>
    <w:rsid w:val="008B703B"/>
    <w:rsid w:val="008B71C4"/>
    <w:rsid w:val="008B72C7"/>
    <w:rsid w:val="008B7614"/>
    <w:rsid w:val="008B7A14"/>
    <w:rsid w:val="008B7C65"/>
    <w:rsid w:val="008B7F56"/>
    <w:rsid w:val="008C0338"/>
    <w:rsid w:val="008C048C"/>
    <w:rsid w:val="008C04EC"/>
    <w:rsid w:val="008C05CF"/>
    <w:rsid w:val="008C07CC"/>
    <w:rsid w:val="008C0CC4"/>
    <w:rsid w:val="008C0E78"/>
    <w:rsid w:val="008C0F25"/>
    <w:rsid w:val="008C11EA"/>
    <w:rsid w:val="008C1D2C"/>
    <w:rsid w:val="008C1FC0"/>
    <w:rsid w:val="008C21B5"/>
    <w:rsid w:val="008C254A"/>
    <w:rsid w:val="008C27BB"/>
    <w:rsid w:val="008C27CB"/>
    <w:rsid w:val="008C28A2"/>
    <w:rsid w:val="008C2BF7"/>
    <w:rsid w:val="008C2EEA"/>
    <w:rsid w:val="008C2FF7"/>
    <w:rsid w:val="008C3310"/>
    <w:rsid w:val="008C37C9"/>
    <w:rsid w:val="008C3C7C"/>
    <w:rsid w:val="008C3D47"/>
    <w:rsid w:val="008C40C3"/>
    <w:rsid w:val="008C432B"/>
    <w:rsid w:val="008C46E6"/>
    <w:rsid w:val="008C4979"/>
    <w:rsid w:val="008C49ED"/>
    <w:rsid w:val="008C4B10"/>
    <w:rsid w:val="008C4C76"/>
    <w:rsid w:val="008C4E79"/>
    <w:rsid w:val="008C5C15"/>
    <w:rsid w:val="008C5F97"/>
    <w:rsid w:val="008C632E"/>
    <w:rsid w:val="008C64CE"/>
    <w:rsid w:val="008C6A76"/>
    <w:rsid w:val="008C6E3A"/>
    <w:rsid w:val="008C6E9B"/>
    <w:rsid w:val="008C7046"/>
    <w:rsid w:val="008C737E"/>
    <w:rsid w:val="008C7581"/>
    <w:rsid w:val="008C7B7D"/>
    <w:rsid w:val="008C7C0A"/>
    <w:rsid w:val="008D036A"/>
    <w:rsid w:val="008D053A"/>
    <w:rsid w:val="008D0886"/>
    <w:rsid w:val="008D0E03"/>
    <w:rsid w:val="008D0E21"/>
    <w:rsid w:val="008D1156"/>
    <w:rsid w:val="008D1554"/>
    <w:rsid w:val="008D1822"/>
    <w:rsid w:val="008D1BF3"/>
    <w:rsid w:val="008D1CAD"/>
    <w:rsid w:val="008D1D62"/>
    <w:rsid w:val="008D224C"/>
    <w:rsid w:val="008D2339"/>
    <w:rsid w:val="008D24C3"/>
    <w:rsid w:val="008D2772"/>
    <w:rsid w:val="008D388A"/>
    <w:rsid w:val="008D3A13"/>
    <w:rsid w:val="008D3CDB"/>
    <w:rsid w:val="008D3D13"/>
    <w:rsid w:val="008D44F2"/>
    <w:rsid w:val="008D484A"/>
    <w:rsid w:val="008D4862"/>
    <w:rsid w:val="008D4E68"/>
    <w:rsid w:val="008D5114"/>
    <w:rsid w:val="008D547C"/>
    <w:rsid w:val="008D5962"/>
    <w:rsid w:val="008D5A00"/>
    <w:rsid w:val="008D5A5F"/>
    <w:rsid w:val="008D5AD6"/>
    <w:rsid w:val="008D5BCF"/>
    <w:rsid w:val="008D5E2B"/>
    <w:rsid w:val="008D6067"/>
    <w:rsid w:val="008D6095"/>
    <w:rsid w:val="008D62D1"/>
    <w:rsid w:val="008D62F8"/>
    <w:rsid w:val="008D6513"/>
    <w:rsid w:val="008D6B67"/>
    <w:rsid w:val="008D6D27"/>
    <w:rsid w:val="008D6D3E"/>
    <w:rsid w:val="008D6D70"/>
    <w:rsid w:val="008D6F03"/>
    <w:rsid w:val="008D7446"/>
    <w:rsid w:val="008D7512"/>
    <w:rsid w:val="008D7599"/>
    <w:rsid w:val="008D78CB"/>
    <w:rsid w:val="008D7C63"/>
    <w:rsid w:val="008E0157"/>
    <w:rsid w:val="008E041F"/>
    <w:rsid w:val="008E061F"/>
    <w:rsid w:val="008E0A18"/>
    <w:rsid w:val="008E0AB4"/>
    <w:rsid w:val="008E0C94"/>
    <w:rsid w:val="008E126C"/>
    <w:rsid w:val="008E1287"/>
    <w:rsid w:val="008E12B8"/>
    <w:rsid w:val="008E15E0"/>
    <w:rsid w:val="008E1810"/>
    <w:rsid w:val="008E1B45"/>
    <w:rsid w:val="008E2467"/>
    <w:rsid w:val="008E25B9"/>
    <w:rsid w:val="008E26C0"/>
    <w:rsid w:val="008E28FB"/>
    <w:rsid w:val="008E2C27"/>
    <w:rsid w:val="008E3435"/>
    <w:rsid w:val="008E34ED"/>
    <w:rsid w:val="008E378E"/>
    <w:rsid w:val="008E3810"/>
    <w:rsid w:val="008E3860"/>
    <w:rsid w:val="008E3E0B"/>
    <w:rsid w:val="008E4147"/>
    <w:rsid w:val="008E429A"/>
    <w:rsid w:val="008E43C0"/>
    <w:rsid w:val="008E4F71"/>
    <w:rsid w:val="008E509A"/>
    <w:rsid w:val="008E50FE"/>
    <w:rsid w:val="008E514A"/>
    <w:rsid w:val="008E5303"/>
    <w:rsid w:val="008E558A"/>
    <w:rsid w:val="008E57C4"/>
    <w:rsid w:val="008E58EC"/>
    <w:rsid w:val="008E5C2F"/>
    <w:rsid w:val="008E5CF3"/>
    <w:rsid w:val="008E5E95"/>
    <w:rsid w:val="008E69A7"/>
    <w:rsid w:val="008E6EE6"/>
    <w:rsid w:val="008E7806"/>
    <w:rsid w:val="008E7A81"/>
    <w:rsid w:val="008E7BF4"/>
    <w:rsid w:val="008E7C63"/>
    <w:rsid w:val="008E7F5E"/>
    <w:rsid w:val="008F00D9"/>
    <w:rsid w:val="008F050D"/>
    <w:rsid w:val="008F12C3"/>
    <w:rsid w:val="008F162D"/>
    <w:rsid w:val="008F1923"/>
    <w:rsid w:val="008F1DFD"/>
    <w:rsid w:val="008F1E7C"/>
    <w:rsid w:val="008F218C"/>
    <w:rsid w:val="008F292B"/>
    <w:rsid w:val="008F2931"/>
    <w:rsid w:val="008F2DD7"/>
    <w:rsid w:val="008F2F8D"/>
    <w:rsid w:val="008F2FDB"/>
    <w:rsid w:val="008F2FEB"/>
    <w:rsid w:val="008F32C1"/>
    <w:rsid w:val="008F34C9"/>
    <w:rsid w:val="008F3CBE"/>
    <w:rsid w:val="008F433E"/>
    <w:rsid w:val="008F43A0"/>
    <w:rsid w:val="008F44A9"/>
    <w:rsid w:val="008F4501"/>
    <w:rsid w:val="008F485A"/>
    <w:rsid w:val="008F495A"/>
    <w:rsid w:val="008F49F6"/>
    <w:rsid w:val="008F4F86"/>
    <w:rsid w:val="008F5301"/>
    <w:rsid w:val="008F598B"/>
    <w:rsid w:val="008F5A5B"/>
    <w:rsid w:val="008F5F5F"/>
    <w:rsid w:val="008F6023"/>
    <w:rsid w:val="008F68B3"/>
    <w:rsid w:val="008F6B4F"/>
    <w:rsid w:val="008F6C0E"/>
    <w:rsid w:val="008F7053"/>
    <w:rsid w:val="008F7100"/>
    <w:rsid w:val="008F7243"/>
    <w:rsid w:val="008F7284"/>
    <w:rsid w:val="008F74EC"/>
    <w:rsid w:val="008F76AB"/>
    <w:rsid w:val="008F7C76"/>
    <w:rsid w:val="008F7F2F"/>
    <w:rsid w:val="0090012E"/>
    <w:rsid w:val="009001AC"/>
    <w:rsid w:val="00900439"/>
    <w:rsid w:val="009014CB"/>
    <w:rsid w:val="00901543"/>
    <w:rsid w:val="00901588"/>
    <w:rsid w:val="00901668"/>
    <w:rsid w:val="00902352"/>
    <w:rsid w:val="00902C6C"/>
    <w:rsid w:val="00903211"/>
    <w:rsid w:val="009039B0"/>
    <w:rsid w:val="00903C74"/>
    <w:rsid w:val="00903E81"/>
    <w:rsid w:val="00904416"/>
    <w:rsid w:val="009046B2"/>
    <w:rsid w:val="009046EE"/>
    <w:rsid w:val="0090483B"/>
    <w:rsid w:val="0090487B"/>
    <w:rsid w:val="0090487C"/>
    <w:rsid w:val="00905390"/>
    <w:rsid w:val="009057BA"/>
    <w:rsid w:val="00905834"/>
    <w:rsid w:val="00905DD6"/>
    <w:rsid w:val="009060DD"/>
    <w:rsid w:val="0090615F"/>
    <w:rsid w:val="00906572"/>
    <w:rsid w:val="00906626"/>
    <w:rsid w:val="00906DE3"/>
    <w:rsid w:val="00906DF6"/>
    <w:rsid w:val="00906F08"/>
    <w:rsid w:val="00907697"/>
    <w:rsid w:val="009077FD"/>
    <w:rsid w:val="00907F7F"/>
    <w:rsid w:val="009100C1"/>
    <w:rsid w:val="009100FB"/>
    <w:rsid w:val="0091024A"/>
    <w:rsid w:val="0091045F"/>
    <w:rsid w:val="0091065A"/>
    <w:rsid w:val="00910672"/>
    <w:rsid w:val="00910685"/>
    <w:rsid w:val="0091092D"/>
    <w:rsid w:val="00910A8C"/>
    <w:rsid w:val="00910AD8"/>
    <w:rsid w:val="00910D54"/>
    <w:rsid w:val="00910DA0"/>
    <w:rsid w:val="009110C8"/>
    <w:rsid w:val="00911116"/>
    <w:rsid w:val="00911381"/>
    <w:rsid w:val="0091197F"/>
    <w:rsid w:val="00911CC5"/>
    <w:rsid w:val="009121D8"/>
    <w:rsid w:val="00912385"/>
    <w:rsid w:val="009128DA"/>
    <w:rsid w:val="00912941"/>
    <w:rsid w:val="00912C9C"/>
    <w:rsid w:val="00912E69"/>
    <w:rsid w:val="00912ED1"/>
    <w:rsid w:val="00912FD8"/>
    <w:rsid w:val="0091336A"/>
    <w:rsid w:val="00913736"/>
    <w:rsid w:val="00913FFE"/>
    <w:rsid w:val="009140F7"/>
    <w:rsid w:val="0091448F"/>
    <w:rsid w:val="00914595"/>
    <w:rsid w:val="0091468D"/>
    <w:rsid w:val="00914730"/>
    <w:rsid w:val="009148A6"/>
    <w:rsid w:val="009149DD"/>
    <w:rsid w:val="00914C88"/>
    <w:rsid w:val="0091512C"/>
    <w:rsid w:val="009153EE"/>
    <w:rsid w:val="009154F9"/>
    <w:rsid w:val="0091597B"/>
    <w:rsid w:val="00915E61"/>
    <w:rsid w:val="00916228"/>
    <w:rsid w:val="009163FA"/>
    <w:rsid w:val="0091682D"/>
    <w:rsid w:val="00916A4E"/>
    <w:rsid w:val="0091730C"/>
    <w:rsid w:val="0091765D"/>
    <w:rsid w:val="00917946"/>
    <w:rsid w:val="009179CD"/>
    <w:rsid w:val="00917D61"/>
    <w:rsid w:val="00917D90"/>
    <w:rsid w:val="00920032"/>
    <w:rsid w:val="009201B2"/>
    <w:rsid w:val="009202E2"/>
    <w:rsid w:val="009203EF"/>
    <w:rsid w:val="0092054B"/>
    <w:rsid w:val="0092072A"/>
    <w:rsid w:val="00920BAC"/>
    <w:rsid w:val="00920BAD"/>
    <w:rsid w:val="00920DBD"/>
    <w:rsid w:val="00920E5A"/>
    <w:rsid w:val="009212BD"/>
    <w:rsid w:val="00921728"/>
    <w:rsid w:val="009217A7"/>
    <w:rsid w:val="009217FD"/>
    <w:rsid w:val="009219A5"/>
    <w:rsid w:val="009219CC"/>
    <w:rsid w:val="00922AA6"/>
    <w:rsid w:val="00922BC5"/>
    <w:rsid w:val="00922C71"/>
    <w:rsid w:val="00922C7C"/>
    <w:rsid w:val="00922D91"/>
    <w:rsid w:val="00923466"/>
    <w:rsid w:val="009237E2"/>
    <w:rsid w:val="009239CA"/>
    <w:rsid w:val="00923A1B"/>
    <w:rsid w:val="00923A75"/>
    <w:rsid w:val="00923D2A"/>
    <w:rsid w:val="00923F81"/>
    <w:rsid w:val="00924596"/>
    <w:rsid w:val="0092476A"/>
    <w:rsid w:val="00924BA8"/>
    <w:rsid w:val="00924C71"/>
    <w:rsid w:val="00925087"/>
    <w:rsid w:val="00925234"/>
    <w:rsid w:val="0092560C"/>
    <w:rsid w:val="00925638"/>
    <w:rsid w:val="00925AA6"/>
    <w:rsid w:val="00925FBF"/>
    <w:rsid w:val="009261C2"/>
    <w:rsid w:val="009261D5"/>
    <w:rsid w:val="0092691C"/>
    <w:rsid w:val="009276E8"/>
    <w:rsid w:val="00927A38"/>
    <w:rsid w:val="00927D0B"/>
    <w:rsid w:val="00927FD9"/>
    <w:rsid w:val="00930385"/>
    <w:rsid w:val="009306D6"/>
    <w:rsid w:val="00930A06"/>
    <w:rsid w:val="00930C6A"/>
    <w:rsid w:val="00930CEA"/>
    <w:rsid w:val="00930D7D"/>
    <w:rsid w:val="00930E40"/>
    <w:rsid w:val="00930FC7"/>
    <w:rsid w:val="009312C4"/>
    <w:rsid w:val="00931681"/>
    <w:rsid w:val="00931A50"/>
    <w:rsid w:val="00931C53"/>
    <w:rsid w:val="00932A8A"/>
    <w:rsid w:val="00932AB3"/>
    <w:rsid w:val="009330CC"/>
    <w:rsid w:val="009332ED"/>
    <w:rsid w:val="0093336A"/>
    <w:rsid w:val="009333C8"/>
    <w:rsid w:val="00933492"/>
    <w:rsid w:val="0093351F"/>
    <w:rsid w:val="00933AC6"/>
    <w:rsid w:val="009343DE"/>
    <w:rsid w:val="009347AF"/>
    <w:rsid w:val="00934B72"/>
    <w:rsid w:val="00934C91"/>
    <w:rsid w:val="00934D09"/>
    <w:rsid w:val="00934F4A"/>
    <w:rsid w:val="00935022"/>
    <w:rsid w:val="0093512C"/>
    <w:rsid w:val="00935271"/>
    <w:rsid w:val="00935CC1"/>
    <w:rsid w:val="00935F9B"/>
    <w:rsid w:val="009362F9"/>
    <w:rsid w:val="0093668D"/>
    <w:rsid w:val="00936929"/>
    <w:rsid w:val="00936A2F"/>
    <w:rsid w:val="00936C98"/>
    <w:rsid w:val="00937415"/>
    <w:rsid w:val="00937715"/>
    <w:rsid w:val="0093794D"/>
    <w:rsid w:val="00937DF7"/>
    <w:rsid w:val="00940323"/>
    <w:rsid w:val="00940392"/>
    <w:rsid w:val="00940596"/>
    <w:rsid w:val="009405B2"/>
    <w:rsid w:val="00940986"/>
    <w:rsid w:val="00940C26"/>
    <w:rsid w:val="009411D9"/>
    <w:rsid w:val="0094196C"/>
    <w:rsid w:val="00941E0F"/>
    <w:rsid w:val="00941F36"/>
    <w:rsid w:val="00942113"/>
    <w:rsid w:val="00942A62"/>
    <w:rsid w:val="00942F21"/>
    <w:rsid w:val="009431A8"/>
    <w:rsid w:val="009433BE"/>
    <w:rsid w:val="009437D4"/>
    <w:rsid w:val="0094417E"/>
    <w:rsid w:val="0094431B"/>
    <w:rsid w:val="009443E7"/>
    <w:rsid w:val="0094498C"/>
    <w:rsid w:val="009449AE"/>
    <w:rsid w:val="00944A36"/>
    <w:rsid w:val="00944F8E"/>
    <w:rsid w:val="00945335"/>
    <w:rsid w:val="0094558B"/>
    <w:rsid w:val="00945661"/>
    <w:rsid w:val="00945DB6"/>
    <w:rsid w:val="0094603A"/>
    <w:rsid w:val="0094609F"/>
    <w:rsid w:val="009461F2"/>
    <w:rsid w:val="0094669B"/>
    <w:rsid w:val="00946922"/>
    <w:rsid w:val="00946CA1"/>
    <w:rsid w:val="009473C6"/>
    <w:rsid w:val="009474CD"/>
    <w:rsid w:val="0094773C"/>
    <w:rsid w:val="00947ABE"/>
    <w:rsid w:val="00947CC1"/>
    <w:rsid w:val="0095026D"/>
    <w:rsid w:val="0095029E"/>
    <w:rsid w:val="0095045D"/>
    <w:rsid w:val="0095060F"/>
    <w:rsid w:val="0095094A"/>
    <w:rsid w:val="00950B08"/>
    <w:rsid w:val="00950CB2"/>
    <w:rsid w:val="00950EFB"/>
    <w:rsid w:val="00951011"/>
    <w:rsid w:val="0095148A"/>
    <w:rsid w:val="00951586"/>
    <w:rsid w:val="009518AF"/>
    <w:rsid w:val="00951B62"/>
    <w:rsid w:val="00952BC7"/>
    <w:rsid w:val="00952EA5"/>
    <w:rsid w:val="009530F5"/>
    <w:rsid w:val="00953336"/>
    <w:rsid w:val="0095335F"/>
    <w:rsid w:val="00953B97"/>
    <w:rsid w:val="00953ED3"/>
    <w:rsid w:val="00953F21"/>
    <w:rsid w:val="009540BF"/>
    <w:rsid w:val="009543DC"/>
    <w:rsid w:val="0095473A"/>
    <w:rsid w:val="00954756"/>
    <w:rsid w:val="009548F2"/>
    <w:rsid w:val="009549D1"/>
    <w:rsid w:val="00954B0B"/>
    <w:rsid w:val="00954D25"/>
    <w:rsid w:val="00954E4A"/>
    <w:rsid w:val="00954F0D"/>
    <w:rsid w:val="0095505E"/>
    <w:rsid w:val="009552BE"/>
    <w:rsid w:val="00955D11"/>
    <w:rsid w:val="00955D56"/>
    <w:rsid w:val="00955E84"/>
    <w:rsid w:val="00956104"/>
    <w:rsid w:val="009562CD"/>
    <w:rsid w:val="009565D6"/>
    <w:rsid w:val="00956AB9"/>
    <w:rsid w:val="00957491"/>
    <w:rsid w:val="00957746"/>
    <w:rsid w:val="0095775F"/>
    <w:rsid w:val="00957815"/>
    <w:rsid w:val="00957CDA"/>
    <w:rsid w:val="00960A8C"/>
    <w:rsid w:val="0096118A"/>
    <w:rsid w:val="0096119D"/>
    <w:rsid w:val="00961445"/>
    <w:rsid w:val="00961BC5"/>
    <w:rsid w:val="00961C6A"/>
    <w:rsid w:val="009626F8"/>
    <w:rsid w:val="00962C50"/>
    <w:rsid w:val="00963803"/>
    <w:rsid w:val="0096392D"/>
    <w:rsid w:val="00963A1F"/>
    <w:rsid w:val="00963D4F"/>
    <w:rsid w:val="00964226"/>
    <w:rsid w:val="00964255"/>
    <w:rsid w:val="00964C22"/>
    <w:rsid w:val="00964E86"/>
    <w:rsid w:val="00964F89"/>
    <w:rsid w:val="00965682"/>
    <w:rsid w:val="00965C3D"/>
    <w:rsid w:val="0096609E"/>
    <w:rsid w:val="00966213"/>
    <w:rsid w:val="0096646F"/>
    <w:rsid w:val="00966A5C"/>
    <w:rsid w:val="00966E40"/>
    <w:rsid w:val="00967086"/>
    <w:rsid w:val="00967363"/>
    <w:rsid w:val="009675EE"/>
    <w:rsid w:val="00967AB9"/>
    <w:rsid w:val="00970030"/>
    <w:rsid w:val="0097045E"/>
    <w:rsid w:val="0097070B"/>
    <w:rsid w:val="0097071A"/>
    <w:rsid w:val="00970AF9"/>
    <w:rsid w:val="00970D85"/>
    <w:rsid w:val="00970FEC"/>
    <w:rsid w:val="00971930"/>
    <w:rsid w:val="009719F6"/>
    <w:rsid w:val="00971E2D"/>
    <w:rsid w:val="009720C1"/>
    <w:rsid w:val="0097262C"/>
    <w:rsid w:val="00972D7C"/>
    <w:rsid w:val="00972F61"/>
    <w:rsid w:val="0097306E"/>
    <w:rsid w:val="009736BB"/>
    <w:rsid w:val="009739AD"/>
    <w:rsid w:val="00973DB6"/>
    <w:rsid w:val="00973F68"/>
    <w:rsid w:val="009741CA"/>
    <w:rsid w:val="00974486"/>
    <w:rsid w:val="009746FF"/>
    <w:rsid w:val="00974776"/>
    <w:rsid w:val="00974A96"/>
    <w:rsid w:val="00974F77"/>
    <w:rsid w:val="00974FAF"/>
    <w:rsid w:val="0097538E"/>
    <w:rsid w:val="0097554A"/>
    <w:rsid w:val="009756E5"/>
    <w:rsid w:val="00975B75"/>
    <w:rsid w:val="00975CE4"/>
    <w:rsid w:val="00975D9B"/>
    <w:rsid w:val="00976B97"/>
    <w:rsid w:val="00977199"/>
    <w:rsid w:val="009779EF"/>
    <w:rsid w:val="00977A9D"/>
    <w:rsid w:val="00981532"/>
    <w:rsid w:val="00981778"/>
    <w:rsid w:val="00981A77"/>
    <w:rsid w:val="00981B8B"/>
    <w:rsid w:val="00981C00"/>
    <w:rsid w:val="00981CAA"/>
    <w:rsid w:val="00981DF1"/>
    <w:rsid w:val="00981E46"/>
    <w:rsid w:val="00982233"/>
    <w:rsid w:val="00982A2D"/>
    <w:rsid w:val="00982E2A"/>
    <w:rsid w:val="009833BB"/>
    <w:rsid w:val="00983722"/>
    <w:rsid w:val="0098375A"/>
    <w:rsid w:val="00983941"/>
    <w:rsid w:val="009844B4"/>
    <w:rsid w:val="009845EF"/>
    <w:rsid w:val="00984647"/>
    <w:rsid w:val="009849F8"/>
    <w:rsid w:val="00984AC3"/>
    <w:rsid w:val="00984B15"/>
    <w:rsid w:val="009850E1"/>
    <w:rsid w:val="00985B52"/>
    <w:rsid w:val="00985B97"/>
    <w:rsid w:val="00985C7B"/>
    <w:rsid w:val="00986037"/>
    <w:rsid w:val="0098748F"/>
    <w:rsid w:val="00987C55"/>
    <w:rsid w:val="00990B17"/>
    <w:rsid w:val="00990DB4"/>
    <w:rsid w:val="00990F07"/>
    <w:rsid w:val="00990F0A"/>
    <w:rsid w:val="00991305"/>
    <w:rsid w:val="009914DC"/>
    <w:rsid w:val="009917C8"/>
    <w:rsid w:val="00991848"/>
    <w:rsid w:val="00991C26"/>
    <w:rsid w:val="00991E27"/>
    <w:rsid w:val="00991E4E"/>
    <w:rsid w:val="00991FEA"/>
    <w:rsid w:val="009921F1"/>
    <w:rsid w:val="009927B4"/>
    <w:rsid w:val="009928DD"/>
    <w:rsid w:val="00992B30"/>
    <w:rsid w:val="00992E4B"/>
    <w:rsid w:val="00992E69"/>
    <w:rsid w:val="00993CCE"/>
    <w:rsid w:val="009945E0"/>
    <w:rsid w:val="00994823"/>
    <w:rsid w:val="00994AA8"/>
    <w:rsid w:val="00994C30"/>
    <w:rsid w:val="009950EA"/>
    <w:rsid w:val="00995322"/>
    <w:rsid w:val="009953C1"/>
    <w:rsid w:val="009954AC"/>
    <w:rsid w:val="00995913"/>
    <w:rsid w:val="00995EB0"/>
    <w:rsid w:val="00995F90"/>
    <w:rsid w:val="00996155"/>
    <w:rsid w:val="0099627C"/>
    <w:rsid w:val="00996317"/>
    <w:rsid w:val="00996624"/>
    <w:rsid w:val="0099670D"/>
    <w:rsid w:val="00996AF4"/>
    <w:rsid w:val="00996DCD"/>
    <w:rsid w:val="00996ECE"/>
    <w:rsid w:val="00997222"/>
    <w:rsid w:val="00997273"/>
    <w:rsid w:val="0099737A"/>
    <w:rsid w:val="009973E3"/>
    <w:rsid w:val="00997591"/>
    <w:rsid w:val="0099777D"/>
    <w:rsid w:val="009978E5"/>
    <w:rsid w:val="00997975"/>
    <w:rsid w:val="00997C71"/>
    <w:rsid w:val="00997D0B"/>
    <w:rsid w:val="00997D1E"/>
    <w:rsid w:val="00997E62"/>
    <w:rsid w:val="009A0261"/>
    <w:rsid w:val="009A0D6B"/>
    <w:rsid w:val="009A0F76"/>
    <w:rsid w:val="009A1167"/>
    <w:rsid w:val="009A124D"/>
    <w:rsid w:val="009A1604"/>
    <w:rsid w:val="009A1AB0"/>
    <w:rsid w:val="009A223F"/>
    <w:rsid w:val="009A244D"/>
    <w:rsid w:val="009A2873"/>
    <w:rsid w:val="009A2BBB"/>
    <w:rsid w:val="009A2D23"/>
    <w:rsid w:val="009A2DFF"/>
    <w:rsid w:val="009A2E7D"/>
    <w:rsid w:val="009A30E6"/>
    <w:rsid w:val="009A328F"/>
    <w:rsid w:val="009A3483"/>
    <w:rsid w:val="009A350C"/>
    <w:rsid w:val="009A3E9F"/>
    <w:rsid w:val="009A3EFA"/>
    <w:rsid w:val="009A4409"/>
    <w:rsid w:val="009A44A7"/>
    <w:rsid w:val="009A4936"/>
    <w:rsid w:val="009A5216"/>
    <w:rsid w:val="009A52B2"/>
    <w:rsid w:val="009A58CB"/>
    <w:rsid w:val="009A5921"/>
    <w:rsid w:val="009A5ECE"/>
    <w:rsid w:val="009A60C0"/>
    <w:rsid w:val="009A617F"/>
    <w:rsid w:val="009A6194"/>
    <w:rsid w:val="009A6243"/>
    <w:rsid w:val="009A658F"/>
    <w:rsid w:val="009A6B42"/>
    <w:rsid w:val="009A6D34"/>
    <w:rsid w:val="009A70BB"/>
    <w:rsid w:val="009A775C"/>
    <w:rsid w:val="009A7C28"/>
    <w:rsid w:val="009A7C9B"/>
    <w:rsid w:val="009A7FDE"/>
    <w:rsid w:val="009B033E"/>
    <w:rsid w:val="009B0698"/>
    <w:rsid w:val="009B080F"/>
    <w:rsid w:val="009B0B4F"/>
    <w:rsid w:val="009B0CFC"/>
    <w:rsid w:val="009B0F10"/>
    <w:rsid w:val="009B12DF"/>
    <w:rsid w:val="009B168E"/>
    <w:rsid w:val="009B178B"/>
    <w:rsid w:val="009B19CF"/>
    <w:rsid w:val="009B1D96"/>
    <w:rsid w:val="009B2546"/>
    <w:rsid w:val="009B2716"/>
    <w:rsid w:val="009B2A1F"/>
    <w:rsid w:val="009B2A34"/>
    <w:rsid w:val="009B2F77"/>
    <w:rsid w:val="009B312C"/>
    <w:rsid w:val="009B3EDE"/>
    <w:rsid w:val="009B40B9"/>
    <w:rsid w:val="009B4122"/>
    <w:rsid w:val="009B47F4"/>
    <w:rsid w:val="009B4D24"/>
    <w:rsid w:val="009B4F60"/>
    <w:rsid w:val="009B5866"/>
    <w:rsid w:val="009B58EF"/>
    <w:rsid w:val="009B5A7E"/>
    <w:rsid w:val="009B5AC5"/>
    <w:rsid w:val="009B5DA3"/>
    <w:rsid w:val="009B607B"/>
    <w:rsid w:val="009B6DC2"/>
    <w:rsid w:val="009B6ED9"/>
    <w:rsid w:val="009B7179"/>
    <w:rsid w:val="009B7373"/>
    <w:rsid w:val="009B74F3"/>
    <w:rsid w:val="009C03CD"/>
    <w:rsid w:val="009C04B2"/>
    <w:rsid w:val="009C05DC"/>
    <w:rsid w:val="009C0882"/>
    <w:rsid w:val="009C0D8E"/>
    <w:rsid w:val="009C1591"/>
    <w:rsid w:val="009C16CF"/>
    <w:rsid w:val="009C1B81"/>
    <w:rsid w:val="009C1D14"/>
    <w:rsid w:val="009C2021"/>
    <w:rsid w:val="009C204D"/>
    <w:rsid w:val="009C223D"/>
    <w:rsid w:val="009C25B5"/>
    <w:rsid w:val="009C2908"/>
    <w:rsid w:val="009C2CA1"/>
    <w:rsid w:val="009C2E9B"/>
    <w:rsid w:val="009C3208"/>
    <w:rsid w:val="009C38B2"/>
    <w:rsid w:val="009C3C87"/>
    <w:rsid w:val="009C40F8"/>
    <w:rsid w:val="009C4369"/>
    <w:rsid w:val="009C4382"/>
    <w:rsid w:val="009C47D9"/>
    <w:rsid w:val="009C47F6"/>
    <w:rsid w:val="009C4B7E"/>
    <w:rsid w:val="009C4BAE"/>
    <w:rsid w:val="009C4E4A"/>
    <w:rsid w:val="009C4F59"/>
    <w:rsid w:val="009C5648"/>
    <w:rsid w:val="009C56FA"/>
    <w:rsid w:val="009C5A95"/>
    <w:rsid w:val="009C5B59"/>
    <w:rsid w:val="009C5D32"/>
    <w:rsid w:val="009C63D7"/>
    <w:rsid w:val="009C66EC"/>
    <w:rsid w:val="009C7CB0"/>
    <w:rsid w:val="009C7FE6"/>
    <w:rsid w:val="009D0049"/>
    <w:rsid w:val="009D00D2"/>
    <w:rsid w:val="009D04A7"/>
    <w:rsid w:val="009D09DC"/>
    <w:rsid w:val="009D1011"/>
    <w:rsid w:val="009D1082"/>
    <w:rsid w:val="009D1464"/>
    <w:rsid w:val="009D1A23"/>
    <w:rsid w:val="009D1A7F"/>
    <w:rsid w:val="009D1C5E"/>
    <w:rsid w:val="009D1FA0"/>
    <w:rsid w:val="009D24A8"/>
    <w:rsid w:val="009D28EB"/>
    <w:rsid w:val="009D3373"/>
    <w:rsid w:val="009D3524"/>
    <w:rsid w:val="009D3636"/>
    <w:rsid w:val="009D3987"/>
    <w:rsid w:val="009D3F7E"/>
    <w:rsid w:val="009D4012"/>
    <w:rsid w:val="009D4026"/>
    <w:rsid w:val="009D40BC"/>
    <w:rsid w:val="009D436B"/>
    <w:rsid w:val="009D43E5"/>
    <w:rsid w:val="009D45CD"/>
    <w:rsid w:val="009D45E8"/>
    <w:rsid w:val="009D471A"/>
    <w:rsid w:val="009D4C92"/>
    <w:rsid w:val="009D4F72"/>
    <w:rsid w:val="009D50EF"/>
    <w:rsid w:val="009D5629"/>
    <w:rsid w:val="009D58E3"/>
    <w:rsid w:val="009D5CD8"/>
    <w:rsid w:val="009D6138"/>
    <w:rsid w:val="009D6338"/>
    <w:rsid w:val="009D6567"/>
    <w:rsid w:val="009D69E4"/>
    <w:rsid w:val="009D7576"/>
    <w:rsid w:val="009D7A3D"/>
    <w:rsid w:val="009D7B7C"/>
    <w:rsid w:val="009D7BFE"/>
    <w:rsid w:val="009D7C23"/>
    <w:rsid w:val="009D7D6F"/>
    <w:rsid w:val="009E00CC"/>
    <w:rsid w:val="009E013B"/>
    <w:rsid w:val="009E02D1"/>
    <w:rsid w:val="009E043E"/>
    <w:rsid w:val="009E0A16"/>
    <w:rsid w:val="009E0B0A"/>
    <w:rsid w:val="009E0C66"/>
    <w:rsid w:val="009E0CD5"/>
    <w:rsid w:val="009E0EAC"/>
    <w:rsid w:val="009E0F8D"/>
    <w:rsid w:val="009E0F94"/>
    <w:rsid w:val="009E1201"/>
    <w:rsid w:val="009E1205"/>
    <w:rsid w:val="009E150F"/>
    <w:rsid w:val="009E1552"/>
    <w:rsid w:val="009E15E4"/>
    <w:rsid w:val="009E173F"/>
    <w:rsid w:val="009E1848"/>
    <w:rsid w:val="009E19B3"/>
    <w:rsid w:val="009E1CC4"/>
    <w:rsid w:val="009E1DC4"/>
    <w:rsid w:val="009E1EE1"/>
    <w:rsid w:val="009E22F2"/>
    <w:rsid w:val="009E254B"/>
    <w:rsid w:val="009E2744"/>
    <w:rsid w:val="009E289F"/>
    <w:rsid w:val="009E2A26"/>
    <w:rsid w:val="009E2A79"/>
    <w:rsid w:val="009E2A95"/>
    <w:rsid w:val="009E2CA0"/>
    <w:rsid w:val="009E2EFD"/>
    <w:rsid w:val="009E2F67"/>
    <w:rsid w:val="009E321D"/>
    <w:rsid w:val="009E32FA"/>
    <w:rsid w:val="009E3480"/>
    <w:rsid w:val="009E3580"/>
    <w:rsid w:val="009E37A5"/>
    <w:rsid w:val="009E3B37"/>
    <w:rsid w:val="009E3C19"/>
    <w:rsid w:val="009E4290"/>
    <w:rsid w:val="009E430E"/>
    <w:rsid w:val="009E4398"/>
    <w:rsid w:val="009E43D2"/>
    <w:rsid w:val="009E45F7"/>
    <w:rsid w:val="009E48A4"/>
    <w:rsid w:val="009E4B41"/>
    <w:rsid w:val="009E4B67"/>
    <w:rsid w:val="009E4D3C"/>
    <w:rsid w:val="009E4E56"/>
    <w:rsid w:val="009E52F8"/>
    <w:rsid w:val="009E5EE6"/>
    <w:rsid w:val="009E648C"/>
    <w:rsid w:val="009E697C"/>
    <w:rsid w:val="009E6F39"/>
    <w:rsid w:val="009E70C7"/>
    <w:rsid w:val="009E7577"/>
    <w:rsid w:val="009E77F6"/>
    <w:rsid w:val="009E7897"/>
    <w:rsid w:val="009E78D9"/>
    <w:rsid w:val="009E7EA6"/>
    <w:rsid w:val="009E7EB8"/>
    <w:rsid w:val="009F0191"/>
    <w:rsid w:val="009F02A0"/>
    <w:rsid w:val="009F07A2"/>
    <w:rsid w:val="009F0994"/>
    <w:rsid w:val="009F0A74"/>
    <w:rsid w:val="009F0AFD"/>
    <w:rsid w:val="009F139A"/>
    <w:rsid w:val="009F1576"/>
    <w:rsid w:val="009F1C9E"/>
    <w:rsid w:val="009F1CB8"/>
    <w:rsid w:val="009F1E51"/>
    <w:rsid w:val="009F1E57"/>
    <w:rsid w:val="009F1E9D"/>
    <w:rsid w:val="009F1FA8"/>
    <w:rsid w:val="009F204F"/>
    <w:rsid w:val="009F2244"/>
    <w:rsid w:val="009F2954"/>
    <w:rsid w:val="009F3090"/>
    <w:rsid w:val="009F331B"/>
    <w:rsid w:val="009F3391"/>
    <w:rsid w:val="009F384B"/>
    <w:rsid w:val="009F4131"/>
    <w:rsid w:val="009F4168"/>
    <w:rsid w:val="009F46D9"/>
    <w:rsid w:val="009F4935"/>
    <w:rsid w:val="009F4D59"/>
    <w:rsid w:val="009F503A"/>
    <w:rsid w:val="009F571B"/>
    <w:rsid w:val="009F582F"/>
    <w:rsid w:val="009F5877"/>
    <w:rsid w:val="009F58AE"/>
    <w:rsid w:val="009F5D24"/>
    <w:rsid w:val="009F5D6E"/>
    <w:rsid w:val="009F5F2E"/>
    <w:rsid w:val="009F611D"/>
    <w:rsid w:val="009F661B"/>
    <w:rsid w:val="009F689C"/>
    <w:rsid w:val="009F69BD"/>
    <w:rsid w:val="009F6FAC"/>
    <w:rsid w:val="009F731C"/>
    <w:rsid w:val="009F7324"/>
    <w:rsid w:val="009F736D"/>
    <w:rsid w:val="009F7432"/>
    <w:rsid w:val="009F77DE"/>
    <w:rsid w:val="009F7C99"/>
    <w:rsid w:val="009F7DC7"/>
    <w:rsid w:val="00A000D8"/>
    <w:rsid w:val="00A00117"/>
    <w:rsid w:val="00A00600"/>
    <w:rsid w:val="00A00D68"/>
    <w:rsid w:val="00A010C8"/>
    <w:rsid w:val="00A011E9"/>
    <w:rsid w:val="00A011F0"/>
    <w:rsid w:val="00A0154A"/>
    <w:rsid w:val="00A01B55"/>
    <w:rsid w:val="00A01CD2"/>
    <w:rsid w:val="00A026C0"/>
    <w:rsid w:val="00A02768"/>
    <w:rsid w:val="00A027E8"/>
    <w:rsid w:val="00A02812"/>
    <w:rsid w:val="00A0284D"/>
    <w:rsid w:val="00A02A44"/>
    <w:rsid w:val="00A030EE"/>
    <w:rsid w:val="00A032C7"/>
    <w:rsid w:val="00A0336B"/>
    <w:rsid w:val="00A03C1B"/>
    <w:rsid w:val="00A04692"/>
    <w:rsid w:val="00A04B17"/>
    <w:rsid w:val="00A04D42"/>
    <w:rsid w:val="00A04D57"/>
    <w:rsid w:val="00A04EBF"/>
    <w:rsid w:val="00A05060"/>
    <w:rsid w:val="00A0563F"/>
    <w:rsid w:val="00A057A8"/>
    <w:rsid w:val="00A05DE1"/>
    <w:rsid w:val="00A05EFB"/>
    <w:rsid w:val="00A062F6"/>
    <w:rsid w:val="00A06529"/>
    <w:rsid w:val="00A0669A"/>
    <w:rsid w:val="00A06E38"/>
    <w:rsid w:val="00A06E9D"/>
    <w:rsid w:val="00A06F69"/>
    <w:rsid w:val="00A0784C"/>
    <w:rsid w:val="00A0797E"/>
    <w:rsid w:val="00A07D76"/>
    <w:rsid w:val="00A103A8"/>
    <w:rsid w:val="00A10916"/>
    <w:rsid w:val="00A113D2"/>
    <w:rsid w:val="00A1175B"/>
    <w:rsid w:val="00A11979"/>
    <w:rsid w:val="00A11CB0"/>
    <w:rsid w:val="00A121AE"/>
    <w:rsid w:val="00A122A8"/>
    <w:rsid w:val="00A125C0"/>
    <w:rsid w:val="00A12AD3"/>
    <w:rsid w:val="00A132A5"/>
    <w:rsid w:val="00A14249"/>
    <w:rsid w:val="00A14334"/>
    <w:rsid w:val="00A14470"/>
    <w:rsid w:val="00A145F2"/>
    <w:rsid w:val="00A14B52"/>
    <w:rsid w:val="00A1545B"/>
    <w:rsid w:val="00A15510"/>
    <w:rsid w:val="00A156FE"/>
    <w:rsid w:val="00A15727"/>
    <w:rsid w:val="00A15962"/>
    <w:rsid w:val="00A15CAE"/>
    <w:rsid w:val="00A15EE4"/>
    <w:rsid w:val="00A15EEC"/>
    <w:rsid w:val="00A15F1E"/>
    <w:rsid w:val="00A15FD2"/>
    <w:rsid w:val="00A16149"/>
    <w:rsid w:val="00A161DA"/>
    <w:rsid w:val="00A162BE"/>
    <w:rsid w:val="00A16475"/>
    <w:rsid w:val="00A16742"/>
    <w:rsid w:val="00A167F6"/>
    <w:rsid w:val="00A17156"/>
    <w:rsid w:val="00A17898"/>
    <w:rsid w:val="00A17FE9"/>
    <w:rsid w:val="00A2005E"/>
    <w:rsid w:val="00A203AC"/>
    <w:rsid w:val="00A20D5C"/>
    <w:rsid w:val="00A216B7"/>
    <w:rsid w:val="00A21879"/>
    <w:rsid w:val="00A219DF"/>
    <w:rsid w:val="00A21BA3"/>
    <w:rsid w:val="00A21CC0"/>
    <w:rsid w:val="00A21FB7"/>
    <w:rsid w:val="00A22321"/>
    <w:rsid w:val="00A229AE"/>
    <w:rsid w:val="00A23286"/>
    <w:rsid w:val="00A23432"/>
    <w:rsid w:val="00A234E4"/>
    <w:rsid w:val="00A2369D"/>
    <w:rsid w:val="00A238E1"/>
    <w:rsid w:val="00A24023"/>
    <w:rsid w:val="00A2448A"/>
    <w:rsid w:val="00A251D4"/>
    <w:rsid w:val="00A25236"/>
    <w:rsid w:val="00A257A2"/>
    <w:rsid w:val="00A2586D"/>
    <w:rsid w:val="00A258C8"/>
    <w:rsid w:val="00A25CCE"/>
    <w:rsid w:val="00A25D1B"/>
    <w:rsid w:val="00A25F45"/>
    <w:rsid w:val="00A260F3"/>
    <w:rsid w:val="00A26101"/>
    <w:rsid w:val="00A26780"/>
    <w:rsid w:val="00A267A7"/>
    <w:rsid w:val="00A26B2A"/>
    <w:rsid w:val="00A26EB3"/>
    <w:rsid w:val="00A26FDE"/>
    <w:rsid w:val="00A27008"/>
    <w:rsid w:val="00A27379"/>
    <w:rsid w:val="00A27397"/>
    <w:rsid w:val="00A278F8"/>
    <w:rsid w:val="00A27996"/>
    <w:rsid w:val="00A279EC"/>
    <w:rsid w:val="00A27F77"/>
    <w:rsid w:val="00A30017"/>
    <w:rsid w:val="00A300E4"/>
    <w:rsid w:val="00A30198"/>
    <w:rsid w:val="00A309E2"/>
    <w:rsid w:val="00A30A72"/>
    <w:rsid w:val="00A31494"/>
    <w:rsid w:val="00A314BE"/>
    <w:rsid w:val="00A31ABC"/>
    <w:rsid w:val="00A31B39"/>
    <w:rsid w:val="00A31BD2"/>
    <w:rsid w:val="00A31D3B"/>
    <w:rsid w:val="00A31F3E"/>
    <w:rsid w:val="00A31FFC"/>
    <w:rsid w:val="00A320BF"/>
    <w:rsid w:val="00A32300"/>
    <w:rsid w:val="00A32383"/>
    <w:rsid w:val="00A323B2"/>
    <w:rsid w:val="00A32A9E"/>
    <w:rsid w:val="00A32D8E"/>
    <w:rsid w:val="00A32EE9"/>
    <w:rsid w:val="00A33039"/>
    <w:rsid w:val="00A33189"/>
    <w:rsid w:val="00A333F7"/>
    <w:rsid w:val="00A3344C"/>
    <w:rsid w:val="00A335E8"/>
    <w:rsid w:val="00A33A03"/>
    <w:rsid w:val="00A33C58"/>
    <w:rsid w:val="00A340C7"/>
    <w:rsid w:val="00A341EB"/>
    <w:rsid w:val="00A34527"/>
    <w:rsid w:val="00A34554"/>
    <w:rsid w:val="00A34F14"/>
    <w:rsid w:val="00A34FC7"/>
    <w:rsid w:val="00A35B31"/>
    <w:rsid w:val="00A35B5E"/>
    <w:rsid w:val="00A35DA0"/>
    <w:rsid w:val="00A360DE"/>
    <w:rsid w:val="00A36773"/>
    <w:rsid w:val="00A36925"/>
    <w:rsid w:val="00A3699E"/>
    <w:rsid w:val="00A3711E"/>
    <w:rsid w:val="00A37346"/>
    <w:rsid w:val="00A376F0"/>
    <w:rsid w:val="00A377F9"/>
    <w:rsid w:val="00A37954"/>
    <w:rsid w:val="00A379B1"/>
    <w:rsid w:val="00A37AD9"/>
    <w:rsid w:val="00A37D14"/>
    <w:rsid w:val="00A40190"/>
    <w:rsid w:val="00A402E8"/>
    <w:rsid w:val="00A405D3"/>
    <w:rsid w:val="00A410CD"/>
    <w:rsid w:val="00A4127F"/>
    <w:rsid w:val="00A413A9"/>
    <w:rsid w:val="00A41897"/>
    <w:rsid w:val="00A418C1"/>
    <w:rsid w:val="00A41975"/>
    <w:rsid w:val="00A41A70"/>
    <w:rsid w:val="00A41BD2"/>
    <w:rsid w:val="00A41FE8"/>
    <w:rsid w:val="00A420D2"/>
    <w:rsid w:val="00A42D9E"/>
    <w:rsid w:val="00A431AA"/>
    <w:rsid w:val="00A43510"/>
    <w:rsid w:val="00A43A84"/>
    <w:rsid w:val="00A43B7A"/>
    <w:rsid w:val="00A44157"/>
    <w:rsid w:val="00A441B3"/>
    <w:rsid w:val="00A44263"/>
    <w:rsid w:val="00A442B5"/>
    <w:rsid w:val="00A4464D"/>
    <w:rsid w:val="00A4598D"/>
    <w:rsid w:val="00A45E33"/>
    <w:rsid w:val="00A45F70"/>
    <w:rsid w:val="00A46697"/>
    <w:rsid w:val="00A4670C"/>
    <w:rsid w:val="00A46B40"/>
    <w:rsid w:val="00A470EE"/>
    <w:rsid w:val="00A4724E"/>
    <w:rsid w:val="00A474B3"/>
    <w:rsid w:val="00A475A1"/>
    <w:rsid w:val="00A47A61"/>
    <w:rsid w:val="00A47E2F"/>
    <w:rsid w:val="00A5024C"/>
    <w:rsid w:val="00A505C3"/>
    <w:rsid w:val="00A509D5"/>
    <w:rsid w:val="00A50AC9"/>
    <w:rsid w:val="00A50B5D"/>
    <w:rsid w:val="00A514C4"/>
    <w:rsid w:val="00A514D3"/>
    <w:rsid w:val="00A5156F"/>
    <w:rsid w:val="00A5158C"/>
    <w:rsid w:val="00A517A6"/>
    <w:rsid w:val="00A51B23"/>
    <w:rsid w:val="00A51B75"/>
    <w:rsid w:val="00A520A4"/>
    <w:rsid w:val="00A5240C"/>
    <w:rsid w:val="00A5276D"/>
    <w:rsid w:val="00A5281C"/>
    <w:rsid w:val="00A52AEF"/>
    <w:rsid w:val="00A52CEF"/>
    <w:rsid w:val="00A52D8E"/>
    <w:rsid w:val="00A52EB3"/>
    <w:rsid w:val="00A52F79"/>
    <w:rsid w:val="00A52FC3"/>
    <w:rsid w:val="00A52FFA"/>
    <w:rsid w:val="00A5350D"/>
    <w:rsid w:val="00A53BFF"/>
    <w:rsid w:val="00A53C50"/>
    <w:rsid w:val="00A542FA"/>
    <w:rsid w:val="00A543E4"/>
    <w:rsid w:val="00A54500"/>
    <w:rsid w:val="00A5476C"/>
    <w:rsid w:val="00A54887"/>
    <w:rsid w:val="00A548D7"/>
    <w:rsid w:val="00A556DD"/>
    <w:rsid w:val="00A5584C"/>
    <w:rsid w:val="00A5615F"/>
    <w:rsid w:val="00A567BD"/>
    <w:rsid w:val="00A56C5E"/>
    <w:rsid w:val="00A56F66"/>
    <w:rsid w:val="00A57573"/>
    <w:rsid w:val="00A57D57"/>
    <w:rsid w:val="00A57E80"/>
    <w:rsid w:val="00A57F31"/>
    <w:rsid w:val="00A605D6"/>
    <w:rsid w:val="00A60814"/>
    <w:rsid w:val="00A60A2A"/>
    <w:rsid w:val="00A60ABA"/>
    <w:rsid w:val="00A60CFB"/>
    <w:rsid w:val="00A60E81"/>
    <w:rsid w:val="00A60F3B"/>
    <w:rsid w:val="00A61033"/>
    <w:rsid w:val="00A6120D"/>
    <w:rsid w:val="00A61268"/>
    <w:rsid w:val="00A6126D"/>
    <w:rsid w:val="00A61498"/>
    <w:rsid w:val="00A615CE"/>
    <w:rsid w:val="00A61723"/>
    <w:rsid w:val="00A61B9A"/>
    <w:rsid w:val="00A61EA6"/>
    <w:rsid w:val="00A62053"/>
    <w:rsid w:val="00A62116"/>
    <w:rsid w:val="00A62519"/>
    <w:rsid w:val="00A62671"/>
    <w:rsid w:val="00A627A0"/>
    <w:rsid w:val="00A62819"/>
    <w:rsid w:val="00A62AE4"/>
    <w:rsid w:val="00A62E4B"/>
    <w:rsid w:val="00A63032"/>
    <w:rsid w:val="00A63200"/>
    <w:rsid w:val="00A63263"/>
    <w:rsid w:val="00A63267"/>
    <w:rsid w:val="00A63481"/>
    <w:rsid w:val="00A634FB"/>
    <w:rsid w:val="00A639FF"/>
    <w:rsid w:val="00A63AD7"/>
    <w:rsid w:val="00A63BEE"/>
    <w:rsid w:val="00A63ED7"/>
    <w:rsid w:val="00A64282"/>
    <w:rsid w:val="00A644EF"/>
    <w:rsid w:val="00A64921"/>
    <w:rsid w:val="00A65107"/>
    <w:rsid w:val="00A65318"/>
    <w:rsid w:val="00A6546B"/>
    <w:rsid w:val="00A6551A"/>
    <w:rsid w:val="00A65B45"/>
    <w:rsid w:val="00A660C6"/>
    <w:rsid w:val="00A66120"/>
    <w:rsid w:val="00A66257"/>
    <w:rsid w:val="00A6650B"/>
    <w:rsid w:val="00A66563"/>
    <w:rsid w:val="00A66579"/>
    <w:rsid w:val="00A66A3C"/>
    <w:rsid w:val="00A66A66"/>
    <w:rsid w:val="00A67462"/>
    <w:rsid w:val="00A6795F"/>
    <w:rsid w:val="00A67B82"/>
    <w:rsid w:val="00A67F89"/>
    <w:rsid w:val="00A70189"/>
    <w:rsid w:val="00A709AB"/>
    <w:rsid w:val="00A714FE"/>
    <w:rsid w:val="00A71768"/>
    <w:rsid w:val="00A71C29"/>
    <w:rsid w:val="00A71E13"/>
    <w:rsid w:val="00A72734"/>
    <w:rsid w:val="00A72819"/>
    <w:rsid w:val="00A729BB"/>
    <w:rsid w:val="00A729BD"/>
    <w:rsid w:val="00A734C1"/>
    <w:rsid w:val="00A73619"/>
    <w:rsid w:val="00A736B1"/>
    <w:rsid w:val="00A736C9"/>
    <w:rsid w:val="00A73853"/>
    <w:rsid w:val="00A73DC1"/>
    <w:rsid w:val="00A744DD"/>
    <w:rsid w:val="00A749D1"/>
    <w:rsid w:val="00A74B2F"/>
    <w:rsid w:val="00A74F71"/>
    <w:rsid w:val="00A751EA"/>
    <w:rsid w:val="00A75729"/>
    <w:rsid w:val="00A75AB1"/>
    <w:rsid w:val="00A75CC7"/>
    <w:rsid w:val="00A767CA"/>
    <w:rsid w:val="00A767F8"/>
    <w:rsid w:val="00A76A19"/>
    <w:rsid w:val="00A76A1C"/>
    <w:rsid w:val="00A76EA3"/>
    <w:rsid w:val="00A77099"/>
    <w:rsid w:val="00A772EC"/>
    <w:rsid w:val="00A776C7"/>
    <w:rsid w:val="00A77A96"/>
    <w:rsid w:val="00A77ACE"/>
    <w:rsid w:val="00A77CC0"/>
    <w:rsid w:val="00A77D90"/>
    <w:rsid w:val="00A77FE7"/>
    <w:rsid w:val="00A80014"/>
    <w:rsid w:val="00A800C5"/>
    <w:rsid w:val="00A80249"/>
    <w:rsid w:val="00A8058C"/>
    <w:rsid w:val="00A8079D"/>
    <w:rsid w:val="00A80A06"/>
    <w:rsid w:val="00A8109D"/>
    <w:rsid w:val="00A8159E"/>
    <w:rsid w:val="00A81886"/>
    <w:rsid w:val="00A8198F"/>
    <w:rsid w:val="00A81A06"/>
    <w:rsid w:val="00A82287"/>
    <w:rsid w:val="00A82985"/>
    <w:rsid w:val="00A82A8B"/>
    <w:rsid w:val="00A82CA6"/>
    <w:rsid w:val="00A82D05"/>
    <w:rsid w:val="00A82D49"/>
    <w:rsid w:val="00A83164"/>
    <w:rsid w:val="00A83229"/>
    <w:rsid w:val="00A83260"/>
    <w:rsid w:val="00A832D1"/>
    <w:rsid w:val="00A833A1"/>
    <w:rsid w:val="00A833AB"/>
    <w:rsid w:val="00A838F1"/>
    <w:rsid w:val="00A8391B"/>
    <w:rsid w:val="00A83A00"/>
    <w:rsid w:val="00A83AAB"/>
    <w:rsid w:val="00A83DD7"/>
    <w:rsid w:val="00A8457F"/>
    <w:rsid w:val="00A846DF"/>
    <w:rsid w:val="00A848F7"/>
    <w:rsid w:val="00A84993"/>
    <w:rsid w:val="00A85505"/>
    <w:rsid w:val="00A85977"/>
    <w:rsid w:val="00A85A9D"/>
    <w:rsid w:val="00A85C85"/>
    <w:rsid w:val="00A85D44"/>
    <w:rsid w:val="00A86087"/>
    <w:rsid w:val="00A860B1"/>
    <w:rsid w:val="00A86124"/>
    <w:rsid w:val="00A87058"/>
    <w:rsid w:val="00A8709B"/>
    <w:rsid w:val="00A87278"/>
    <w:rsid w:val="00A8741F"/>
    <w:rsid w:val="00A90691"/>
    <w:rsid w:val="00A906CB"/>
    <w:rsid w:val="00A90A75"/>
    <w:rsid w:val="00A91140"/>
    <w:rsid w:val="00A912E2"/>
    <w:rsid w:val="00A91938"/>
    <w:rsid w:val="00A91E61"/>
    <w:rsid w:val="00A92952"/>
    <w:rsid w:val="00A92A8A"/>
    <w:rsid w:val="00A93300"/>
    <w:rsid w:val="00A93630"/>
    <w:rsid w:val="00A93688"/>
    <w:rsid w:val="00A93ACC"/>
    <w:rsid w:val="00A93D8B"/>
    <w:rsid w:val="00A9405A"/>
    <w:rsid w:val="00A9420B"/>
    <w:rsid w:val="00A94661"/>
    <w:rsid w:val="00A946E6"/>
    <w:rsid w:val="00A94EA6"/>
    <w:rsid w:val="00A9520D"/>
    <w:rsid w:val="00A955C0"/>
    <w:rsid w:val="00A959A0"/>
    <w:rsid w:val="00A95C17"/>
    <w:rsid w:val="00A96057"/>
    <w:rsid w:val="00A960B0"/>
    <w:rsid w:val="00A9663A"/>
    <w:rsid w:val="00A96712"/>
    <w:rsid w:val="00A9698A"/>
    <w:rsid w:val="00A97014"/>
    <w:rsid w:val="00A97C9C"/>
    <w:rsid w:val="00A97FB6"/>
    <w:rsid w:val="00AA0351"/>
    <w:rsid w:val="00AA038B"/>
    <w:rsid w:val="00AA04E1"/>
    <w:rsid w:val="00AA08EB"/>
    <w:rsid w:val="00AA1534"/>
    <w:rsid w:val="00AA16B0"/>
    <w:rsid w:val="00AA18D4"/>
    <w:rsid w:val="00AA2E99"/>
    <w:rsid w:val="00AA39A3"/>
    <w:rsid w:val="00AA3BFF"/>
    <w:rsid w:val="00AA3DF1"/>
    <w:rsid w:val="00AA3E8B"/>
    <w:rsid w:val="00AA440A"/>
    <w:rsid w:val="00AA4449"/>
    <w:rsid w:val="00AA47BC"/>
    <w:rsid w:val="00AA4CC9"/>
    <w:rsid w:val="00AA4E20"/>
    <w:rsid w:val="00AA4F88"/>
    <w:rsid w:val="00AA54B3"/>
    <w:rsid w:val="00AA58D6"/>
    <w:rsid w:val="00AA5B00"/>
    <w:rsid w:val="00AA5B97"/>
    <w:rsid w:val="00AA5DF1"/>
    <w:rsid w:val="00AA5FF7"/>
    <w:rsid w:val="00AA6A0E"/>
    <w:rsid w:val="00AA6E2E"/>
    <w:rsid w:val="00AA701F"/>
    <w:rsid w:val="00AA720D"/>
    <w:rsid w:val="00AA732F"/>
    <w:rsid w:val="00AA7339"/>
    <w:rsid w:val="00AA7628"/>
    <w:rsid w:val="00AA794E"/>
    <w:rsid w:val="00AA7EA3"/>
    <w:rsid w:val="00AA7F28"/>
    <w:rsid w:val="00AA7FBD"/>
    <w:rsid w:val="00AB0061"/>
    <w:rsid w:val="00AB0839"/>
    <w:rsid w:val="00AB08B2"/>
    <w:rsid w:val="00AB09C7"/>
    <w:rsid w:val="00AB0AED"/>
    <w:rsid w:val="00AB100C"/>
    <w:rsid w:val="00AB1702"/>
    <w:rsid w:val="00AB185F"/>
    <w:rsid w:val="00AB1957"/>
    <w:rsid w:val="00AB1D23"/>
    <w:rsid w:val="00AB2458"/>
    <w:rsid w:val="00AB245E"/>
    <w:rsid w:val="00AB27B2"/>
    <w:rsid w:val="00AB2C5C"/>
    <w:rsid w:val="00AB2D37"/>
    <w:rsid w:val="00AB32FB"/>
    <w:rsid w:val="00AB3526"/>
    <w:rsid w:val="00AB35F9"/>
    <w:rsid w:val="00AB3BEE"/>
    <w:rsid w:val="00AB3D11"/>
    <w:rsid w:val="00AB3D84"/>
    <w:rsid w:val="00AB45AC"/>
    <w:rsid w:val="00AB4615"/>
    <w:rsid w:val="00AB4B4A"/>
    <w:rsid w:val="00AB4FA9"/>
    <w:rsid w:val="00AB5068"/>
    <w:rsid w:val="00AB50C6"/>
    <w:rsid w:val="00AB52B3"/>
    <w:rsid w:val="00AB5746"/>
    <w:rsid w:val="00AB594D"/>
    <w:rsid w:val="00AB5AEA"/>
    <w:rsid w:val="00AB6D06"/>
    <w:rsid w:val="00AB6DA9"/>
    <w:rsid w:val="00AB74FE"/>
    <w:rsid w:val="00AB785B"/>
    <w:rsid w:val="00AB7C05"/>
    <w:rsid w:val="00AB7FB7"/>
    <w:rsid w:val="00AC0191"/>
    <w:rsid w:val="00AC037C"/>
    <w:rsid w:val="00AC05AB"/>
    <w:rsid w:val="00AC1026"/>
    <w:rsid w:val="00AC1235"/>
    <w:rsid w:val="00AC1643"/>
    <w:rsid w:val="00AC17A6"/>
    <w:rsid w:val="00AC1D3D"/>
    <w:rsid w:val="00AC1D6E"/>
    <w:rsid w:val="00AC202D"/>
    <w:rsid w:val="00AC20AD"/>
    <w:rsid w:val="00AC2290"/>
    <w:rsid w:val="00AC2512"/>
    <w:rsid w:val="00AC2D9B"/>
    <w:rsid w:val="00AC3B13"/>
    <w:rsid w:val="00AC3F65"/>
    <w:rsid w:val="00AC4349"/>
    <w:rsid w:val="00AC43AA"/>
    <w:rsid w:val="00AC4563"/>
    <w:rsid w:val="00AC4643"/>
    <w:rsid w:val="00AC581E"/>
    <w:rsid w:val="00AC582F"/>
    <w:rsid w:val="00AC593F"/>
    <w:rsid w:val="00AC5CBB"/>
    <w:rsid w:val="00AC5EB9"/>
    <w:rsid w:val="00AC5EE5"/>
    <w:rsid w:val="00AC5F8B"/>
    <w:rsid w:val="00AC631C"/>
    <w:rsid w:val="00AC631E"/>
    <w:rsid w:val="00AC6A4D"/>
    <w:rsid w:val="00AC6AF4"/>
    <w:rsid w:val="00AC6C85"/>
    <w:rsid w:val="00AC6F1C"/>
    <w:rsid w:val="00AC7370"/>
    <w:rsid w:val="00AC7A91"/>
    <w:rsid w:val="00AD0261"/>
    <w:rsid w:val="00AD03F4"/>
    <w:rsid w:val="00AD04B7"/>
    <w:rsid w:val="00AD064C"/>
    <w:rsid w:val="00AD0674"/>
    <w:rsid w:val="00AD08BF"/>
    <w:rsid w:val="00AD0A98"/>
    <w:rsid w:val="00AD0BDF"/>
    <w:rsid w:val="00AD0D84"/>
    <w:rsid w:val="00AD1FC9"/>
    <w:rsid w:val="00AD25B4"/>
    <w:rsid w:val="00AD2876"/>
    <w:rsid w:val="00AD28BB"/>
    <w:rsid w:val="00AD2994"/>
    <w:rsid w:val="00AD2A98"/>
    <w:rsid w:val="00AD2ED5"/>
    <w:rsid w:val="00AD2F75"/>
    <w:rsid w:val="00AD2FA6"/>
    <w:rsid w:val="00AD3584"/>
    <w:rsid w:val="00AD395B"/>
    <w:rsid w:val="00AD3BFB"/>
    <w:rsid w:val="00AD3E10"/>
    <w:rsid w:val="00AD3FAB"/>
    <w:rsid w:val="00AD4655"/>
    <w:rsid w:val="00AD4807"/>
    <w:rsid w:val="00AD4C12"/>
    <w:rsid w:val="00AD5424"/>
    <w:rsid w:val="00AD59D7"/>
    <w:rsid w:val="00AD5A95"/>
    <w:rsid w:val="00AD5C08"/>
    <w:rsid w:val="00AD5F17"/>
    <w:rsid w:val="00AD6047"/>
    <w:rsid w:val="00AD62F9"/>
    <w:rsid w:val="00AD66BC"/>
    <w:rsid w:val="00AD6C8F"/>
    <w:rsid w:val="00AD7048"/>
    <w:rsid w:val="00AD738F"/>
    <w:rsid w:val="00AD75E0"/>
    <w:rsid w:val="00AD7D42"/>
    <w:rsid w:val="00AE0265"/>
    <w:rsid w:val="00AE05A2"/>
    <w:rsid w:val="00AE0749"/>
    <w:rsid w:val="00AE0905"/>
    <w:rsid w:val="00AE12A2"/>
    <w:rsid w:val="00AE131A"/>
    <w:rsid w:val="00AE184D"/>
    <w:rsid w:val="00AE1B13"/>
    <w:rsid w:val="00AE1F79"/>
    <w:rsid w:val="00AE220D"/>
    <w:rsid w:val="00AE2251"/>
    <w:rsid w:val="00AE2335"/>
    <w:rsid w:val="00AE2363"/>
    <w:rsid w:val="00AE2609"/>
    <w:rsid w:val="00AE2691"/>
    <w:rsid w:val="00AE2727"/>
    <w:rsid w:val="00AE2CE3"/>
    <w:rsid w:val="00AE3136"/>
    <w:rsid w:val="00AE31D2"/>
    <w:rsid w:val="00AE3569"/>
    <w:rsid w:val="00AE367D"/>
    <w:rsid w:val="00AE3791"/>
    <w:rsid w:val="00AE387E"/>
    <w:rsid w:val="00AE3A1C"/>
    <w:rsid w:val="00AE3D69"/>
    <w:rsid w:val="00AE3ED9"/>
    <w:rsid w:val="00AE40D0"/>
    <w:rsid w:val="00AE42CA"/>
    <w:rsid w:val="00AE432E"/>
    <w:rsid w:val="00AE45EB"/>
    <w:rsid w:val="00AE4B99"/>
    <w:rsid w:val="00AE4C87"/>
    <w:rsid w:val="00AE4DE0"/>
    <w:rsid w:val="00AE4F1E"/>
    <w:rsid w:val="00AE4FAA"/>
    <w:rsid w:val="00AE501A"/>
    <w:rsid w:val="00AE5160"/>
    <w:rsid w:val="00AE51BC"/>
    <w:rsid w:val="00AE5277"/>
    <w:rsid w:val="00AE571A"/>
    <w:rsid w:val="00AE5DF4"/>
    <w:rsid w:val="00AE5F23"/>
    <w:rsid w:val="00AE5FD2"/>
    <w:rsid w:val="00AE5FD9"/>
    <w:rsid w:val="00AE66F5"/>
    <w:rsid w:val="00AE67C4"/>
    <w:rsid w:val="00AE69DF"/>
    <w:rsid w:val="00AE6C4B"/>
    <w:rsid w:val="00AE6F26"/>
    <w:rsid w:val="00AE784B"/>
    <w:rsid w:val="00AE7918"/>
    <w:rsid w:val="00AE7CE1"/>
    <w:rsid w:val="00AE7D6C"/>
    <w:rsid w:val="00AF04B5"/>
    <w:rsid w:val="00AF05A7"/>
    <w:rsid w:val="00AF09BF"/>
    <w:rsid w:val="00AF0A24"/>
    <w:rsid w:val="00AF0A4D"/>
    <w:rsid w:val="00AF0DD2"/>
    <w:rsid w:val="00AF0F0E"/>
    <w:rsid w:val="00AF0FDE"/>
    <w:rsid w:val="00AF0FF6"/>
    <w:rsid w:val="00AF1331"/>
    <w:rsid w:val="00AF166D"/>
    <w:rsid w:val="00AF16B8"/>
    <w:rsid w:val="00AF1E8B"/>
    <w:rsid w:val="00AF2605"/>
    <w:rsid w:val="00AF27AC"/>
    <w:rsid w:val="00AF2A55"/>
    <w:rsid w:val="00AF2AA7"/>
    <w:rsid w:val="00AF2FD3"/>
    <w:rsid w:val="00AF3308"/>
    <w:rsid w:val="00AF35C5"/>
    <w:rsid w:val="00AF376D"/>
    <w:rsid w:val="00AF37DC"/>
    <w:rsid w:val="00AF439E"/>
    <w:rsid w:val="00AF43BA"/>
    <w:rsid w:val="00AF4644"/>
    <w:rsid w:val="00AF4BE5"/>
    <w:rsid w:val="00AF4C76"/>
    <w:rsid w:val="00AF4E18"/>
    <w:rsid w:val="00AF503A"/>
    <w:rsid w:val="00AF515B"/>
    <w:rsid w:val="00AF5AE6"/>
    <w:rsid w:val="00AF5EE8"/>
    <w:rsid w:val="00AF63FC"/>
    <w:rsid w:val="00AF66AC"/>
    <w:rsid w:val="00AF693D"/>
    <w:rsid w:val="00AF6A28"/>
    <w:rsid w:val="00AF6C5F"/>
    <w:rsid w:val="00AF6FBC"/>
    <w:rsid w:val="00AF7AAA"/>
    <w:rsid w:val="00AF7BF0"/>
    <w:rsid w:val="00AF7DF1"/>
    <w:rsid w:val="00AF7EB3"/>
    <w:rsid w:val="00B00139"/>
    <w:rsid w:val="00B001A9"/>
    <w:rsid w:val="00B00D93"/>
    <w:rsid w:val="00B012B5"/>
    <w:rsid w:val="00B01ACB"/>
    <w:rsid w:val="00B02034"/>
    <w:rsid w:val="00B023B1"/>
    <w:rsid w:val="00B024B3"/>
    <w:rsid w:val="00B028E7"/>
    <w:rsid w:val="00B02A51"/>
    <w:rsid w:val="00B035A2"/>
    <w:rsid w:val="00B0361C"/>
    <w:rsid w:val="00B03A6E"/>
    <w:rsid w:val="00B03AFE"/>
    <w:rsid w:val="00B03EA0"/>
    <w:rsid w:val="00B03F67"/>
    <w:rsid w:val="00B0458B"/>
    <w:rsid w:val="00B04681"/>
    <w:rsid w:val="00B04900"/>
    <w:rsid w:val="00B04EA5"/>
    <w:rsid w:val="00B0558C"/>
    <w:rsid w:val="00B05B5A"/>
    <w:rsid w:val="00B05D97"/>
    <w:rsid w:val="00B05FDF"/>
    <w:rsid w:val="00B060C9"/>
    <w:rsid w:val="00B06298"/>
    <w:rsid w:val="00B063D1"/>
    <w:rsid w:val="00B06440"/>
    <w:rsid w:val="00B06863"/>
    <w:rsid w:val="00B06A0E"/>
    <w:rsid w:val="00B06FAC"/>
    <w:rsid w:val="00B077D7"/>
    <w:rsid w:val="00B077FB"/>
    <w:rsid w:val="00B07889"/>
    <w:rsid w:val="00B07A11"/>
    <w:rsid w:val="00B07D49"/>
    <w:rsid w:val="00B07E1C"/>
    <w:rsid w:val="00B1022A"/>
    <w:rsid w:val="00B104CC"/>
    <w:rsid w:val="00B10706"/>
    <w:rsid w:val="00B10936"/>
    <w:rsid w:val="00B109EC"/>
    <w:rsid w:val="00B10BDF"/>
    <w:rsid w:val="00B10D64"/>
    <w:rsid w:val="00B1114C"/>
    <w:rsid w:val="00B117DB"/>
    <w:rsid w:val="00B118EC"/>
    <w:rsid w:val="00B11B6D"/>
    <w:rsid w:val="00B120A5"/>
    <w:rsid w:val="00B12290"/>
    <w:rsid w:val="00B125C4"/>
    <w:rsid w:val="00B12A8B"/>
    <w:rsid w:val="00B12EA3"/>
    <w:rsid w:val="00B13783"/>
    <w:rsid w:val="00B13B4E"/>
    <w:rsid w:val="00B13C4B"/>
    <w:rsid w:val="00B1444A"/>
    <w:rsid w:val="00B146E6"/>
    <w:rsid w:val="00B150EF"/>
    <w:rsid w:val="00B157CE"/>
    <w:rsid w:val="00B15A71"/>
    <w:rsid w:val="00B15A9F"/>
    <w:rsid w:val="00B15D0B"/>
    <w:rsid w:val="00B163FC"/>
    <w:rsid w:val="00B16EAD"/>
    <w:rsid w:val="00B174B7"/>
    <w:rsid w:val="00B17583"/>
    <w:rsid w:val="00B17777"/>
    <w:rsid w:val="00B178CC"/>
    <w:rsid w:val="00B17991"/>
    <w:rsid w:val="00B17BA7"/>
    <w:rsid w:val="00B17DE3"/>
    <w:rsid w:val="00B17F5D"/>
    <w:rsid w:val="00B202E9"/>
    <w:rsid w:val="00B2064D"/>
    <w:rsid w:val="00B206EA"/>
    <w:rsid w:val="00B2075D"/>
    <w:rsid w:val="00B21AE0"/>
    <w:rsid w:val="00B21C0F"/>
    <w:rsid w:val="00B21E2F"/>
    <w:rsid w:val="00B22092"/>
    <w:rsid w:val="00B22BB4"/>
    <w:rsid w:val="00B22CB1"/>
    <w:rsid w:val="00B22D72"/>
    <w:rsid w:val="00B233CF"/>
    <w:rsid w:val="00B239B4"/>
    <w:rsid w:val="00B23AB9"/>
    <w:rsid w:val="00B24044"/>
    <w:rsid w:val="00B242CF"/>
    <w:rsid w:val="00B24596"/>
    <w:rsid w:val="00B24633"/>
    <w:rsid w:val="00B246C5"/>
    <w:rsid w:val="00B24837"/>
    <w:rsid w:val="00B24AED"/>
    <w:rsid w:val="00B24C59"/>
    <w:rsid w:val="00B24D15"/>
    <w:rsid w:val="00B25750"/>
    <w:rsid w:val="00B25AC4"/>
    <w:rsid w:val="00B25AE0"/>
    <w:rsid w:val="00B260F3"/>
    <w:rsid w:val="00B269B1"/>
    <w:rsid w:val="00B27290"/>
    <w:rsid w:val="00B273BD"/>
    <w:rsid w:val="00B2758E"/>
    <w:rsid w:val="00B275C9"/>
    <w:rsid w:val="00B27BA0"/>
    <w:rsid w:val="00B27EC7"/>
    <w:rsid w:val="00B300A6"/>
    <w:rsid w:val="00B3016D"/>
    <w:rsid w:val="00B306E5"/>
    <w:rsid w:val="00B30ABD"/>
    <w:rsid w:val="00B30CFE"/>
    <w:rsid w:val="00B30D13"/>
    <w:rsid w:val="00B30FF6"/>
    <w:rsid w:val="00B310DC"/>
    <w:rsid w:val="00B31139"/>
    <w:rsid w:val="00B3151F"/>
    <w:rsid w:val="00B316D1"/>
    <w:rsid w:val="00B316D7"/>
    <w:rsid w:val="00B31A76"/>
    <w:rsid w:val="00B31CE9"/>
    <w:rsid w:val="00B31D5F"/>
    <w:rsid w:val="00B31E8E"/>
    <w:rsid w:val="00B321D7"/>
    <w:rsid w:val="00B32317"/>
    <w:rsid w:val="00B3235F"/>
    <w:rsid w:val="00B32366"/>
    <w:rsid w:val="00B324EB"/>
    <w:rsid w:val="00B32A80"/>
    <w:rsid w:val="00B32EDD"/>
    <w:rsid w:val="00B32F50"/>
    <w:rsid w:val="00B33001"/>
    <w:rsid w:val="00B331AC"/>
    <w:rsid w:val="00B33425"/>
    <w:rsid w:val="00B334A3"/>
    <w:rsid w:val="00B338B3"/>
    <w:rsid w:val="00B33AF2"/>
    <w:rsid w:val="00B33C36"/>
    <w:rsid w:val="00B34297"/>
    <w:rsid w:val="00B34381"/>
    <w:rsid w:val="00B3440D"/>
    <w:rsid w:val="00B34456"/>
    <w:rsid w:val="00B3447B"/>
    <w:rsid w:val="00B345CA"/>
    <w:rsid w:val="00B349D4"/>
    <w:rsid w:val="00B34C5E"/>
    <w:rsid w:val="00B34D89"/>
    <w:rsid w:val="00B34F8F"/>
    <w:rsid w:val="00B35399"/>
    <w:rsid w:val="00B358AF"/>
    <w:rsid w:val="00B35AE6"/>
    <w:rsid w:val="00B35D63"/>
    <w:rsid w:val="00B36707"/>
    <w:rsid w:val="00B368EB"/>
    <w:rsid w:val="00B36B09"/>
    <w:rsid w:val="00B37000"/>
    <w:rsid w:val="00B3700F"/>
    <w:rsid w:val="00B3712A"/>
    <w:rsid w:val="00B3729A"/>
    <w:rsid w:val="00B37C8D"/>
    <w:rsid w:val="00B37FB3"/>
    <w:rsid w:val="00B400CB"/>
    <w:rsid w:val="00B40141"/>
    <w:rsid w:val="00B41593"/>
    <w:rsid w:val="00B4171E"/>
    <w:rsid w:val="00B417B9"/>
    <w:rsid w:val="00B41E3C"/>
    <w:rsid w:val="00B41F44"/>
    <w:rsid w:val="00B4206E"/>
    <w:rsid w:val="00B424F5"/>
    <w:rsid w:val="00B42518"/>
    <w:rsid w:val="00B42660"/>
    <w:rsid w:val="00B426E5"/>
    <w:rsid w:val="00B42D52"/>
    <w:rsid w:val="00B42EC7"/>
    <w:rsid w:val="00B4335D"/>
    <w:rsid w:val="00B43529"/>
    <w:rsid w:val="00B435D8"/>
    <w:rsid w:val="00B43670"/>
    <w:rsid w:val="00B43751"/>
    <w:rsid w:val="00B43D07"/>
    <w:rsid w:val="00B43DE3"/>
    <w:rsid w:val="00B43EC1"/>
    <w:rsid w:val="00B443A6"/>
    <w:rsid w:val="00B4484D"/>
    <w:rsid w:val="00B44E0D"/>
    <w:rsid w:val="00B450F1"/>
    <w:rsid w:val="00B4516A"/>
    <w:rsid w:val="00B45411"/>
    <w:rsid w:val="00B45674"/>
    <w:rsid w:val="00B4571B"/>
    <w:rsid w:val="00B4660A"/>
    <w:rsid w:val="00B46AE1"/>
    <w:rsid w:val="00B46CBB"/>
    <w:rsid w:val="00B46D26"/>
    <w:rsid w:val="00B46D58"/>
    <w:rsid w:val="00B47225"/>
    <w:rsid w:val="00B478D3"/>
    <w:rsid w:val="00B47C93"/>
    <w:rsid w:val="00B50880"/>
    <w:rsid w:val="00B5089C"/>
    <w:rsid w:val="00B50918"/>
    <w:rsid w:val="00B50BED"/>
    <w:rsid w:val="00B50CC7"/>
    <w:rsid w:val="00B50F4C"/>
    <w:rsid w:val="00B510D9"/>
    <w:rsid w:val="00B51334"/>
    <w:rsid w:val="00B51FF1"/>
    <w:rsid w:val="00B52003"/>
    <w:rsid w:val="00B527CA"/>
    <w:rsid w:val="00B5287A"/>
    <w:rsid w:val="00B52934"/>
    <w:rsid w:val="00B52B0D"/>
    <w:rsid w:val="00B5314C"/>
    <w:rsid w:val="00B53213"/>
    <w:rsid w:val="00B53486"/>
    <w:rsid w:val="00B53AD7"/>
    <w:rsid w:val="00B541B2"/>
    <w:rsid w:val="00B5499E"/>
    <w:rsid w:val="00B5529F"/>
    <w:rsid w:val="00B55578"/>
    <w:rsid w:val="00B5568A"/>
    <w:rsid w:val="00B55711"/>
    <w:rsid w:val="00B55880"/>
    <w:rsid w:val="00B55AD0"/>
    <w:rsid w:val="00B55EA3"/>
    <w:rsid w:val="00B55EBA"/>
    <w:rsid w:val="00B55F26"/>
    <w:rsid w:val="00B56273"/>
    <w:rsid w:val="00B562F4"/>
    <w:rsid w:val="00B56384"/>
    <w:rsid w:val="00B5658C"/>
    <w:rsid w:val="00B568BD"/>
    <w:rsid w:val="00B56DF3"/>
    <w:rsid w:val="00B56FD8"/>
    <w:rsid w:val="00B5736C"/>
    <w:rsid w:val="00B574DC"/>
    <w:rsid w:val="00B5768A"/>
    <w:rsid w:val="00B57A51"/>
    <w:rsid w:val="00B57C3F"/>
    <w:rsid w:val="00B57DFC"/>
    <w:rsid w:val="00B57E84"/>
    <w:rsid w:val="00B6061B"/>
    <w:rsid w:val="00B609C7"/>
    <w:rsid w:val="00B60E45"/>
    <w:rsid w:val="00B61184"/>
    <w:rsid w:val="00B6159C"/>
    <w:rsid w:val="00B61A5C"/>
    <w:rsid w:val="00B61E73"/>
    <w:rsid w:val="00B62024"/>
    <w:rsid w:val="00B62049"/>
    <w:rsid w:val="00B62F0F"/>
    <w:rsid w:val="00B62F84"/>
    <w:rsid w:val="00B63E46"/>
    <w:rsid w:val="00B64027"/>
    <w:rsid w:val="00B64436"/>
    <w:rsid w:val="00B6477A"/>
    <w:rsid w:val="00B649F7"/>
    <w:rsid w:val="00B64A84"/>
    <w:rsid w:val="00B64AA4"/>
    <w:rsid w:val="00B64EFF"/>
    <w:rsid w:val="00B65205"/>
    <w:rsid w:val="00B6567D"/>
    <w:rsid w:val="00B65E1A"/>
    <w:rsid w:val="00B65F83"/>
    <w:rsid w:val="00B65FC8"/>
    <w:rsid w:val="00B66190"/>
    <w:rsid w:val="00B66708"/>
    <w:rsid w:val="00B66E44"/>
    <w:rsid w:val="00B66F15"/>
    <w:rsid w:val="00B66F3B"/>
    <w:rsid w:val="00B66F68"/>
    <w:rsid w:val="00B6700F"/>
    <w:rsid w:val="00B67602"/>
    <w:rsid w:val="00B67BEC"/>
    <w:rsid w:val="00B67C7D"/>
    <w:rsid w:val="00B7016B"/>
    <w:rsid w:val="00B705AF"/>
    <w:rsid w:val="00B7068A"/>
    <w:rsid w:val="00B70B55"/>
    <w:rsid w:val="00B70CF5"/>
    <w:rsid w:val="00B71194"/>
    <w:rsid w:val="00B711E2"/>
    <w:rsid w:val="00B7147F"/>
    <w:rsid w:val="00B71498"/>
    <w:rsid w:val="00B71589"/>
    <w:rsid w:val="00B7167A"/>
    <w:rsid w:val="00B71721"/>
    <w:rsid w:val="00B7186A"/>
    <w:rsid w:val="00B71880"/>
    <w:rsid w:val="00B71A3D"/>
    <w:rsid w:val="00B71D7E"/>
    <w:rsid w:val="00B72C7D"/>
    <w:rsid w:val="00B72FB2"/>
    <w:rsid w:val="00B73083"/>
    <w:rsid w:val="00B73A30"/>
    <w:rsid w:val="00B74B28"/>
    <w:rsid w:val="00B74B3C"/>
    <w:rsid w:val="00B7524A"/>
    <w:rsid w:val="00B752B9"/>
    <w:rsid w:val="00B754AD"/>
    <w:rsid w:val="00B7563D"/>
    <w:rsid w:val="00B75895"/>
    <w:rsid w:val="00B75A7E"/>
    <w:rsid w:val="00B75FC5"/>
    <w:rsid w:val="00B76370"/>
    <w:rsid w:val="00B7641D"/>
    <w:rsid w:val="00B76439"/>
    <w:rsid w:val="00B76783"/>
    <w:rsid w:val="00B768FF"/>
    <w:rsid w:val="00B76A47"/>
    <w:rsid w:val="00B76C95"/>
    <w:rsid w:val="00B76FF5"/>
    <w:rsid w:val="00B77725"/>
    <w:rsid w:val="00B777C8"/>
    <w:rsid w:val="00B80201"/>
    <w:rsid w:val="00B80A01"/>
    <w:rsid w:val="00B80B02"/>
    <w:rsid w:val="00B80CDD"/>
    <w:rsid w:val="00B80CF5"/>
    <w:rsid w:val="00B80D1D"/>
    <w:rsid w:val="00B80F49"/>
    <w:rsid w:val="00B80F51"/>
    <w:rsid w:val="00B8105E"/>
    <w:rsid w:val="00B810E7"/>
    <w:rsid w:val="00B81207"/>
    <w:rsid w:val="00B8125F"/>
    <w:rsid w:val="00B81524"/>
    <w:rsid w:val="00B816CA"/>
    <w:rsid w:val="00B816E2"/>
    <w:rsid w:val="00B81843"/>
    <w:rsid w:val="00B8185C"/>
    <w:rsid w:val="00B81AD1"/>
    <w:rsid w:val="00B828DB"/>
    <w:rsid w:val="00B82947"/>
    <w:rsid w:val="00B82A3A"/>
    <w:rsid w:val="00B83567"/>
    <w:rsid w:val="00B8373D"/>
    <w:rsid w:val="00B83A9B"/>
    <w:rsid w:val="00B8402E"/>
    <w:rsid w:val="00B841EF"/>
    <w:rsid w:val="00B84427"/>
    <w:rsid w:val="00B8452C"/>
    <w:rsid w:val="00B84E4A"/>
    <w:rsid w:val="00B8537B"/>
    <w:rsid w:val="00B8546A"/>
    <w:rsid w:val="00B85563"/>
    <w:rsid w:val="00B85697"/>
    <w:rsid w:val="00B85AA3"/>
    <w:rsid w:val="00B85BE3"/>
    <w:rsid w:val="00B85D95"/>
    <w:rsid w:val="00B85FCD"/>
    <w:rsid w:val="00B862D8"/>
    <w:rsid w:val="00B863C4"/>
    <w:rsid w:val="00B8651B"/>
    <w:rsid w:val="00B867F7"/>
    <w:rsid w:val="00B86C22"/>
    <w:rsid w:val="00B86FD2"/>
    <w:rsid w:val="00B87065"/>
    <w:rsid w:val="00B872C3"/>
    <w:rsid w:val="00B876E4"/>
    <w:rsid w:val="00B8782F"/>
    <w:rsid w:val="00B906E1"/>
    <w:rsid w:val="00B90978"/>
    <w:rsid w:val="00B90E58"/>
    <w:rsid w:val="00B90FE5"/>
    <w:rsid w:val="00B913A4"/>
    <w:rsid w:val="00B91467"/>
    <w:rsid w:val="00B91B63"/>
    <w:rsid w:val="00B92183"/>
    <w:rsid w:val="00B923F9"/>
    <w:rsid w:val="00B92F3C"/>
    <w:rsid w:val="00B938EF"/>
    <w:rsid w:val="00B93B07"/>
    <w:rsid w:val="00B93B2E"/>
    <w:rsid w:val="00B94129"/>
    <w:rsid w:val="00B94138"/>
    <w:rsid w:val="00B943A0"/>
    <w:rsid w:val="00B94523"/>
    <w:rsid w:val="00B9476A"/>
    <w:rsid w:val="00B94C76"/>
    <w:rsid w:val="00B94EF9"/>
    <w:rsid w:val="00B94FA8"/>
    <w:rsid w:val="00B9506F"/>
    <w:rsid w:val="00B95151"/>
    <w:rsid w:val="00B9532B"/>
    <w:rsid w:val="00B96182"/>
    <w:rsid w:val="00B962CB"/>
    <w:rsid w:val="00B96424"/>
    <w:rsid w:val="00B9682A"/>
    <w:rsid w:val="00B96A4B"/>
    <w:rsid w:val="00B96A4C"/>
    <w:rsid w:val="00B96ADC"/>
    <w:rsid w:val="00B96B4A"/>
    <w:rsid w:val="00B97216"/>
    <w:rsid w:val="00B977F8"/>
    <w:rsid w:val="00BA0066"/>
    <w:rsid w:val="00BA00B3"/>
    <w:rsid w:val="00BA0101"/>
    <w:rsid w:val="00BA02F2"/>
    <w:rsid w:val="00BA04BA"/>
    <w:rsid w:val="00BA051F"/>
    <w:rsid w:val="00BA08F0"/>
    <w:rsid w:val="00BA0A94"/>
    <w:rsid w:val="00BA0BA5"/>
    <w:rsid w:val="00BA1075"/>
    <w:rsid w:val="00BA12B8"/>
    <w:rsid w:val="00BA1965"/>
    <w:rsid w:val="00BA1B3A"/>
    <w:rsid w:val="00BA2288"/>
    <w:rsid w:val="00BA2339"/>
    <w:rsid w:val="00BA274B"/>
    <w:rsid w:val="00BA277B"/>
    <w:rsid w:val="00BA2BAF"/>
    <w:rsid w:val="00BA2D6E"/>
    <w:rsid w:val="00BA3436"/>
    <w:rsid w:val="00BA37A4"/>
    <w:rsid w:val="00BA3F8E"/>
    <w:rsid w:val="00BA41B9"/>
    <w:rsid w:val="00BA4BF9"/>
    <w:rsid w:val="00BA55A8"/>
    <w:rsid w:val="00BA57E9"/>
    <w:rsid w:val="00BA6119"/>
    <w:rsid w:val="00BA6745"/>
    <w:rsid w:val="00BA697B"/>
    <w:rsid w:val="00BA7000"/>
    <w:rsid w:val="00BA7295"/>
    <w:rsid w:val="00BA7989"/>
    <w:rsid w:val="00BA79A2"/>
    <w:rsid w:val="00BA7C5D"/>
    <w:rsid w:val="00BA7C69"/>
    <w:rsid w:val="00BB062C"/>
    <w:rsid w:val="00BB0C10"/>
    <w:rsid w:val="00BB0F78"/>
    <w:rsid w:val="00BB132D"/>
    <w:rsid w:val="00BB1600"/>
    <w:rsid w:val="00BB1631"/>
    <w:rsid w:val="00BB16C8"/>
    <w:rsid w:val="00BB1E6B"/>
    <w:rsid w:val="00BB20FC"/>
    <w:rsid w:val="00BB276D"/>
    <w:rsid w:val="00BB2C2F"/>
    <w:rsid w:val="00BB3447"/>
    <w:rsid w:val="00BB34AC"/>
    <w:rsid w:val="00BB3679"/>
    <w:rsid w:val="00BB3B52"/>
    <w:rsid w:val="00BB3C42"/>
    <w:rsid w:val="00BB3D97"/>
    <w:rsid w:val="00BB3DE4"/>
    <w:rsid w:val="00BB3F38"/>
    <w:rsid w:val="00BB43ED"/>
    <w:rsid w:val="00BB47C1"/>
    <w:rsid w:val="00BB499D"/>
    <w:rsid w:val="00BB539B"/>
    <w:rsid w:val="00BB5484"/>
    <w:rsid w:val="00BB578C"/>
    <w:rsid w:val="00BB595C"/>
    <w:rsid w:val="00BB59EA"/>
    <w:rsid w:val="00BB5D38"/>
    <w:rsid w:val="00BB5F2F"/>
    <w:rsid w:val="00BB6A1E"/>
    <w:rsid w:val="00BB6DE8"/>
    <w:rsid w:val="00BB6F40"/>
    <w:rsid w:val="00BB7051"/>
    <w:rsid w:val="00BB7CA3"/>
    <w:rsid w:val="00BB7F4E"/>
    <w:rsid w:val="00BC0003"/>
    <w:rsid w:val="00BC0203"/>
    <w:rsid w:val="00BC031E"/>
    <w:rsid w:val="00BC03E8"/>
    <w:rsid w:val="00BC065D"/>
    <w:rsid w:val="00BC0866"/>
    <w:rsid w:val="00BC0931"/>
    <w:rsid w:val="00BC0DB6"/>
    <w:rsid w:val="00BC12A3"/>
    <w:rsid w:val="00BC132C"/>
    <w:rsid w:val="00BC133C"/>
    <w:rsid w:val="00BC1EF4"/>
    <w:rsid w:val="00BC2504"/>
    <w:rsid w:val="00BC25AE"/>
    <w:rsid w:val="00BC2DF9"/>
    <w:rsid w:val="00BC3716"/>
    <w:rsid w:val="00BC398C"/>
    <w:rsid w:val="00BC39B2"/>
    <w:rsid w:val="00BC3D93"/>
    <w:rsid w:val="00BC3E80"/>
    <w:rsid w:val="00BC3ED2"/>
    <w:rsid w:val="00BC43B4"/>
    <w:rsid w:val="00BC4543"/>
    <w:rsid w:val="00BC48AD"/>
    <w:rsid w:val="00BC4BCD"/>
    <w:rsid w:val="00BC4CFC"/>
    <w:rsid w:val="00BC4D65"/>
    <w:rsid w:val="00BC5455"/>
    <w:rsid w:val="00BC57C5"/>
    <w:rsid w:val="00BC586C"/>
    <w:rsid w:val="00BC5BB2"/>
    <w:rsid w:val="00BC6125"/>
    <w:rsid w:val="00BC62CD"/>
    <w:rsid w:val="00BC639E"/>
    <w:rsid w:val="00BC64E2"/>
    <w:rsid w:val="00BC67AB"/>
    <w:rsid w:val="00BC6D89"/>
    <w:rsid w:val="00BC7431"/>
    <w:rsid w:val="00BC769F"/>
    <w:rsid w:val="00BC76CE"/>
    <w:rsid w:val="00BC7BA6"/>
    <w:rsid w:val="00BC7F59"/>
    <w:rsid w:val="00BD00C7"/>
    <w:rsid w:val="00BD01B7"/>
    <w:rsid w:val="00BD01EB"/>
    <w:rsid w:val="00BD08D0"/>
    <w:rsid w:val="00BD0EAA"/>
    <w:rsid w:val="00BD0F33"/>
    <w:rsid w:val="00BD0FFC"/>
    <w:rsid w:val="00BD12CD"/>
    <w:rsid w:val="00BD154F"/>
    <w:rsid w:val="00BD18DB"/>
    <w:rsid w:val="00BD1B58"/>
    <w:rsid w:val="00BD21EA"/>
    <w:rsid w:val="00BD22DB"/>
    <w:rsid w:val="00BD2B90"/>
    <w:rsid w:val="00BD2E25"/>
    <w:rsid w:val="00BD32EB"/>
    <w:rsid w:val="00BD3363"/>
    <w:rsid w:val="00BD33F8"/>
    <w:rsid w:val="00BD3673"/>
    <w:rsid w:val="00BD3B83"/>
    <w:rsid w:val="00BD3C80"/>
    <w:rsid w:val="00BD412B"/>
    <w:rsid w:val="00BD42ED"/>
    <w:rsid w:val="00BD46F9"/>
    <w:rsid w:val="00BD4772"/>
    <w:rsid w:val="00BD517F"/>
    <w:rsid w:val="00BD5CC1"/>
    <w:rsid w:val="00BD6023"/>
    <w:rsid w:val="00BD62FF"/>
    <w:rsid w:val="00BD6304"/>
    <w:rsid w:val="00BD6515"/>
    <w:rsid w:val="00BD6604"/>
    <w:rsid w:val="00BD66E5"/>
    <w:rsid w:val="00BD7152"/>
    <w:rsid w:val="00BD735E"/>
    <w:rsid w:val="00BD7A4A"/>
    <w:rsid w:val="00BD7A80"/>
    <w:rsid w:val="00BD7AEB"/>
    <w:rsid w:val="00BD7B7F"/>
    <w:rsid w:val="00BD7CEA"/>
    <w:rsid w:val="00BD7DC5"/>
    <w:rsid w:val="00BD7E03"/>
    <w:rsid w:val="00BD7F13"/>
    <w:rsid w:val="00BD7FF1"/>
    <w:rsid w:val="00BE068D"/>
    <w:rsid w:val="00BE0D16"/>
    <w:rsid w:val="00BE0D26"/>
    <w:rsid w:val="00BE1197"/>
    <w:rsid w:val="00BE1724"/>
    <w:rsid w:val="00BE1A54"/>
    <w:rsid w:val="00BE1A56"/>
    <w:rsid w:val="00BE1A76"/>
    <w:rsid w:val="00BE1AEA"/>
    <w:rsid w:val="00BE1CB7"/>
    <w:rsid w:val="00BE1CD7"/>
    <w:rsid w:val="00BE1DD7"/>
    <w:rsid w:val="00BE1FEE"/>
    <w:rsid w:val="00BE2246"/>
    <w:rsid w:val="00BE264E"/>
    <w:rsid w:val="00BE28D7"/>
    <w:rsid w:val="00BE34B2"/>
    <w:rsid w:val="00BE35DA"/>
    <w:rsid w:val="00BE365E"/>
    <w:rsid w:val="00BE48C6"/>
    <w:rsid w:val="00BE4910"/>
    <w:rsid w:val="00BE4F16"/>
    <w:rsid w:val="00BE53CC"/>
    <w:rsid w:val="00BE5D49"/>
    <w:rsid w:val="00BE638D"/>
    <w:rsid w:val="00BE66A6"/>
    <w:rsid w:val="00BE69EC"/>
    <w:rsid w:val="00BE73B7"/>
    <w:rsid w:val="00BE74E8"/>
    <w:rsid w:val="00BE776A"/>
    <w:rsid w:val="00BE7BE0"/>
    <w:rsid w:val="00BE7D76"/>
    <w:rsid w:val="00BE7D96"/>
    <w:rsid w:val="00BE7FA4"/>
    <w:rsid w:val="00BF02F1"/>
    <w:rsid w:val="00BF035E"/>
    <w:rsid w:val="00BF098D"/>
    <w:rsid w:val="00BF0D56"/>
    <w:rsid w:val="00BF0EF5"/>
    <w:rsid w:val="00BF141F"/>
    <w:rsid w:val="00BF1508"/>
    <w:rsid w:val="00BF1856"/>
    <w:rsid w:val="00BF19A7"/>
    <w:rsid w:val="00BF1B16"/>
    <w:rsid w:val="00BF1C0B"/>
    <w:rsid w:val="00BF21ED"/>
    <w:rsid w:val="00BF22AB"/>
    <w:rsid w:val="00BF2340"/>
    <w:rsid w:val="00BF2A65"/>
    <w:rsid w:val="00BF2CE6"/>
    <w:rsid w:val="00BF2D81"/>
    <w:rsid w:val="00BF38E1"/>
    <w:rsid w:val="00BF39F0"/>
    <w:rsid w:val="00BF3DCD"/>
    <w:rsid w:val="00BF3E8F"/>
    <w:rsid w:val="00BF3F6D"/>
    <w:rsid w:val="00BF3F87"/>
    <w:rsid w:val="00BF4562"/>
    <w:rsid w:val="00BF46DF"/>
    <w:rsid w:val="00BF4AAA"/>
    <w:rsid w:val="00BF4B74"/>
    <w:rsid w:val="00BF52C6"/>
    <w:rsid w:val="00BF5804"/>
    <w:rsid w:val="00BF5ABC"/>
    <w:rsid w:val="00BF616E"/>
    <w:rsid w:val="00BF638B"/>
    <w:rsid w:val="00BF6646"/>
    <w:rsid w:val="00BF6B6B"/>
    <w:rsid w:val="00BF6CF5"/>
    <w:rsid w:val="00BF7055"/>
    <w:rsid w:val="00BF711D"/>
    <w:rsid w:val="00BF717F"/>
    <w:rsid w:val="00BF732B"/>
    <w:rsid w:val="00BF74FC"/>
    <w:rsid w:val="00BF7663"/>
    <w:rsid w:val="00BF779F"/>
    <w:rsid w:val="00BF795B"/>
    <w:rsid w:val="00BF7B34"/>
    <w:rsid w:val="00BF7C7C"/>
    <w:rsid w:val="00BF7DC8"/>
    <w:rsid w:val="00BF7FCD"/>
    <w:rsid w:val="00C00117"/>
    <w:rsid w:val="00C00209"/>
    <w:rsid w:val="00C00360"/>
    <w:rsid w:val="00C005B2"/>
    <w:rsid w:val="00C00AA6"/>
    <w:rsid w:val="00C00D9F"/>
    <w:rsid w:val="00C00EA3"/>
    <w:rsid w:val="00C00FF2"/>
    <w:rsid w:val="00C011B1"/>
    <w:rsid w:val="00C011CA"/>
    <w:rsid w:val="00C0196D"/>
    <w:rsid w:val="00C01AE0"/>
    <w:rsid w:val="00C01F08"/>
    <w:rsid w:val="00C0200D"/>
    <w:rsid w:val="00C02534"/>
    <w:rsid w:val="00C02864"/>
    <w:rsid w:val="00C02A2F"/>
    <w:rsid w:val="00C02AF0"/>
    <w:rsid w:val="00C02BC0"/>
    <w:rsid w:val="00C02CCA"/>
    <w:rsid w:val="00C02DA9"/>
    <w:rsid w:val="00C02E57"/>
    <w:rsid w:val="00C02F83"/>
    <w:rsid w:val="00C0330B"/>
    <w:rsid w:val="00C038CA"/>
    <w:rsid w:val="00C0394A"/>
    <w:rsid w:val="00C03C81"/>
    <w:rsid w:val="00C04277"/>
    <w:rsid w:val="00C048AB"/>
    <w:rsid w:val="00C04EF6"/>
    <w:rsid w:val="00C05755"/>
    <w:rsid w:val="00C058A9"/>
    <w:rsid w:val="00C05B35"/>
    <w:rsid w:val="00C05BE2"/>
    <w:rsid w:val="00C05DB0"/>
    <w:rsid w:val="00C05F3F"/>
    <w:rsid w:val="00C065E4"/>
    <w:rsid w:val="00C066E7"/>
    <w:rsid w:val="00C0690F"/>
    <w:rsid w:val="00C06C98"/>
    <w:rsid w:val="00C06E82"/>
    <w:rsid w:val="00C06E83"/>
    <w:rsid w:val="00C06EA8"/>
    <w:rsid w:val="00C07989"/>
    <w:rsid w:val="00C106B1"/>
    <w:rsid w:val="00C106B5"/>
    <w:rsid w:val="00C10924"/>
    <w:rsid w:val="00C10CB6"/>
    <w:rsid w:val="00C10FC4"/>
    <w:rsid w:val="00C11212"/>
    <w:rsid w:val="00C1149A"/>
    <w:rsid w:val="00C11F2F"/>
    <w:rsid w:val="00C12A35"/>
    <w:rsid w:val="00C12BAB"/>
    <w:rsid w:val="00C12D0A"/>
    <w:rsid w:val="00C12EAF"/>
    <w:rsid w:val="00C132FE"/>
    <w:rsid w:val="00C13ADA"/>
    <w:rsid w:val="00C13CC9"/>
    <w:rsid w:val="00C13F08"/>
    <w:rsid w:val="00C14116"/>
    <w:rsid w:val="00C141F3"/>
    <w:rsid w:val="00C14301"/>
    <w:rsid w:val="00C1451B"/>
    <w:rsid w:val="00C14815"/>
    <w:rsid w:val="00C1481E"/>
    <w:rsid w:val="00C14831"/>
    <w:rsid w:val="00C14E91"/>
    <w:rsid w:val="00C14F02"/>
    <w:rsid w:val="00C15538"/>
    <w:rsid w:val="00C15609"/>
    <w:rsid w:val="00C15967"/>
    <w:rsid w:val="00C15DC7"/>
    <w:rsid w:val="00C16379"/>
    <w:rsid w:val="00C166B5"/>
    <w:rsid w:val="00C16A51"/>
    <w:rsid w:val="00C16AE8"/>
    <w:rsid w:val="00C16B59"/>
    <w:rsid w:val="00C16CC8"/>
    <w:rsid w:val="00C1730D"/>
    <w:rsid w:val="00C176B2"/>
    <w:rsid w:val="00C17934"/>
    <w:rsid w:val="00C1793C"/>
    <w:rsid w:val="00C2017B"/>
    <w:rsid w:val="00C2148E"/>
    <w:rsid w:val="00C216BE"/>
    <w:rsid w:val="00C218E9"/>
    <w:rsid w:val="00C21AFA"/>
    <w:rsid w:val="00C21C4A"/>
    <w:rsid w:val="00C21CE4"/>
    <w:rsid w:val="00C2225B"/>
    <w:rsid w:val="00C22ADB"/>
    <w:rsid w:val="00C22E6A"/>
    <w:rsid w:val="00C23226"/>
    <w:rsid w:val="00C234A2"/>
    <w:rsid w:val="00C23A7E"/>
    <w:rsid w:val="00C23E5C"/>
    <w:rsid w:val="00C23F6E"/>
    <w:rsid w:val="00C23FBB"/>
    <w:rsid w:val="00C2428D"/>
    <w:rsid w:val="00C24658"/>
    <w:rsid w:val="00C24964"/>
    <w:rsid w:val="00C24A2D"/>
    <w:rsid w:val="00C250B8"/>
    <w:rsid w:val="00C25267"/>
    <w:rsid w:val="00C2554C"/>
    <w:rsid w:val="00C255C6"/>
    <w:rsid w:val="00C25726"/>
    <w:rsid w:val="00C25AFA"/>
    <w:rsid w:val="00C25F67"/>
    <w:rsid w:val="00C261F1"/>
    <w:rsid w:val="00C26331"/>
    <w:rsid w:val="00C26338"/>
    <w:rsid w:val="00C26369"/>
    <w:rsid w:val="00C2708A"/>
    <w:rsid w:val="00C270E6"/>
    <w:rsid w:val="00C27359"/>
    <w:rsid w:val="00C276D8"/>
    <w:rsid w:val="00C2771E"/>
    <w:rsid w:val="00C278AE"/>
    <w:rsid w:val="00C27A82"/>
    <w:rsid w:val="00C27CF3"/>
    <w:rsid w:val="00C27FEB"/>
    <w:rsid w:val="00C30038"/>
    <w:rsid w:val="00C30642"/>
    <w:rsid w:val="00C30764"/>
    <w:rsid w:val="00C3092E"/>
    <w:rsid w:val="00C3096D"/>
    <w:rsid w:val="00C3098A"/>
    <w:rsid w:val="00C30D13"/>
    <w:rsid w:val="00C30DA5"/>
    <w:rsid w:val="00C311D3"/>
    <w:rsid w:val="00C31242"/>
    <w:rsid w:val="00C317C8"/>
    <w:rsid w:val="00C31A1A"/>
    <w:rsid w:val="00C31B50"/>
    <w:rsid w:val="00C31E01"/>
    <w:rsid w:val="00C321FB"/>
    <w:rsid w:val="00C32C00"/>
    <w:rsid w:val="00C32EA2"/>
    <w:rsid w:val="00C32EDB"/>
    <w:rsid w:val="00C3364A"/>
    <w:rsid w:val="00C3377B"/>
    <w:rsid w:val="00C33876"/>
    <w:rsid w:val="00C34024"/>
    <w:rsid w:val="00C3454E"/>
    <w:rsid w:val="00C34597"/>
    <w:rsid w:val="00C34647"/>
    <w:rsid w:val="00C34658"/>
    <w:rsid w:val="00C34765"/>
    <w:rsid w:val="00C3488C"/>
    <w:rsid w:val="00C34A0E"/>
    <w:rsid w:val="00C34A80"/>
    <w:rsid w:val="00C350C5"/>
    <w:rsid w:val="00C356E3"/>
    <w:rsid w:val="00C359E5"/>
    <w:rsid w:val="00C35E58"/>
    <w:rsid w:val="00C35E87"/>
    <w:rsid w:val="00C36126"/>
    <w:rsid w:val="00C366A5"/>
    <w:rsid w:val="00C3676A"/>
    <w:rsid w:val="00C36A2E"/>
    <w:rsid w:val="00C37484"/>
    <w:rsid w:val="00C37592"/>
    <w:rsid w:val="00C37D78"/>
    <w:rsid w:val="00C37F0F"/>
    <w:rsid w:val="00C40354"/>
    <w:rsid w:val="00C404FC"/>
    <w:rsid w:val="00C4084F"/>
    <w:rsid w:val="00C40E7C"/>
    <w:rsid w:val="00C410B7"/>
    <w:rsid w:val="00C41A02"/>
    <w:rsid w:val="00C41DE8"/>
    <w:rsid w:val="00C41E9B"/>
    <w:rsid w:val="00C41EAC"/>
    <w:rsid w:val="00C42745"/>
    <w:rsid w:val="00C4275D"/>
    <w:rsid w:val="00C4293A"/>
    <w:rsid w:val="00C42A48"/>
    <w:rsid w:val="00C434DC"/>
    <w:rsid w:val="00C436D1"/>
    <w:rsid w:val="00C439B2"/>
    <w:rsid w:val="00C439F4"/>
    <w:rsid w:val="00C43EF9"/>
    <w:rsid w:val="00C441F8"/>
    <w:rsid w:val="00C44254"/>
    <w:rsid w:val="00C446A7"/>
    <w:rsid w:val="00C4477C"/>
    <w:rsid w:val="00C4486D"/>
    <w:rsid w:val="00C44EB2"/>
    <w:rsid w:val="00C450CE"/>
    <w:rsid w:val="00C452F7"/>
    <w:rsid w:val="00C45329"/>
    <w:rsid w:val="00C4538D"/>
    <w:rsid w:val="00C45D94"/>
    <w:rsid w:val="00C45F03"/>
    <w:rsid w:val="00C45FE0"/>
    <w:rsid w:val="00C46433"/>
    <w:rsid w:val="00C46460"/>
    <w:rsid w:val="00C46ED2"/>
    <w:rsid w:val="00C4705E"/>
    <w:rsid w:val="00C47074"/>
    <w:rsid w:val="00C470A8"/>
    <w:rsid w:val="00C4758B"/>
    <w:rsid w:val="00C47772"/>
    <w:rsid w:val="00C47983"/>
    <w:rsid w:val="00C47B04"/>
    <w:rsid w:val="00C47FE7"/>
    <w:rsid w:val="00C500B3"/>
    <w:rsid w:val="00C5093E"/>
    <w:rsid w:val="00C50E69"/>
    <w:rsid w:val="00C50ECC"/>
    <w:rsid w:val="00C50EE6"/>
    <w:rsid w:val="00C51158"/>
    <w:rsid w:val="00C514AD"/>
    <w:rsid w:val="00C51554"/>
    <w:rsid w:val="00C5179A"/>
    <w:rsid w:val="00C5194F"/>
    <w:rsid w:val="00C5197B"/>
    <w:rsid w:val="00C51B17"/>
    <w:rsid w:val="00C526F1"/>
    <w:rsid w:val="00C52B5B"/>
    <w:rsid w:val="00C53440"/>
    <w:rsid w:val="00C5347E"/>
    <w:rsid w:val="00C53589"/>
    <w:rsid w:val="00C53723"/>
    <w:rsid w:val="00C53B87"/>
    <w:rsid w:val="00C53D1E"/>
    <w:rsid w:val="00C542E5"/>
    <w:rsid w:val="00C54787"/>
    <w:rsid w:val="00C549BD"/>
    <w:rsid w:val="00C55707"/>
    <w:rsid w:val="00C5582F"/>
    <w:rsid w:val="00C5585E"/>
    <w:rsid w:val="00C55E26"/>
    <w:rsid w:val="00C5622C"/>
    <w:rsid w:val="00C567EB"/>
    <w:rsid w:val="00C56D9C"/>
    <w:rsid w:val="00C56E51"/>
    <w:rsid w:val="00C57509"/>
    <w:rsid w:val="00C5760B"/>
    <w:rsid w:val="00C576F6"/>
    <w:rsid w:val="00C577DC"/>
    <w:rsid w:val="00C579A8"/>
    <w:rsid w:val="00C57D7A"/>
    <w:rsid w:val="00C602E8"/>
    <w:rsid w:val="00C604C5"/>
    <w:rsid w:val="00C60540"/>
    <w:rsid w:val="00C60575"/>
    <w:rsid w:val="00C60647"/>
    <w:rsid w:val="00C606F3"/>
    <w:rsid w:val="00C609AD"/>
    <w:rsid w:val="00C60AD1"/>
    <w:rsid w:val="00C60E13"/>
    <w:rsid w:val="00C61072"/>
    <w:rsid w:val="00C610BA"/>
    <w:rsid w:val="00C61372"/>
    <w:rsid w:val="00C61A79"/>
    <w:rsid w:val="00C620E0"/>
    <w:rsid w:val="00C6227F"/>
    <w:rsid w:val="00C622DC"/>
    <w:rsid w:val="00C625EB"/>
    <w:rsid w:val="00C62AC1"/>
    <w:rsid w:val="00C62DA8"/>
    <w:rsid w:val="00C62FEF"/>
    <w:rsid w:val="00C6352D"/>
    <w:rsid w:val="00C635BA"/>
    <w:rsid w:val="00C6373D"/>
    <w:rsid w:val="00C639BE"/>
    <w:rsid w:val="00C63AA5"/>
    <w:rsid w:val="00C6473F"/>
    <w:rsid w:val="00C6474F"/>
    <w:rsid w:val="00C64946"/>
    <w:rsid w:val="00C65432"/>
    <w:rsid w:val="00C6591D"/>
    <w:rsid w:val="00C659E3"/>
    <w:rsid w:val="00C65B00"/>
    <w:rsid w:val="00C65B5B"/>
    <w:rsid w:val="00C65C3C"/>
    <w:rsid w:val="00C65D0A"/>
    <w:rsid w:val="00C65E18"/>
    <w:rsid w:val="00C6600B"/>
    <w:rsid w:val="00C661A2"/>
    <w:rsid w:val="00C661AF"/>
    <w:rsid w:val="00C66334"/>
    <w:rsid w:val="00C66455"/>
    <w:rsid w:val="00C66498"/>
    <w:rsid w:val="00C66984"/>
    <w:rsid w:val="00C66B78"/>
    <w:rsid w:val="00C67075"/>
    <w:rsid w:val="00C67482"/>
    <w:rsid w:val="00C67716"/>
    <w:rsid w:val="00C67864"/>
    <w:rsid w:val="00C704EA"/>
    <w:rsid w:val="00C70C94"/>
    <w:rsid w:val="00C70EC5"/>
    <w:rsid w:val="00C710E4"/>
    <w:rsid w:val="00C71221"/>
    <w:rsid w:val="00C71268"/>
    <w:rsid w:val="00C7126C"/>
    <w:rsid w:val="00C71B68"/>
    <w:rsid w:val="00C7203D"/>
    <w:rsid w:val="00C72293"/>
    <w:rsid w:val="00C72569"/>
    <w:rsid w:val="00C728F2"/>
    <w:rsid w:val="00C72976"/>
    <w:rsid w:val="00C72C50"/>
    <w:rsid w:val="00C72C66"/>
    <w:rsid w:val="00C72DCE"/>
    <w:rsid w:val="00C73074"/>
    <w:rsid w:val="00C73658"/>
    <w:rsid w:val="00C7369A"/>
    <w:rsid w:val="00C742FA"/>
    <w:rsid w:val="00C74523"/>
    <w:rsid w:val="00C747EA"/>
    <w:rsid w:val="00C74839"/>
    <w:rsid w:val="00C751AB"/>
    <w:rsid w:val="00C751ED"/>
    <w:rsid w:val="00C75359"/>
    <w:rsid w:val="00C75563"/>
    <w:rsid w:val="00C758F5"/>
    <w:rsid w:val="00C75DC7"/>
    <w:rsid w:val="00C76229"/>
    <w:rsid w:val="00C76355"/>
    <w:rsid w:val="00C764AA"/>
    <w:rsid w:val="00C768F1"/>
    <w:rsid w:val="00C76AD7"/>
    <w:rsid w:val="00C76B9F"/>
    <w:rsid w:val="00C76CFD"/>
    <w:rsid w:val="00C770D0"/>
    <w:rsid w:val="00C77211"/>
    <w:rsid w:val="00C77302"/>
    <w:rsid w:val="00C77452"/>
    <w:rsid w:val="00C774F7"/>
    <w:rsid w:val="00C778A9"/>
    <w:rsid w:val="00C77A08"/>
    <w:rsid w:val="00C77A9A"/>
    <w:rsid w:val="00C77C0E"/>
    <w:rsid w:val="00C77C6A"/>
    <w:rsid w:val="00C77DF6"/>
    <w:rsid w:val="00C80025"/>
    <w:rsid w:val="00C801C6"/>
    <w:rsid w:val="00C802B9"/>
    <w:rsid w:val="00C806A3"/>
    <w:rsid w:val="00C806A6"/>
    <w:rsid w:val="00C80876"/>
    <w:rsid w:val="00C808FD"/>
    <w:rsid w:val="00C809CB"/>
    <w:rsid w:val="00C80ADE"/>
    <w:rsid w:val="00C80AFC"/>
    <w:rsid w:val="00C80C94"/>
    <w:rsid w:val="00C80E05"/>
    <w:rsid w:val="00C816E9"/>
    <w:rsid w:val="00C81C1C"/>
    <w:rsid w:val="00C81E02"/>
    <w:rsid w:val="00C82351"/>
    <w:rsid w:val="00C82511"/>
    <w:rsid w:val="00C826BF"/>
    <w:rsid w:val="00C82851"/>
    <w:rsid w:val="00C82950"/>
    <w:rsid w:val="00C82B27"/>
    <w:rsid w:val="00C835D1"/>
    <w:rsid w:val="00C839D3"/>
    <w:rsid w:val="00C83D59"/>
    <w:rsid w:val="00C83DA8"/>
    <w:rsid w:val="00C83EA3"/>
    <w:rsid w:val="00C840AF"/>
    <w:rsid w:val="00C8483C"/>
    <w:rsid w:val="00C84DEB"/>
    <w:rsid w:val="00C84E5A"/>
    <w:rsid w:val="00C855B3"/>
    <w:rsid w:val="00C859BD"/>
    <w:rsid w:val="00C859D9"/>
    <w:rsid w:val="00C85A85"/>
    <w:rsid w:val="00C86098"/>
    <w:rsid w:val="00C860FB"/>
    <w:rsid w:val="00C86447"/>
    <w:rsid w:val="00C86B2C"/>
    <w:rsid w:val="00C86BF3"/>
    <w:rsid w:val="00C86D22"/>
    <w:rsid w:val="00C86D73"/>
    <w:rsid w:val="00C86DA0"/>
    <w:rsid w:val="00C8714F"/>
    <w:rsid w:val="00C878EF"/>
    <w:rsid w:val="00C8796F"/>
    <w:rsid w:val="00C879D1"/>
    <w:rsid w:val="00C87AE2"/>
    <w:rsid w:val="00C87D30"/>
    <w:rsid w:val="00C900BE"/>
    <w:rsid w:val="00C9028E"/>
    <w:rsid w:val="00C9046D"/>
    <w:rsid w:val="00C90E3A"/>
    <w:rsid w:val="00C91075"/>
    <w:rsid w:val="00C915B3"/>
    <w:rsid w:val="00C916C2"/>
    <w:rsid w:val="00C918F2"/>
    <w:rsid w:val="00C91AF7"/>
    <w:rsid w:val="00C92777"/>
    <w:rsid w:val="00C9299D"/>
    <w:rsid w:val="00C92ACE"/>
    <w:rsid w:val="00C92AD4"/>
    <w:rsid w:val="00C92FFF"/>
    <w:rsid w:val="00C936B4"/>
    <w:rsid w:val="00C93F1C"/>
    <w:rsid w:val="00C94685"/>
    <w:rsid w:val="00C95305"/>
    <w:rsid w:val="00C954DE"/>
    <w:rsid w:val="00C95F15"/>
    <w:rsid w:val="00C96165"/>
    <w:rsid w:val="00C96953"/>
    <w:rsid w:val="00C9699F"/>
    <w:rsid w:val="00C96E97"/>
    <w:rsid w:val="00C97194"/>
    <w:rsid w:val="00C972A3"/>
    <w:rsid w:val="00C974D2"/>
    <w:rsid w:val="00C9770C"/>
    <w:rsid w:val="00C979CC"/>
    <w:rsid w:val="00CA0217"/>
    <w:rsid w:val="00CA0378"/>
    <w:rsid w:val="00CA0408"/>
    <w:rsid w:val="00CA059C"/>
    <w:rsid w:val="00CA0704"/>
    <w:rsid w:val="00CA0C6B"/>
    <w:rsid w:val="00CA0CCA"/>
    <w:rsid w:val="00CA0CDC"/>
    <w:rsid w:val="00CA0DA0"/>
    <w:rsid w:val="00CA0E36"/>
    <w:rsid w:val="00CA0F5C"/>
    <w:rsid w:val="00CA13CE"/>
    <w:rsid w:val="00CA1875"/>
    <w:rsid w:val="00CA1AAB"/>
    <w:rsid w:val="00CA1B28"/>
    <w:rsid w:val="00CA1E13"/>
    <w:rsid w:val="00CA1F4C"/>
    <w:rsid w:val="00CA21AC"/>
    <w:rsid w:val="00CA23F0"/>
    <w:rsid w:val="00CA2A39"/>
    <w:rsid w:val="00CA2B33"/>
    <w:rsid w:val="00CA2C8D"/>
    <w:rsid w:val="00CA2D93"/>
    <w:rsid w:val="00CA2EB9"/>
    <w:rsid w:val="00CA346E"/>
    <w:rsid w:val="00CA37C0"/>
    <w:rsid w:val="00CA3A9A"/>
    <w:rsid w:val="00CA3BAA"/>
    <w:rsid w:val="00CA40F7"/>
    <w:rsid w:val="00CA4499"/>
    <w:rsid w:val="00CA4692"/>
    <w:rsid w:val="00CA4772"/>
    <w:rsid w:val="00CA483C"/>
    <w:rsid w:val="00CA4A6B"/>
    <w:rsid w:val="00CA501E"/>
    <w:rsid w:val="00CA557F"/>
    <w:rsid w:val="00CA56B9"/>
    <w:rsid w:val="00CA57D9"/>
    <w:rsid w:val="00CA6022"/>
    <w:rsid w:val="00CA609C"/>
    <w:rsid w:val="00CA6605"/>
    <w:rsid w:val="00CA6944"/>
    <w:rsid w:val="00CB03A4"/>
    <w:rsid w:val="00CB0A0D"/>
    <w:rsid w:val="00CB0D54"/>
    <w:rsid w:val="00CB0D7B"/>
    <w:rsid w:val="00CB12BF"/>
    <w:rsid w:val="00CB18F1"/>
    <w:rsid w:val="00CB21DD"/>
    <w:rsid w:val="00CB23D4"/>
    <w:rsid w:val="00CB253E"/>
    <w:rsid w:val="00CB2745"/>
    <w:rsid w:val="00CB28C8"/>
    <w:rsid w:val="00CB2B14"/>
    <w:rsid w:val="00CB2E4A"/>
    <w:rsid w:val="00CB2EDB"/>
    <w:rsid w:val="00CB2F1F"/>
    <w:rsid w:val="00CB30E1"/>
    <w:rsid w:val="00CB35D5"/>
    <w:rsid w:val="00CB3717"/>
    <w:rsid w:val="00CB37FA"/>
    <w:rsid w:val="00CB39AD"/>
    <w:rsid w:val="00CB4049"/>
    <w:rsid w:val="00CB41CD"/>
    <w:rsid w:val="00CB434C"/>
    <w:rsid w:val="00CB4404"/>
    <w:rsid w:val="00CB4BC0"/>
    <w:rsid w:val="00CB4BD4"/>
    <w:rsid w:val="00CB4FD6"/>
    <w:rsid w:val="00CB501E"/>
    <w:rsid w:val="00CB52D3"/>
    <w:rsid w:val="00CB57A2"/>
    <w:rsid w:val="00CB57A7"/>
    <w:rsid w:val="00CB5865"/>
    <w:rsid w:val="00CB5CE4"/>
    <w:rsid w:val="00CB5D6B"/>
    <w:rsid w:val="00CB5DF5"/>
    <w:rsid w:val="00CB6191"/>
    <w:rsid w:val="00CB6460"/>
    <w:rsid w:val="00CB6885"/>
    <w:rsid w:val="00CB6E21"/>
    <w:rsid w:val="00CB6F0B"/>
    <w:rsid w:val="00CB7055"/>
    <w:rsid w:val="00CB7264"/>
    <w:rsid w:val="00CB729D"/>
    <w:rsid w:val="00CB730C"/>
    <w:rsid w:val="00CB77FC"/>
    <w:rsid w:val="00CB7C6B"/>
    <w:rsid w:val="00CC03C2"/>
    <w:rsid w:val="00CC0763"/>
    <w:rsid w:val="00CC087A"/>
    <w:rsid w:val="00CC08E0"/>
    <w:rsid w:val="00CC0B00"/>
    <w:rsid w:val="00CC0D93"/>
    <w:rsid w:val="00CC149D"/>
    <w:rsid w:val="00CC1A62"/>
    <w:rsid w:val="00CC1AA5"/>
    <w:rsid w:val="00CC1D6D"/>
    <w:rsid w:val="00CC1F76"/>
    <w:rsid w:val="00CC1F80"/>
    <w:rsid w:val="00CC20E0"/>
    <w:rsid w:val="00CC2122"/>
    <w:rsid w:val="00CC23CB"/>
    <w:rsid w:val="00CC2712"/>
    <w:rsid w:val="00CC2D84"/>
    <w:rsid w:val="00CC2EE9"/>
    <w:rsid w:val="00CC320F"/>
    <w:rsid w:val="00CC34BE"/>
    <w:rsid w:val="00CC37A4"/>
    <w:rsid w:val="00CC4001"/>
    <w:rsid w:val="00CC4414"/>
    <w:rsid w:val="00CC4BA7"/>
    <w:rsid w:val="00CC5081"/>
    <w:rsid w:val="00CC58C8"/>
    <w:rsid w:val="00CC5B02"/>
    <w:rsid w:val="00CC636A"/>
    <w:rsid w:val="00CC6609"/>
    <w:rsid w:val="00CC672C"/>
    <w:rsid w:val="00CC6BD8"/>
    <w:rsid w:val="00CC6E74"/>
    <w:rsid w:val="00CC701F"/>
    <w:rsid w:val="00CC72ED"/>
    <w:rsid w:val="00CC763E"/>
    <w:rsid w:val="00CD01E9"/>
    <w:rsid w:val="00CD05D5"/>
    <w:rsid w:val="00CD05E4"/>
    <w:rsid w:val="00CD0642"/>
    <w:rsid w:val="00CD06EE"/>
    <w:rsid w:val="00CD0901"/>
    <w:rsid w:val="00CD0D1F"/>
    <w:rsid w:val="00CD251E"/>
    <w:rsid w:val="00CD26C6"/>
    <w:rsid w:val="00CD27DD"/>
    <w:rsid w:val="00CD2B85"/>
    <w:rsid w:val="00CD2FCA"/>
    <w:rsid w:val="00CD312B"/>
    <w:rsid w:val="00CD3161"/>
    <w:rsid w:val="00CD31AF"/>
    <w:rsid w:val="00CD342B"/>
    <w:rsid w:val="00CD369E"/>
    <w:rsid w:val="00CD3B73"/>
    <w:rsid w:val="00CD3B76"/>
    <w:rsid w:val="00CD410A"/>
    <w:rsid w:val="00CD44C1"/>
    <w:rsid w:val="00CD4696"/>
    <w:rsid w:val="00CD4963"/>
    <w:rsid w:val="00CD4A48"/>
    <w:rsid w:val="00CD4AFC"/>
    <w:rsid w:val="00CD4B40"/>
    <w:rsid w:val="00CD4D87"/>
    <w:rsid w:val="00CD4E5B"/>
    <w:rsid w:val="00CD4FAA"/>
    <w:rsid w:val="00CD500F"/>
    <w:rsid w:val="00CD50A4"/>
    <w:rsid w:val="00CD52AA"/>
    <w:rsid w:val="00CD5902"/>
    <w:rsid w:val="00CD5939"/>
    <w:rsid w:val="00CD5A57"/>
    <w:rsid w:val="00CD5EE1"/>
    <w:rsid w:val="00CD5F23"/>
    <w:rsid w:val="00CD614F"/>
    <w:rsid w:val="00CD6F54"/>
    <w:rsid w:val="00CD7123"/>
    <w:rsid w:val="00CD7281"/>
    <w:rsid w:val="00CD7932"/>
    <w:rsid w:val="00CD7CDE"/>
    <w:rsid w:val="00CD7E3F"/>
    <w:rsid w:val="00CE0733"/>
    <w:rsid w:val="00CE0DA0"/>
    <w:rsid w:val="00CE0DC7"/>
    <w:rsid w:val="00CE1204"/>
    <w:rsid w:val="00CE160B"/>
    <w:rsid w:val="00CE165C"/>
    <w:rsid w:val="00CE1666"/>
    <w:rsid w:val="00CE189B"/>
    <w:rsid w:val="00CE1915"/>
    <w:rsid w:val="00CE1AE5"/>
    <w:rsid w:val="00CE1AF5"/>
    <w:rsid w:val="00CE22D0"/>
    <w:rsid w:val="00CE2378"/>
    <w:rsid w:val="00CE2582"/>
    <w:rsid w:val="00CE262B"/>
    <w:rsid w:val="00CE2ADF"/>
    <w:rsid w:val="00CE2BF6"/>
    <w:rsid w:val="00CE2EAC"/>
    <w:rsid w:val="00CE30DC"/>
    <w:rsid w:val="00CE31AC"/>
    <w:rsid w:val="00CE31C9"/>
    <w:rsid w:val="00CE31E0"/>
    <w:rsid w:val="00CE3572"/>
    <w:rsid w:val="00CE36E9"/>
    <w:rsid w:val="00CE37F4"/>
    <w:rsid w:val="00CE3B50"/>
    <w:rsid w:val="00CE3BF5"/>
    <w:rsid w:val="00CE3C7A"/>
    <w:rsid w:val="00CE3F7F"/>
    <w:rsid w:val="00CE3FEB"/>
    <w:rsid w:val="00CE416E"/>
    <w:rsid w:val="00CE4569"/>
    <w:rsid w:val="00CE47F4"/>
    <w:rsid w:val="00CE507C"/>
    <w:rsid w:val="00CE536C"/>
    <w:rsid w:val="00CE5499"/>
    <w:rsid w:val="00CE5AE1"/>
    <w:rsid w:val="00CE5D1D"/>
    <w:rsid w:val="00CE62FA"/>
    <w:rsid w:val="00CE6378"/>
    <w:rsid w:val="00CE63EC"/>
    <w:rsid w:val="00CE64F5"/>
    <w:rsid w:val="00CE66E1"/>
    <w:rsid w:val="00CE6879"/>
    <w:rsid w:val="00CE6E8F"/>
    <w:rsid w:val="00CE6F97"/>
    <w:rsid w:val="00CE75C0"/>
    <w:rsid w:val="00CE764A"/>
    <w:rsid w:val="00CE7AD8"/>
    <w:rsid w:val="00CE7B3B"/>
    <w:rsid w:val="00CE7B74"/>
    <w:rsid w:val="00CF0044"/>
    <w:rsid w:val="00CF00F9"/>
    <w:rsid w:val="00CF02CD"/>
    <w:rsid w:val="00CF0CDC"/>
    <w:rsid w:val="00CF0E7A"/>
    <w:rsid w:val="00CF0F7A"/>
    <w:rsid w:val="00CF110C"/>
    <w:rsid w:val="00CF199E"/>
    <w:rsid w:val="00CF19BC"/>
    <w:rsid w:val="00CF19F4"/>
    <w:rsid w:val="00CF1C10"/>
    <w:rsid w:val="00CF1D38"/>
    <w:rsid w:val="00CF2251"/>
    <w:rsid w:val="00CF2642"/>
    <w:rsid w:val="00CF2B12"/>
    <w:rsid w:val="00CF2C9D"/>
    <w:rsid w:val="00CF3212"/>
    <w:rsid w:val="00CF37AB"/>
    <w:rsid w:val="00CF3E62"/>
    <w:rsid w:val="00CF4038"/>
    <w:rsid w:val="00CF421C"/>
    <w:rsid w:val="00CF4F09"/>
    <w:rsid w:val="00CF4FBB"/>
    <w:rsid w:val="00CF541E"/>
    <w:rsid w:val="00CF584A"/>
    <w:rsid w:val="00CF5B9F"/>
    <w:rsid w:val="00CF5D16"/>
    <w:rsid w:val="00CF5F77"/>
    <w:rsid w:val="00CF6182"/>
    <w:rsid w:val="00CF65C2"/>
    <w:rsid w:val="00CF68FE"/>
    <w:rsid w:val="00CF6A19"/>
    <w:rsid w:val="00CF6F09"/>
    <w:rsid w:val="00CF70FC"/>
    <w:rsid w:val="00CF7448"/>
    <w:rsid w:val="00CF77AF"/>
    <w:rsid w:val="00CF77E4"/>
    <w:rsid w:val="00CF7DAD"/>
    <w:rsid w:val="00CF7F0A"/>
    <w:rsid w:val="00D003A9"/>
    <w:rsid w:val="00D003DF"/>
    <w:rsid w:val="00D00629"/>
    <w:rsid w:val="00D00882"/>
    <w:rsid w:val="00D008B5"/>
    <w:rsid w:val="00D00A4E"/>
    <w:rsid w:val="00D00F4B"/>
    <w:rsid w:val="00D01105"/>
    <w:rsid w:val="00D011DA"/>
    <w:rsid w:val="00D01248"/>
    <w:rsid w:val="00D01672"/>
    <w:rsid w:val="00D01D6D"/>
    <w:rsid w:val="00D01E5C"/>
    <w:rsid w:val="00D021A5"/>
    <w:rsid w:val="00D03A3E"/>
    <w:rsid w:val="00D03BB5"/>
    <w:rsid w:val="00D03C2D"/>
    <w:rsid w:val="00D03F31"/>
    <w:rsid w:val="00D03FF8"/>
    <w:rsid w:val="00D04398"/>
    <w:rsid w:val="00D044E0"/>
    <w:rsid w:val="00D04B80"/>
    <w:rsid w:val="00D04C39"/>
    <w:rsid w:val="00D04F03"/>
    <w:rsid w:val="00D05082"/>
    <w:rsid w:val="00D05143"/>
    <w:rsid w:val="00D0656C"/>
    <w:rsid w:val="00D06701"/>
    <w:rsid w:val="00D068DA"/>
    <w:rsid w:val="00D072D0"/>
    <w:rsid w:val="00D07314"/>
    <w:rsid w:val="00D07405"/>
    <w:rsid w:val="00D078AD"/>
    <w:rsid w:val="00D078C9"/>
    <w:rsid w:val="00D07BF8"/>
    <w:rsid w:val="00D07EAE"/>
    <w:rsid w:val="00D10444"/>
    <w:rsid w:val="00D10964"/>
    <w:rsid w:val="00D10A75"/>
    <w:rsid w:val="00D10E15"/>
    <w:rsid w:val="00D10E61"/>
    <w:rsid w:val="00D11317"/>
    <w:rsid w:val="00D113D1"/>
    <w:rsid w:val="00D11607"/>
    <w:rsid w:val="00D1173F"/>
    <w:rsid w:val="00D119EF"/>
    <w:rsid w:val="00D11C54"/>
    <w:rsid w:val="00D11D9F"/>
    <w:rsid w:val="00D11DBC"/>
    <w:rsid w:val="00D11DD7"/>
    <w:rsid w:val="00D12281"/>
    <w:rsid w:val="00D126F5"/>
    <w:rsid w:val="00D12999"/>
    <w:rsid w:val="00D12A7C"/>
    <w:rsid w:val="00D12F47"/>
    <w:rsid w:val="00D135DD"/>
    <w:rsid w:val="00D135FD"/>
    <w:rsid w:val="00D1368E"/>
    <w:rsid w:val="00D13AE3"/>
    <w:rsid w:val="00D14AAD"/>
    <w:rsid w:val="00D14B43"/>
    <w:rsid w:val="00D14BF1"/>
    <w:rsid w:val="00D15083"/>
    <w:rsid w:val="00D1529A"/>
    <w:rsid w:val="00D1543E"/>
    <w:rsid w:val="00D15462"/>
    <w:rsid w:val="00D15867"/>
    <w:rsid w:val="00D158A1"/>
    <w:rsid w:val="00D15C7F"/>
    <w:rsid w:val="00D16074"/>
    <w:rsid w:val="00D16234"/>
    <w:rsid w:val="00D1662B"/>
    <w:rsid w:val="00D1670E"/>
    <w:rsid w:val="00D169A7"/>
    <w:rsid w:val="00D1706D"/>
    <w:rsid w:val="00D17669"/>
    <w:rsid w:val="00D179F5"/>
    <w:rsid w:val="00D17FA3"/>
    <w:rsid w:val="00D2001B"/>
    <w:rsid w:val="00D2008E"/>
    <w:rsid w:val="00D208B6"/>
    <w:rsid w:val="00D20A50"/>
    <w:rsid w:val="00D20B3F"/>
    <w:rsid w:val="00D20CF0"/>
    <w:rsid w:val="00D21387"/>
    <w:rsid w:val="00D21481"/>
    <w:rsid w:val="00D2167A"/>
    <w:rsid w:val="00D218AE"/>
    <w:rsid w:val="00D218D2"/>
    <w:rsid w:val="00D21EEE"/>
    <w:rsid w:val="00D2216A"/>
    <w:rsid w:val="00D221D8"/>
    <w:rsid w:val="00D22BC0"/>
    <w:rsid w:val="00D22C7C"/>
    <w:rsid w:val="00D22C86"/>
    <w:rsid w:val="00D22C8E"/>
    <w:rsid w:val="00D22E49"/>
    <w:rsid w:val="00D2316D"/>
    <w:rsid w:val="00D231E1"/>
    <w:rsid w:val="00D23709"/>
    <w:rsid w:val="00D23964"/>
    <w:rsid w:val="00D23978"/>
    <w:rsid w:val="00D23C39"/>
    <w:rsid w:val="00D23D66"/>
    <w:rsid w:val="00D23DB8"/>
    <w:rsid w:val="00D23FFD"/>
    <w:rsid w:val="00D2409B"/>
    <w:rsid w:val="00D24259"/>
    <w:rsid w:val="00D243E9"/>
    <w:rsid w:val="00D248A9"/>
    <w:rsid w:val="00D250F8"/>
    <w:rsid w:val="00D2518F"/>
    <w:rsid w:val="00D251D2"/>
    <w:rsid w:val="00D255E4"/>
    <w:rsid w:val="00D25949"/>
    <w:rsid w:val="00D25A05"/>
    <w:rsid w:val="00D25A36"/>
    <w:rsid w:val="00D25D4E"/>
    <w:rsid w:val="00D25E1B"/>
    <w:rsid w:val="00D26495"/>
    <w:rsid w:val="00D2651A"/>
    <w:rsid w:val="00D26C67"/>
    <w:rsid w:val="00D26EA7"/>
    <w:rsid w:val="00D27144"/>
    <w:rsid w:val="00D27600"/>
    <w:rsid w:val="00D27918"/>
    <w:rsid w:val="00D27D4F"/>
    <w:rsid w:val="00D27F56"/>
    <w:rsid w:val="00D30101"/>
    <w:rsid w:val="00D30108"/>
    <w:rsid w:val="00D306AA"/>
    <w:rsid w:val="00D30908"/>
    <w:rsid w:val="00D30F4A"/>
    <w:rsid w:val="00D317CE"/>
    <w:rsid w:val="00D320BC"/>
    <w:rsid w:val="00D3224A"/>
    <w:rsid w:val="00D3279F"/>
    <w:rsid w:val="00D3298F"/>
    <w:rsid w:val="00D32BFF"/>
    <w:rsid w:val="00D32D38"/>
    <w:rsid w:val="00D33080"/>
    <w:rsid w:val="00D33122"/>
    <w:rsid w:val="00D33163"/>
    <w:rsid w:val="00D3318A"/>
    <w:rsid w:val="00D3344A"/>
    <w:rsid w:val="00D335A3"/>
    <w:rsid w:val="00D3399B"/>
    <w:rsid w:val="00D33AED"/>
    <w:rsid w:val="00D33D50"/>
    <w:rsid w:val="00D3409A"/>
    <w:rsid w:val="00D34766"/>
    <w:rsid w:val="00D3493F"/>
    <w:rsid w:val="00D34F4D"/>
    <w:rsid w:val="00D3516C"/>
    <w:rsid w:val="00D351C9"/>
    <w:rsid w:val="00D354AC"/>
    <w:rsid w:val="00D355BF"/>
    <w:rsid w:val="00D3561C"/>
    <w:rsid w:val="00D357D3"/>
    <w:rsid w:val="00D35853"/>
    <w:rsid w:val="00D35C04"/>
    <w:rsid w:val="00D3623B"/>
    <w:rsid w:val="00D363F8"/>
    <w:rsid w:val="00D36841"/>
    <w:rsid w:val="00D36876"/>
    <w:rsid w:val="00D36DA4"/>
    <w:rsid w:val="00D37071"/>
    <w:rsid w:val="00D37317"/>
    <w:rsid w:val="00D37337"/>
    <w:rsid w:val="00D37566"/>
    <w:rsid w:val="00D37678"/>
    <w:rsid w:val="00D377DF"/>
    <w:rsid w:val="00D37A20"/>
    <w:rsid w:val="00D37AAE"/>
    <w:rsid w:val="00D37C2B"/>
    <w:rsid w:val="00D37D35"/>
    <w:rsid w:val="00D400C9"/>
    <w:rsid w:val="00D4061F"/>
    <w:rsid w:val="00D40E44"/>
    <w:rsid w:val="00D40E5B"/>
    <w:rsid w:val="00D40FED"/>
    <w:rsid w:val="00D41028"/>
    <w:rsid w:val="00D4133F"/>
    <w:rsid w:val="00D41488"/>
    <w:rsid w:val="00D41555"/>
    <w:rsid w:val="00D41790"/>
    <w:rsid w:val="00D420E6"/>
    <w:rsid w:val="00D4218C"/>
    <w:rsid w:val="00D42198"/>
    <w:rsid w:val="00D427EF"/>
    <w:rsid w:val="00D428A8"/>
    <w:rsid w:val="00D42927"/>
    <w:rsid w:val="00D4297D"/>
    <w:rsid w:val="00D42D18"/>
    <w:rsid w:val="00D430C8"/>
    <w:rsid w:val="00D43146"/>
    <w:rsid w:val="00D43310"/>
    <w:rsid w:val="00D43446"/>
    <w:rsid w:val="00D436BA"/>
    <w:rsid w:val="00D43B09"/>
    <w:rsid w:val="00D43B89"/>
    <w:rsid w:val="00D4425F"/>
    <w:rsid w:val="00D446CA"/>
    <w:rsid w:val="00D44FFF"/>
    <w:rsid w:val="00D455CC"/>
    <w:rsid w:val="00D4566B"/>
    <w:rsid w:val="00D456D6"/>
    <w:rsid w:val="00D457FD"/>
    <w:rsid w:val="00D4588C"/>
    <w:rsid w:val="00D45DFC"/>
    <w:rsid w:val="00D46415"/>
    <w:rsid w:val="00D46730"/>
    <w:rsid w:val="00D46825"/>
    <w:rsid w:val="00D46F55"/>
    <w:rsid w:val="00D4742E"/>
    <w:rsid w:val="00D47A5C"/>
    <w:rsid w:val="00D47D0F"/>
    <w:rsid w:val="00D501D3"/>
    <w:rsid w:val="00D503E6"/>
    <w:rsid w:val="00D50584"/>
    <w:rsid w:val="00D506BE"/>
    <w:rsid w:val="00D50A7B"/>
    <w:rsid w:val="00D50AB3"/>
    <w:rsid w:val="00D50B24"/>
    <w:rsid w:val="00D50F39"/>
    <w:rsid w:val="00D5107D"/>
    <w:rsid w:val="00D510FC"/>
    <w:rsid w:val="00D5117F"/>
    <w:rsid w:val="00D51874"/>
    <w:rsid w:val="00D51BD0"/>
    <w:rsid w:val="00D523F8"/>
    <w:rsid w:val="00D52A0E"/>
    <w:rsid w:val="00D52C0C"/>
    <w:rsid w:val="00D53092"/>
    <w:rsid w:val="00D531C9"/>
    <w:rsid w:val="00D5355F"/>
    <w:rsid w:val="00D537CB"/>
    <w:rsid w:val="00D539FA"/>
    <w:rsid w:val="00D53A0C"/>
    <w:rsid w:val="00D53C87"/>
    <w:rsid w:val="00D53DE4"/>
    <w:rsid w:val="00D53F3F"/>
    <w:rsid w:val="00D54539"/>
    <w:rsid w:val="00D54775"/>
    <w:rsid w:val="00D54BBA"/>
    <w:rsid w:val="00D54BE5"/>
    <w:rsid w:val="00D54CDF"/>
    <w:rsid w:val="00D54F5D"/>
    <w:rsid w:val="00D553F6"/>
    <w:rsid w:val="00D555F2"/>
    <w:rsid w:val="00D55642"/>
    <w:rsid w:val="00D55F20"/>
    <w:rsid w:val="00D56513"/>
    <w:rsid w:val="00D56788"/>
    <w:rsid w:val="00D569EA"/>
    <w:rsid w:val="00D56A0F"/>
    <w:rsid w:val="00D56EFC"/>
    <w:rsid w:val="00D57297"/>
    <w:rsid w:val="00D57663"/>
    <w:rsid w:val="00D5771F"/>
    <w:rsid w:val="00D5772E"/>
    <w:rsid w:val="00D57D31"/>
    <w:rsid w:val="00D600EA"/>
    <w:rsid w:val="00D6052E"/>
    <w:rsid w:val="00D60797"/>
    <w:rsid w:val="00D61131"/>
    <w:rsid w:val="00D61454"/>
    <w:rsid w:val="00D61494"/>
    <w:rsid w:val="00D61677"/>
    <w:rsid w:val="00D61869"/>
    <w:rsid w:val="00D618A7"/>
    <w:rsid w:val="00D61C5B"/>
    <w:rsid w:val="00D61F81"/>
    <w:rsid w:val="00D61FAC"/>
    <w:rsid w:val="00D620ED"/>
    <w:rsid w:val="00D6299D"/>
    <w:rsid w:val="00D62A1E"/>
    <w:rsid w:val="00D62F6F"/>
    <w:rsid w:val="00D6302D"/>
    <w:rsid w:val="00D6313A"/>
    <w:rsid w:val="00D63692"/>
    <w:rsid w:val="00D6369B"/>
    <w:rsid w:val="00D63796"/>
    <w:rsid w:val="00D63B3E"/>
    <w:rsid w:val="00D63BC1"/>
    <w:rsid w:val="00D63D2C"/>
    <w:rsid w:val="00D64141"/>
    <w:rsid w:val="00D642BD"/>
    <w:rsid w:val="00D6433D"/>
    <w:rsid w:val="00D645A3"/>
    <w:rsid w:val="00D645BA"/>
    <w:rsid w:val="00D64609"/>
    <w:rsid w:val="00D649A1"/>
    <w:rsid w:val="00D64D25"/>
    <w:rsid w:val="00D64DA1"/>
    <w:rsid w:val="00D65475"/>
    <w:rsid w:val="00D65502"/>
    <w:rsid w:val="00D658B5"/>
    <w:rsid w:val="00D65C25"/>
    <w:rsid w:val="00D66217"/>
    <w:rsid w:val="00D6621C"/>
    <w:rsid w:val="00D664F6"/>
    <w:rsid w:val="00D667FF"/>
    <w:rsid w:val="00D669D6"/>
    <w:rsid w:val="00D66A2C"/>
    <w:rsid w:val="00D66CE1"/>
    <w:rsid w:val="00D66F4F"/>
    <w:rsid w:val="00D67118"/>
    <w:rsid w:val="00D67872"/>
    <w:rsid w:val="00D67A4F"/>
    <w:rsid w:val="00D67ADC"/>
    <w:rsid w:val="00D70173"/>
    <w:rsid w:val="00D70315"/>
    <w:rsid w:val="00D704D4"/>
    <w:rsid w:val="00D70C3D"/>
    <w:rsid w:val="00D70C57"/>
    <w:rsid w:val="00D70D9F"/>
    <w:rsid w:val="00D71066"/>
    <w:rsid w:val="00D71635"/>
    <w:rsid w:val="00D7194B"/>
    <w:rsid w:val="00D719E5"/>
    <w:rsid w:val="00D71AD2"/>
    <w:rsid w:val="00D71FDD"/>
    <w:rsid w:val="00D7201B"/>
    <w:rsid w:val="00D722C0"/>
    <w:rsid w:val="00D725B7"/>
    <w:rsid w:val="00D72654"/>
    <w:rsid w:val="00D72826"/>
    <w:rsid w:val="00D72977"/>
    <w:rsid w:val="00D72DA9"/>
    <w:rsid w:val="00D73797"/>
    <w:rsid w:val="00D7392C"/>
    <w:rsid w:val="00D73C28"/>
    <w:rsid w:val="00D73C2B"/>
    <w:rsid w:val="00D73FA4"/>
    <w:rsid w:val="00D74045"/>
    <w:rsid w:val="00D7464E"/>
    <w:rsid w:val="00D74652"/>
    <w:rsid w:val="00D74CE6"/>
    <w:rsid w:val="00D74D5A"/>
    <w:rsid w:val="00D74F59"/>
    <w:rsid w:val="00D75032"/>
    <w:rsid w:val="00D7524F"/>
    <w:rsid w:val="00D752AA"/>
    <w:rsid w:val="00D75830"/>
    <w:rsid w:val="00D75903"/>
    <w:rsid w:val="00D75904"/>
    <w:rsid w:val="00D75AEE"/>
    <w:rsid w:val="00D75E37"/>
    <w:rsid w:val="00D76102"/>
    <w:rsid w:val="00D763B7"/>
    <w:rsid w:val="00D76569"/>
    <w:rsid w:val="00D76C64"/>
    <w:rsid w:val="00D76ED6"/>
    <w:rsid w:val="00D770F1"/>
    <w:rsid w:val="00D771A3"/>
    <w:rsid w:val="00D779AA"/>
    <w:rsid w:val="00D77B01"/>
    <w:rsid w:val="00D77BB0"/>
    <w:rsid w:val="00D800BD"/>
    <w:rsid w:val="00D807C0"/>
    <w:rsid w:val="00D80EF7"/>
    <w:rsid w:val="00D81096"/>
    <w:rsid w:val="00D8119D"/>
    <w:rsid w:val="00D81EC9"/>
    <w:rsid w:val="00D81F9B"/>
    <w:rsid w:val="00D8258C"/>
    <w:rsid w:val="00D826F5"/>
    <w:rsid w:val="00D82AE8"/>
    <w:rsid w:val="00D82BB6"/>
    <w:rsid w:val="00D82D2D"/>
    <w:rsid w:val="00D8304D"/>
    <w:rsid w:val="00D83074"/>
    <w:rsid w:val="00D8307C"/>
    <w:rsid w:val="00D830E0"/>
    <w:rsid w:val="00D835B9"/>
    <w:rsid w:val="00D83643"/>
    <w:rsid w:val="00D839C4"/>
    <w:rsid w:val="00D83F9E"/>
    <w:rsid w:val="00D84077"/>
    <w:rsid w:val="00D8412A"/>
    <w:rsid w:val="00D843D5"/>
    <w:rsid w:val="00D84959"/>
    <w:rsid w:val="00D84A0B"/>
    <w:rsid w:val="00D84BAD"/>
    <w:rsid w:val="00D850E8"/>
    <w:rsid w:val="00D85324"/>
    <w:rsid w:val="00D85543"/>
    <w:rsid w:val="00D856CC"/>
    <w:rsid w:val="00D85F28"/>
    <w:rsid w:val="00D861B8"/>
    <w:rsid w:val="00D861ED"/>
    <w:rsid w:val="00D866CC"/>
    <w:rsid w:val="00D86773"/>
    <w:rsid w:val="00D86E61"/>
    <w:rsid w:val="00D872A6"/>
    <w:rsid w:val="00D87330"/>
    <w:rsid w:val="00D87851"/>
    <w:rsid w:val="00D8798B"/>
    <w:rsid w:val="00D879AE"/>
    <w:rsid w:val="00D87B54"/>
    <w:rsid w:val="00D87B93"/>
    <w:rsid w:val="00D87FC9"/>
    <w:rsid w:val="00D90540"/>
    <w:rsid w:val="00D9066A"/>
    <w:rsid w:val="00D907B6"/>
    <w:rsid w:val="00D9095E"/>
    <w:rsid w:val="00D90C23"/>
    <w:rsid w:val="00D90F16"/>
    <w:rsid w:val="00D918D2"/>
    <w:rsid w:val="00D920F1"/>
    <w:rsid w:val="00D9222F"/>
    <w:rsid w:val="00D92707"/>
    <w:rsid w:val="00D92A07"/>
    <w:rsid w:val="00D92D1A"/>
    <w:rsid w:val="00D930F2"/>
    <w:rsid w:val="00D9367E"/>
    <w:rsid w:val="00D9375E"/>
    <w:rsid w:val="00D937A6"/>
    <w:rsid w:val="00D93984"/>
    <w:rsid w:val="00D93A46"/>
    <w:rsid w:val="00D93A87"/>
    <w:rsid w:val="00D93D23"/>
    <w:rsid w:val="00D94585"/>
    <w:rsid w:val="00D94A52"/>
    <w:rsid w:val="00D94C20"/>
    <w:rsid w:val="00D94C3F"/>
    <w:rsid w:val="00D94D0A"/>
    <w:rsid w:val="00D951DA"/>
    <w:rsid w:val="00D95A0F"/>
    <w:rsid w:val="00D96096"/>
    <w:rsid w:val="00D960B3"/>
    <w:rsid w:val="00D96267"/>
    <w:rsid w:val="00D9657F"/>
    <w:rsid w:val="00D96978"/>
    <w:rsid w:val="00D96A94"/>
    <w:rsid w:val="00D96AB7"/>
    <w:rsid w:val="00D971C9"/>
    <w:rsid w:val="00D97544"/>
    <w:rsid w:val="00D977CA"/>
    <w:rsid w:val="00D97A65"/>
    <w:rsid w:val="00D97CBE"/>
    <w:rsid w:val="00D97F7F"/>
    <w:rsid w:val="00DA0066"/>
    <w:rsid w:val="00DA03CA"/>
    <w:rsid w:val="00DA0654"/>
    <w:rsid w:val="00DA0672"/>
    <w:rsid w:val="00DA0EA3"/>
    <w:rsid w:val="00DA16C2"/>
    <w:rsid w:val="00DA19C4"/>
    <w:rsid w:val="00DA1A54"/>
    <w:rsid w:val="00DA1C0F"/>
    <w:rsid w:val="00DA1C13"/>
    <w:rsid w:val="00DA1CB6"/>
    <w:rsid w:val="00DA209F"/>
    <w:rsid w:val="00DA215D"/>
    <w:rsid w:val="00DA2246"/>
    <w:rsid w:val="00DA23BA"/>
    <w:rsid w:val="00DA2AD4"/>
    <w:rsid w:val="00DA2C77"/>
    <w:rsid w:val="00DA2D74"/>
    <w:rsid w:val="00DA32FB"/>
    <w:rsid w:val="00DA35FB"/>
    <w:rsid w:val="00DA41E4"/>
    <w:rsid w:val="00DA4406"/>
    <w:rsid w:val="00DA482E"/>
    <w:rsid w:val="00DA4930"/>
    <w:rsid w:val="00DA4AED"/>
    <w:rsid w:val="00DA51D9"/>
    <w:rsid w:val="00DA54BC"/>
    <w:rsid w:val="00DA5BD5"/>
    <w:rsid w:val="00DA5DA6"/>
    <w:rsid w:val="00DA6503"/>
    <w:rsid w:val="00DA6545"/>
    <w:rsid w:val="00DA6A79"/>
    <w:rsid w:val="00DA70F3"/>
    <w:rsid w:val="00DA730C"/>
    <w:rsid w:val="00DA7D6B"/>
    <w:rsid w:val="00DB0385"/>
    <w:rsid w:val="00DB069D"/>
    <w:rsid w:val="00DB088E"/>
    <w:rsid w:val="00DB187E"/>
    <w:rsid w:val="00DB1A7A"/>
    <w:rsid w:val="00DB1E30"/>
    <w:rsid w:val="00DB1FF9"/>
    <w:rsid w:val="00DB2248"/>
    <w:rsid w:val="00DB308D"/>
    <w:rsid w:val="00DB3783"/>
    <w:rsid w:val="00DB37F6"/>
    <w:rsid w:val="00DB395C"/>
    <w:rsid w:val="00DB3BF5"/>
    <w:rsid w:val="00DB4CBF"/>
    <w:rsid w:val="00DB4FB1"/>
    <w:rsid w:val="00DB50CD"/>
    <w:rsid w:val="00DB54D7"/>
    <w:rsid w:val="00DB56AC"/>
    <w:rsid w:val="00DB59D4"/>
    <w:rsid w:val="00DB5A51"/>
    <w:rsid w:val="00DB5A95"/>
    <w:rsid w:val="00DB5CE4"/>
    <w:rsid w:val="00DB5E08"/>
    <w:rsid w:val="00DB638A"/>
    <w:rsid w:val="00DB6444"/>
    <w:rsid w:val="00DB6B2E"/>
    <w:rsid w:val="00DB6C7C"/>
    <w:rsid w:val="00DB6C92"/>
    <w:rsid w:val="00DB7357"/>
    <w:rsid w:val="00DB75E4"/>
    <w:rsid w:val="00DB79AF"/>
    <w:rsid w:val="00DC0320"/>
    <w:rsid w:val="00DC05FA"/>
    <w:rsid w:val="00DC0ED8"/>
    <w:rsid w:val="00DC1397"/>
    <w:rsid w:val="00DC1568"/>
    <w:rsid w:val="00DC1782"/>
    <w:rsid w:val="00DC1B72"/>
    <w:rsid w:val="00DC1C6E"/>
    <w:rsid w:val="00DC25BA"/>
    <w:rsid w:val="00DC26B0"/>
    <w:rsid w:val="00DC33BE"/>
    <w:rsid w:val="00DC3441"/>
    <w:rsid w:val="00DC34D6"/>
    <w:rsid w:val="00DC34F6"/>
    <w:rsid w:val="00DC36EE"/>
    <w:rsid w:val="00DC3BAD"/>
    <w:rsid w:val="00DC3C9E"/>
    <w:rsid w:val="00DC3D52"/>
    <w:rsid w:val="00DC3E62"/>
    <w:rsid w:val="00DC3F2B"/>
    <w:rsid w:val="00DC426D"/>
    <w:rsid w:val="00DC439E"/>
    <w:rsid w:val="00DC4D94"/>
    <w:rsid w:val="00DC4E9A"/>
    <w:rsid w:val="00DC51F3"/>
    <w:rsid w:val="00DC5203"/>
    <w:rsid w:val="00DC5CE4"/>
    <w:rsid w:val="00DC61BB"/>
    <w:rsid w:val="00DC6221"/>
    <w:rsid w:val="00DC63F9"/>
    <w:rsid w:val="00DC6C07"/>
    <w:rsid w:val="00DC7701"/>
    <w:rsid w:val="00DC7CD5"/>
    <w:rsid w:val="00DD07AF"/>
    <w:rsid w:val="00DD0D69"/>
    <w:rsid w:val="00DD1025"/>
    <w:rsid w:val="00DD1283"/>
    <w:rsid w:val="00DD15E4"/>
    <w:rsid w:val="00DD15ED"/>
    <w:rsid w:val="00DD16D1"/>
    <w:rsid w:val="00DD1983"/>
    <w:rsid w:val="00DD1A64"/>
    <w:rsid w:val="00DD22AB"/>
    <w:rsid w:val="00DD2401"/>
    <w:rsid w:val="00DD2B26"/>
    <w:rsid w:val="00DD2E00"/>
    <w:rsid w:val="00DD31E3"/>
    <w:rsid w:val="00DD3268"/>
    <w:rsid w:val="00DD327E"/>
    <w:rsid w:val="00DD3349"/>
    <w:rsid w:val="00DD3374"/>
    <w:rsid w:val="00DD3531"/>
    <w:rsid w:val="00DD3A1E"/>
    <w:rsid w:val="00DD3B9D"/>
    <w:rsid w:val="00DD3D54"/>
    <w:rsid w:val="00DD3E2F"/>
    <w:rsid w:val="00DD3EE5"/>
    <w:rsid w:val="00DD41FD"/>
    <w:rsid w:val="00DD4346"/>
    <w:rsid w:val="00DD468A"/>
    <w:rsid w:val="00DD4776"/>
    <w:rsid w:val="00DD4B50"/>
    <w:rsid w:val="00DD4FC7"/>
    <w:rsid w:val="00DD50E4"/>
    <w:rsid w:val="00DD5133"/>
    <w:rsid w:val="00DD52F8"/>
    <w:rsid w:val="00DD57DB"/>
    <w:rsid w:val="00DD5921"/>
    <w:rsid w:val="00DD60B7"/>
    <w:rsid w:val="00DD67DD"/>
    <w:rsid w:val="00DD7529"/>
    <w:rsid w:val="00DD767F"/>
    <w:rsid w:val="00DD7689"/>
    <w:rsid w:val="00DD772B"/>
    <w:rsid w:val="00DD7991"/>
    <w:rsid w:val="00DD7B21"/>
    <w:rsid w:val="00DD7CED"/>
    <w:rsid w:val="00DD7F6F"/>
    <w:rsid w:val="00DE0313"/>
    <w:rsid w:val="00DE0393"/>
    <w:rsid w:val="00DE0477"/>
    <w:rsid w:val="00DE06CC"/>
    <w:rsid w:val="00DE0768"/>
    <w:rsid w:val="00DE097F"/>
    <w:rsid w:val="00DE0FA2"/>
    <w:rsid w:val="00DE0FA3"/>
    <w:rsid w:val="00DE114D"/>
    <w:rsid w:val="00DE12A9"/>
    <w:rsid w:val="00DE1315"/>
    <w:rsid w:val="00DE1951"/>
    <w:rsid w:val="00DE1AF9"/>
    <w:rsid w:val="00DE1CD3"/>
    <w:rsid w:val="00DE205A"/>
    <w:rsid w:val="00DE22BD"/>
    <w:rsid w:val="00DE23F4"/>
    <w:rsid w:val="00DE25B4"/>
    <w:rsid w:val="00DE29F9"/>
    <w:rsid w:val="00DE2B4B"/>
    <w:rsid w:val="00DE304A"/>
    <w:rsid w:val="00DE333E"/>
    <w:rsid w:val="00DE33BA"/>
    <w:rsid w:val="00DE346A"/>
    <w:rsid w:val="00DE39AD"/>
    <w:rsid w:val="00DE3D6A"/>
    <w:rsid w:val="00DE3E60"/>
    <w:rsid w:val="00DE4000"/>
    <w:rsid w:val="00DE41A3"/>
    <w:rsid w:val="00DE435D"/>
    <w:rsid w:val="00DE4630"/>
    <w:rsid w:val="00DE4B8D"/>
    <w:rsid w:val="00DE4D66"/>
    <w:rsid w:val="00DE50B3"/>
    <w:rsid w:val="00DE5295"/>
    <w:rsid w:val="00DE53FC"/>
    <w:rsid w:val="00DE5889"/>
    <w:rsid w:val="00DE5D62"/>
    <w:rsid w:val="00DE62F8"/>
    <w:rsid w:val="00DE6313"/>
    <w:rsid w:val="00DE6780"/>
    <w:rsid w:val="00DE67F2"/>
    <w:rsid w:val="00DE6DED"/>
    <w:rsid w:val="00DE6E3E"/>
    <w:rsid w:val="00DE745D"/>
    <w:rsid w:val="00DE7778"/>
    <w:rsid w:val="00DE77CE"/>
    <w:rsid w:val="00DE7910"/>
    <w:rsid w:val="00DE7B31"/>
    <w:rsid w:val="00DE7DD6"/>
    <w:rsid w:val="00DE7EE3"/>
    <w:rsid w:val="00DE7F20"/>
    <w:rsid w:val="00DF0135"/>
    <w:rsid w:val="00DF063A"/>
    <w:rsid w:val="00DF06C6"/>
    <w:rsid w:val="00DF0753"/>
    <w:rsid w:val="00DF0C64"/>
    <w:rsid w:val="00DF0DA7"/>
    <w:rsid w:val="00DF1A9A"/>
    <w:rsid w:val="00DF1BE1"/>
    <w:rsid w:val="00DF1E77"/>
    <w:rsid w:val="00DF25CC"/>
    <w:rsid w:val="00DF2820"/>
    <w:rsid w:val="00DF29ED"/>
    <w:rsid w:val="00DF2D31"/>
    <w:rsid w:val="00DF2E07"/>
    <w:rsid w:val="00DF3B70"/>
    <w:rsid w:val="00DF3FA7"/>
    <w:rsid w:val="00DF4298"/>
    <w:rsid w:val="00DF4488"/>
    <w:rsid w:val="00DF4A79"/>
    <w:rsid w:val="00DF4A8C"/>
    <w:rsid w:val="00DF4CB3"/>
    <w:rsid w:val="00DF5085"/>
    <w:rsid w:val="00DF52DC"/>
    <w:rsid w:val="00DF5538"/>
    <w:rsid w:val="00DF5854"/>
    <w:rsid w:val="00DF5AB9"/>
    <w:rsid w:val="00DF5B6E"/>
    <w:rsid w:val="00DF5FCB"/>
    <w:rsid w:val="00DF6263"/>
    <w:rsid w:val="00DF64EF"/>
    <w:rsid w:val="00DF7094"/>
    <w:rsid w:val="00DF70D7"/>
    <w:rsid w:val="00DF715E"/>
    <w:rsid w:val="00DF7403"/>
    <w:rsid w:val="00DF7698"/>
    <w:rsid w:val="00DF7951"/>
    <w:rsid w:val="00DF795A"/>
    <w:rsid w:val="00DF7ACD"/>
    <w:rsid w:val="00DF7E3F"/>
    <w:rsid w:val="00DF7F55"/>
    <w:rsid w:val="00DF7F9E"/>
    <w:rsid w:val="00E001FF"/>
    <w:rsid w:val="00E0032A"/>
    <w:rsid w:val="00E004F6"/>
    <w:rsid w:val="00E00561"/>
    <w:rsid w:val="00E009E6"/>
    <w:rsid w:val="00E00A70"/>
    <w:rsid w:val="00E00DE4"/>
    <w:rsid w:val="00E0115C"/>
    <w:rsid w:val="00E01330"/>
    <w:rsid w:val="00E013F0"/>
    <w:rsid w:val="00E013F8"/>
    <w:rsid w:val="00E0179A"/>
    <w:rsid w:val="00E01BB2"/>
    <w:rsid w:val="00E01BB4"/>
    <w:rsid w:val="00E01DE3"/>
    <w:rsid w:val="00E01EAC"/>
    <w:rsid w:val="00E02328"/>
    <w:rsid w:val="00E02428"/>
    <w:rsid w:val="00E0273D"/>
    <w:rsid w:val="00E02D20"/>
    <w:rsid w:val="00E02FA2"/>
    <w:rsid w:val="00E0302E"/>
    <w:rsid w:val="00E034E2"/>
    <w:rsid w:val="00E03587"/>
    <w:rsid w:val="00E03D5A"/>
    <w:rsid w:val="00E04111"/>
    <w:rsid w:val="00E04312"/>
    <w:rsid w:val="00E043ED"/>
    <w:rsid w:val="00E04634"/>
    <w:rsid w:val="00E04820"/>
    <w:rsid w:val="00E048A1"/>
    <w:rsid w:val="00E04B52"/>
    <w:rsid w:val="00E051E5"/>
    <w:rsid w:val="00E05203"/>
    <w:rsid w:val="00E052B4"/>
    <w:rsid w:val="00E0530F"/>
    <w:rsid w:val="00E0561F"/>
    <w:rsid w:val="00E05D95"/>
    <w:rsid w:val="00E05F6C"/>
    <w:rsid w:val="00E0621E"/>
    <w:rsid w:val="00E0699A"/>
    <w:rsid w:val="00E06C45"/>
    <w:rsid w:val="00E06D4F"/>
    <w:rsid w:val="00E06DC9"/>
    <w:rsid w:val="00E06E19"/>
    <w:rsid w:val="00E06E4A"/>
    <w:rsid w:val="00E0725E"/>
    <w:rsid w:val="00E0732F"/>
    <w:rsid w:val="00E073CC"/>
    <w:rsid w:val="00E0759C"/>
    <w:rsid w:val="00E076CA"/>
    <w:rsid w:val="00E077F6"/>
    <w:rsid w:val="00E07BAA"/>
    <w:rsid w:val="00E100E7"/>
    <w:rsid w:val="00E10A95"/>
    <w:rsid w:val="00E10C1C"/>
    <w:rsid w:val="00E10EC2"/>
    <w:rsid w:val="00E10EF0"/>
    <w:rsid w:val="00E11151"/>
    <w:rsid w:val="00E111A8"/>
    <w:rsid w:val="00E11765"/>
    <w:rsid w:val="00E119B1"/>
    <w:rsid w:val="00E11FB9"/>
    <w:rsid w:val="00E120FD"/>
    <w:rsid w:val="00E122C3"/>
    <w:rsid w:val="00E123DC"/>
    <w:rsid w:val="00E1242D"/>
    <w:rsid w:val="00E1260F"/>
    <w:rsid w:val="00E12B1E"/>
    <w:rsid w:val="00E12B6B"/>
    <w:rsid w:val="00E12BC1"/>
    <w:rsid w:val="00E135DD"/>
    <w:rsid w:val="00E13E85"/>
    <w:rsid w:val="00E1482D"/>
    <w:rsid w:val="00E14930"/>
    <w:rsid w:val="00E14997"/>
    <w:rsid w:val="00E14C34"/>
    <w:rsid w:val="00E1506D"/>
    <w:rsid w:val="00E150C4"/>
    <w:rsid w:val="00E154D1"/>
    <w:rsid w:val="00E15645"/>
    <w:rsid w:val="00E15809"/>
    <w:rsid w:val="00E15C9C"/>
    <w:rsid w:val="00E15CCA"/>
    <w:rsid w:val="00E15E42"/>
    <w:rsid w:val="00E15F9D"/>
    <w:rsid w:val="00E161A0"/>
    <w:rsid w:val="00E16616"/>
    <w:rsid w:val="00E1672E"/>
    <w:rsid w:val="00E168DC"/>
    <w:rsid w:val="00E169C6"/>
    <w:rsid w:val="00E16A46"/>
    <w:rsid w:val="00E16AD0"/>
    <w:rsid w:val="00E16BF9"/>
    <w:rsid w:val="00E16DDC"/>
    <w:rsid w:val="00E16EED"/>
    <w:rsid w:val="00E171F1"/>
    <w:rsid w:val="00E1743D"/>
    <w:rsid w:val="00E20007"/>
    <w:rsid w:val="00E20015"/>
    <w:rsid w:val="00E2062B"/>
    <w:rsid w:val="00E20758"/>
    <w:rsid w:val="00E208C9"/>
    <w:rsid w:val="00E20A8D"/>
    <w:rsid w:val="00E20B3B"/>
    <w:rsid w:val="00E21128"/>
    <w:rsid w:val="00E211F0"/>
    <w:rsid w:val="00E21284"/>
    <w:rsid w:val="00E212D4"/>
    <w:rsid w:val="00E21528"/>
    <w:rsid w:val="00E219C2"/>
    <w:rsid w:val="00E21B57"/>
    <w:rsid w:val="00E22053"/>
    <w:rsid w:val="00E221C4"/>
    <w:rsid w:val="00E2226B"/>
    <w:rsid w:val="00E222F2"/>
    <w:rsid w:val="00E22376"/>
    <w:rsid w:val="00E2275A"/>
    <w:rsid w:val="00E22B10"/>
    <w:rsid w:val="00E22C4F"/>
    <w:rsid w:val="00E22E2E"/>
    <w:rsid w:val="00E22F36"/>
    <w:rsid w:val="00E22FB3"/>
    <w:rsid w:val="00E23149"/>
    <w:rsid w:val="00E232C0"/>
    <w:rsid w:val="00E235FA"/>
    <w:rsid w:val="00E23729"/>
    <w:rsid w:val="00E23E0B"/>
    <w:rsid w:val="00E23F16"/>
    <w:rsid w:val="00E23F95"/>
    <w:rsid w:val="00E240D8"/>
    <w:rsid w:val="00E24187"/>
    <w:rsid w:val="00E2435F"/>
    <w:rsid w:val="00E24474"/>
    <w:rsid w:val="00E24BEF"/>
    <w:rsid w:val="00E25284"/>
    <w:rsid w:val="00E25332"/>
    <w:rsid w:val="00E2554B"/>
    <w:rsid w:val="00E25937"/>
    <w:rsid w:val="00E25F63"/>
    <w:rsid w:val="00E2613E"/>
    <w:rsid w:val="00E2619C"/>
    <w:rsid w:val="00E261F7"/>
    <w:rsid w:val="00E2628B"/>
    <w:rsid w:val="00E26523"/>
    <w:rsid w:val="00E26914"/>
    <w:rsid w:val="00E26B5C"/>
    <w:rsid w:val="00E26F93"/>
    <w:rsid w:val="00E27506"/>
    <w:rsid w:val="00E276AD"/>
    <w:rsid w:val="00E27E7B"/>
    <w:rsid w:val="00E27EF2"/>
    <w:rsid w:val="00E30571"/>
    <w:rsid w:val="00E307F0"/>
    <w:rsid w:val="00E30A35"/>
    <w:rsid w:val="00E30A9F"/>
    <w:rsid w:val="00E31942"/>
    <w:rsid w:val="00E31A39"/>
    <w:rsid w:val="00E32035"/>
    <w:rsid w:val="00E3283C"/>
    <w:rsid w:val="00E32AF3"/>
    <w:rsid w:val="00E32DD3"/>
    <w:rsid w:val="00E335F5"/>
    <w:rsid w:val="00E3371A"/>
    <w:rsid w:val="00E3408E"/>
    <w:rsid w:val="00E340F5"/>
    <w:rsid w:val="00E3415E"/>
    <w:rsid w:val="00E34329"/>
    <w:rsid w:val="00E34AD2"/>
    <w:rsid w:val="00E34DAA"/>
    <w:rsid w:val="00E34FED"/>
    <w:rsid w:val="00E3511A"/>
    <w:rsid w:val="00E351DF"/>
    <w:rsid w:val="00E35490"/>
    <w:rsid w:val="00E35E92"/>
    <w:rsid w:val="00E3636C"/>
    <w:rsid w:val="00E36B14"/>
    <w:rsid w:val="00E36EF6"/>
    <w:rsid w:val="00E37BF1"/>
    <w:rsid w:val="00E37DF0"/>
    <w:rsid w:val="00E37ECA"/>
    <w:rsid w:val="00E37F7F"/>
    <w:rsid w:val="00E4017E"/>
    <w:rsid w:val="00E403C4"/>
    <w:rsid w:val="00E40776"/>
    <w:rsid w:val="00E4078C"/>
    <w:rsid w:val="00E4098A"/>
    <w:rsid w:val="00E409DF"/>
    <w:rsid w:val="00E40C9C"/>
    <w:rsid w:val="00E414EC"/>
    <w:rsid w:val="00E41538"/>
    <w:rsid w:val="00E419C8"/>
    <w:rsid w:val="00E41C82"/>
    <w:rsid w:val="00E41E26"/>
    <w:rsid w:val="00E421A9"/>
    <w:rsid w:val="00E42AD6"/>
    <w:rsid w:val="00E42DCF"/>
    <w:rsid w:val="00E42EE6"/>
    <w:rsid w:val="00E43346"/>
    <w:rsid w:val="00E433A6"/>
    <w:rsid w:val="00E436D6"/>
    <w:rsid w:val="00E4387A"/>
    <w:rsid w:val="00E4388E"/>
    <w:rsid w:val="00E44039"/>
    <w:rsid w:val="00E44061"/>
    <w:rsid w:val="00E44184"/>
    <w:rsid w:val="00E441E1"/>
    <w:rsid w:val="00E44202"/>
    <w:rsid w:val="00E4424B"/>
    <w:rsid w:val="00E44B7A"/>
    <w:rsid w:val="00E44B9C"/>
    <w:rsid w:val="00E44F08"/>
    <w:rsid w:val="00E45034"/>
    <w:rsid w:val="00E4505E"/>
    <w:rsid w:val="00E451D0"/>
    <w:rsid w:val="00E452F1"/>
    <w:rsid w:val="00E45606"/>
    <w:rsid w:val="00E4564D"/>
    <w:rsid w:val="00E45685"/>
    <w:rsid w:val="00E45781"/>
    <w:rsid w:val="00E45C5A"/>
    <w:rsid w:val="00E45EFD"/>
    <w:rsid w:val="00E4615B"/>
    <w:rsid w:val="00E463F4"/>
    <w:rsid w:val="00E46EB4"/>
    <w:rsid w:val="00E47B3D"/>
    <w:rsid w:val="00E506E7"/>
    <w:rsid w:val="00E50E7F"/>
    <w:rsid w:val="00E50F5E"/>
    <w:rsid w:val="00E510C6"/>
    <w:rsid w:val="00E51782"/>
    <w:rsid w:val="00E5193E"/>
    <w:rsid w:val="00E51B7C"/>
    <w:rsid w:val="00E51F14"/>
    <w:rsid w:val="00E52427"/>
    <w:rsid w:val="00E5246B"/>
    <w:rsid w:val="00E525B8"/>
    <w:rsid w:val="00E5272A"/>
    <w:rsid w:val="00E527D4"/>
    <w:rsid w:val="00E52894"/>
    <w:rsid w:val="00E52B4C"/>
    <w:rsid w:val="00E52BC5"/>
    <w:rsid w:val="00E53244"/>
    <w:rsid w:val="00E53942"/>
    <w:rsid w:val="00E539F4"/>
    <w:rsid w:val="00E541F4"/>
    <w:rsid w:val="00E54446"/>
    <w:rsid w:val="00E54604"/>
    <w:rsid w:val="00E54CBB"/>
    <w:rsid w:val="00E54D63"/>
    <w:rsid w:val="00E55341"/>
    <w:rsid w:val="00E55394"/>
    <w:rsid w:val="00E55452"/>
    <w:rsid w:val="00E5550E"/>
    <w:rsid w:val="00E55599"/>
    <w:rsid w:val="00E5599E"/>
    <w:rsid w:val="00E55AC9"/>
    <w:rsid w:val="00E55F0E"/>
    <w:rsid w:val="00E56497"/>
    <w:rsid w:val="00E56775"/>
    <w:rsid w:val="00E56F4C"/>
    <w:rsid w:val="00E56FB4"/>
    <w:rsid w:val="00E57276"/>
    <w:rsid w:val="00E57650"/>
    <w:rsid w:val="00E57D93"/>
    <w:rsid w:val="00E600C9"/>
    <w:rsid w:val="00E6013A"/>
    <w:rsid w:val="00E60437"/>
    <w:rsid w:val="00E60716"/>
    <w:rsid w:val="00E60980"/>
    <w:rsid w:val="00E60EBE"/>
    <w:rsid w:val="00E610AB"/>
    <w:rsid w:val="00E612EA"/>
    <w:rsid w:val="00E61700"/>
    <w:rsid w:val="00E618DD"/>
    <w:rsid w:val="00E61DE3"/>
    <w:rsid w:val="00E61E38"/>
    <w:rsid w:val="00E61FB7"/>
    <w:rsid w:val="00E62061"/>
    <w:rsid w:val="00E6214F"/>
    <w:rsid w:val="00E62173"/>
    <w:rsid w:val="00E6226C"/>
    <w:rsid w:val="00E62636"/>
    <w:rsid w:val="00E626AA"/>
    <w:rsid w:val="00E62AC9"/>
    <w:rsid w:val="00E62DCB"/>
    <w:rsid w:val="00E63004"/>
    <w:rsid w:val="00E631E7"/>
    <w:rsid w:val="00E634C8"/>
    <w:rsid w:val="00E634CC"/>
    <w:rsid w:val="00E6369E"/>
    <w:rsid w:val="00E63DB1"/>
    <w:rsid w:val="00E63DDB"/>
    <w:rsid w:val="00E63E7D"/>
    <w:rsid w:val="00E6432A"/>
    <w:rsid w:val="00E64A99"/>
    <w:rsid w:val="00E64CA4"/>
    <w:rsid w:val="00E64FDA"/>
    <w:rsid w:val="00E65740"/>
    <w:rsid w:val="00E65EBC"/>
    <w:rsid w:val="00E66053"/>
    <w:rsid w:val="00E6620D"/>
    <w:rsid w:val="00E6634D"/>
    <w:rsid w:val="00E671BF"/>
    <w:rsid w:val="00E6751E"/>
    <w:rsid w:val="00E67652"/>
    <w:rsid w:val="00E679AE"/>
    <w:rsid w:val="00E67A1A"/>
    <w:rsid w:val="00E70062"/>
    <w:rsid w:val="00E7015F"/>
    <w:rsid w:val="00E70E07"/>
    <w:rsid w:val="00E714FE"/>
    <w:rsid w:val="00E71928"/>
    <w:rsid w:val="00E71DE3"/>
    <w:rsid w:val="00E71E01"/>
    <w:rsid w:val="00E72959"/>
    <w:rsid w:val="00E72A4D"/>
    <w:rsid w:val="00E72B2D"/>
    <w:rsid w:val="00E72B4F"/>
    <w:rsid w:val="00E7316E"/>
    <w:rsid w:val="00E7371F"/>
    <w:rsid w:val="00E73994"/>
    <w:rsid w:val="00E73B64"/>
    <w:rsid w:val="00E74530"/>
    <w:rsid w:val="00E7467E"/>
    <w:rsid w:val="00E74BF9"/>
    <w:rsid w:val="00E74C29"/>
    <w:rsid w:val="00E74C59"/>
    <w:rsid w:val="00E75A38"/>
    <w:rsid w:val="00E75A96"/>
    <w:rsid w:val="00E75CFB"/>
    <w:rsid w:val="00E75E30"/>
    <w:rsid w:val="00E76346"/>
    <w:rsid w:val="00E763BE"/>
    <w:rsid w:val="00E76E0B"/>
    <w:rsid w:val="00E771B3"/>
    <w:rsid w:val="00E77590"/>
    <w:rsid w:val="00E77834"/>
    <w:rsid w:val="00E7797D"/>
    <w:rsid w:val="00E77F3E"/>
    <w:rsid w:val="00E80133"/>
    <w:rsid w:val="00E80170"/>
    <w:rsid w:val="00E8093B"/>
    <w:rsid w:val="00E809EE"/>
    <w:rsid w:val="00E80D1C"/>
    <w:rsid w:val="00E80F68"/>
    <w:rsid w:val="00E811F4"/>
    <w:rsid w:val="00E814FB"/>
    <w:rsid w:val="00E81B56"/>
    <w:rsid w:val="00E81D22"/>
    <w:rsid w:val="00E81DF0"/>
    <w:rsid w:val="00E81E8A"/>
    <w:rsid w:val="00E82026"/>
    <w:rsid w:val="00E8204B"/>
    <w:rsid w:val="00E82053"/>
    <w:rsid w:val="00E82056"/>
    <w:rsid w:val="00E8205D"/>
    <w:rsid w:val="00E82267"/>
    <w:rsid w:val="00E82CD7"/>
    <w:rsid w:val="00E82E0A"/>
    <w:rsid w:val="00E831BD"/>
    <w:rsid w:val="00E831D4"/>
    <w:rsid w:val="00E8331B"/>
    <w:rsid w:val="00E83374"/>
    <w:rsid w:val="00E836F4"/>
    <w:rsid w:val="00E839EB"/>
    <w:rsid w:val="00E83BD8"/>
    <w:rsid w:val="00E844B0"/>
    <w:rsid w:val="00E84735"/>
    <w:rsid w:val="00E84A6B"/>
    <w:rsid w:val="00E84D63"/>
    <w:rsid w:val="00E84F35"/>
    <w:rsid w:val="00E8513A"/>
    <w:rsid w:val="00E85913"/>
    <w:rsid w:val="00E8650A"/>
    <w:rsid w:val="00E868C5"/>
    <w:rsid w:val="00E86E48"/>
    <w:rsid w:val="00E87295"/>
    <w:rsid w:val="00E87708"/>
    <w:rsid w:val="00E90035"/>
    <w:rsid w:val="00E90220"/>
    <w:rsid w:val="00E902C6"/>
    <w:rsid w:val="00E90423"/>
    <w:rsid w:val="00E90CE4"/>
    <w:rsid w:val="00E912DE"/>
    <w:rsid w:val="00E91383"/>
    <w:rsid w:val="00E9153D"/>
    <w:rsid w:val="00E91BAC"/>
    <w:rsid w:val="00E9200B"/>
    <w:rsid w:val="00E92234"/>
    <w:rsid w:val="00E92407"/>
    <w:rsid w:val="00E92421"/>
    <w:rsid w:val="00E92466"/>
    <w:rsid w:val="00E927A1"/>
    <w:rsid w:val="00E927DF"/>
    <w:rsid w:val="00E92BE2"/>
    <w:rsid w:val="00E92C81"/>
    <w:rsid w:val="00E92CB9"/>
    <w:rsid w:val="00E92D64"/>
    <w:rsid w:val="00E92E74"/>
    <w:rsid w:val="00E92F9A"/>
    <w:rsid w:val="00E93270"/>
    <w:rsid w:val="00E93524"/>
    <w:rsid w:val="00E93608"/>
    <w:rsid w:val="00E9365E"/>
    <w:rsid w:val="00E9369C"/>
    <w:rsid w:val="00E93B5E"/>
    <w:rsid w:val="00E93D89"/>
    <w:rsid w:val="00E94031"/>
    <w:rsid w:val="00E940F6"/>
    <w:rsid w:val="00E94226"/>
    <w:rsid w:val="00E94696"/>
    <w:rsid w:val="00E94A7F"/>
    <w:rsid w:val="00E94ED0"/>
    <w:rsid w:val="00E951D3"/>
    <w:rsid w:val="00E9545F"/>
    <w:rsid w:val="00E95B22"/>
    <w:rsid w:val="00E95BA2"/>
    <w:rsid w:val="00E95D39"/>
    <w:rsid w:val="00E95D67"/>
    <w:rsid w:val="00E95ECA"/>
    <w:rsid w:val="00E95F6D"/>
    <w:rsid w:val="00E95FCE"/>
    <w:rsid w:val="00E962A1"/>
    <w:rsid w:val="00E963E1"/>
    <w:rsid w:val="00E96515"/>
    <w:rsid w:val="00E9664F"/>
    <w:rsid w:val="00E969DB"/>
    <w:rsid w:val="00E96C74"/>
    <w:rsid w:val="00E96D32"/>
    <w:rsid w:val="00E96DF0"/>
    <w:rsid w:val="00E96DF5"/>
    <w:rsid w:val="00E96E64"/>
    <w:rsid w:val="00E96FC5"/>
    <w:rsid w:val="00E97302"/>
    <w:rsid w:val="00E97D8A"/>
    <w:rsid w:val="00E97E5E"/>
    <w:rsid w:val="00EA01BE"/>
    <w:rsid w:val="00EA077E"/>
    <w:rsid w:val="00EA07F6"/>
    <w:rsid w:val="00EA0A54"/>
    <w:rsid w:val="00EA0B29"/>
    <w:rsid w:val="00EA0B95"/>
    <w:rsid w:val="00EA0EDA"/>
    <w:rsid w:val="00EA1521"/>
    <w:rsid w:val="00EA175F"/>
    <w:rsid w:val="00EA17D4"/>
    <w:rsid w:val="00EA188A"/>
    <w:rsid w:val="00EA18F9"/>
    <w:rsid w:val="00EA1E92"/>
    <w:rsid w:val="00EA2150"/>
    <w:rsid w:val="00EA2960"/>
    <w:rsid w:val="00EA2B93"/>
    <w:rsid w:val="00EA2C8A"/>
    <w:rsid w:val="00EA34E6"/>
    <w:rsid w:val="00EA3F0A"/>
    <w:rsid w:val="00EA408E"/>
    <w:rsid w:val="00EA440E"/>
    <w:rsid w:val="00EA4577"/>
    <w:rsid w:val="00EA4753"/>
    <w:rsid w:val="00EA492B"/>
    <w:rsid w:val="00EA521B"/>
    <w:rsid w:val="00EA57EE"/>
    <w:rsid w:val="00EA5845"/>
    <w:rsid w:val="00EA5EDC"/>
    <w:rsid w:val="00EA6336"/>
    <w:rsid w:val="00EA68E4"/>
    <w:rsid w:val="00EA6B38"/>
    <w:rsid w:val="00EA74AF"/>
    <w:rsid w:val="00EA7515"/>
    <w:rsid w:val="00EA7991"/>
    <w:rsid w:val="00EA7E1E"/>
    <w:rsid w:val="00EB00A1"/>
    <w:rsid w:val="00EB055C"/>
    <w:rsid w:val="00EB0E2E"/>
    <w:rsid w:val="00EB0F2C"/>
    <w:rsid w:val="00EB1425"/>
    <w:rsid w:val="00EB14FB"/>
    <w:rsid w:val="00EB178F"/>
    <w:rsid w:val="00EB1D0E"/>
    <w:rsid w:val="00EB2B12"/>
    <w:rsid w:val="00EB2C81"/>
    <w:rsid w:val="00EB2DFB"/>
    <w:rsid w:val="00EB2F89"/>
    <w:rsid w:val="00EB3382"/>
    <w:rsid w:val="00EB33C5"/>
    <w:rsid w:val="00EB373E"/>
    <w:rsid w:val="00EB379E"/>
    <w:rsid w:val="00EB3821"/>
    <w:rsid w:val="00EB3A64"/>
    <w:rsid w:val="00EB3C18"/>
    <w:rsid w:val="00EB3C94"/>
    <w:rsid w:val="00EB3F85"/>
    <w:rsid w:val="00EB4846"/>
    <w:rsid w:val="00EB4AA2"/>
    <w:rsid w:val="00EB4F79"/>
    <w:rsid w:val="00EB5616"/>
    <w:rsid w:val="00EB565B"/>
    <w:rsid w:val="00EB586D"/>
    <w:rsid w:val="00EB59CE"/>
    <w:rsid w:val="00EB6485"/>
    <w:rsid w:val="00EB648D"/>
    <w:rsid w:val="00EB6593"/>
    <w:rsid w:val="00EB663E"/>
    <w:rsid w:val="00EB67BD"/>
    <w:rsid w:val="00EB6849"/>
    <w:rsid w:val="00EB6BB6"/>
    <w:rsid w:val="00EB6C62"/>
    <w:rsid w:val="00EB70C2"/>
    <w:rsid w:val="00EB74D3"/>
    <w:rsid w:val="00EB7CD1"/>
    <w:rsid w:val="00EC00B5"/>
    <w:rsid w:val="00EC020D"/>
    <w:rsid w:val="00EC0B08"/>
    <w:rsid w:val="00EC0D12"/>
    <w:rsid w:val="00EC0FA7"/>
    <w:rsid w:val="00EC10F8"/>
    <w:rsid w:val="00EC1534"/>
    <w:rsid w:val="00EC156B"/>
    <w:rsid w:val="00EC1EEA"/>
    <w:rsid w:val="00EC1F10"/>
    <w:rsid w:val="00EC227E"/>
    <w:rsid w:val="00EC230F"/>
    <w:rsid w:val="00EC2532"/>
    <w:rsid w:val="00EC3EFF"/>
    <w:rsid w:val="00EC400C"/>
    <w:rsid w:val="00EC41A0"/>
    <w:rsid w:val="00EC439A"/>
    <w:rsid w:val="00EC449B"/>
    <w:rsid w:val="00EC45F6"/>
    <w:rsid w:val="00EC4B4D"/>
    <w:rsid w:val="00EC4BF0"/>
    <w:rsid w:val="00EC5554"/>
    <w:rsid w:val="00EC57F6"/>
    <w:rsid w:val="00EC5844"/>
    <w:rsid w:val="00EC5930"/>
    <w:rsid w:val="00EC5CE5"/>
    <w:rsid w:val="00EC6352"/>
    <w:rsid w:val="00EC657D"/>
    <w:rsid w:val="00EC66A9"/>
    <w:rsid w:val="00EC69B0"/>
    <w:rsid w:val="00EC69F7"/>
    <w:rsid w:val="00EC6A1C"/>
    <w:rsid w:val="00EC6CCC"/>
    <w:rsid w:val="00EC704A"/>
    <w:rsid w:val="00EC748F"/>
    <w:rsid w:val="00EC74BE"/>
    <w:rsid w:val="00EC7798"/>
    <w:rsid w:val="00ED03ED"/>
    <w:rsid w:val="00ED0916"/>
    <w:rsid w:val="00ED09D4"/>
    <w:rsid w:val="00ED0E5C"/>
    <w:rsid w:val="00ED1221"/>
    <w:rsid w:val="00ED14CA"/>
    <w:rsid w:val="00ED1988"/>
    <w:rsid w:val="00ED1FB6"/>
    <w:rsid w:val="00ED236E"/>
    <w:rsid w:val="00ED2520"/>
    <w:rsid w:val="00ED26D0"/>
    <w:rsid w:val="00ED28FA"/>
    <w:rsid w:val="00ED2913"/>
    <w:rsid w:val="00ED2ECB"/>
    <w:rsid w:val="00ED2EDE"/>
    <w:rsid w:val="00ED3353"/>
    <w:rsid w:val="00ED34A0"/>
    <w:rsid w:val="00ED367C"/>
    <w:rsid w:val="00ED36A8"/>
    <w:rsid w:val="00ED3724"/>
    <w:rsid w:val="00ED387F"/>
    <w:rsid w:val="00ED3C05"/>
    <w:rsid w:val="00ED4012"/>
    <w:rsid w:val="00ED451A"/>
    <w:rsid w:val="00ED4602"/>
    <w:rsid w:val="00ED4B1E"/>
    <w:rsid w:val="00ED554B"/>
    <w:rsid w:val="00ED5C0A"/>
    <w:rsid w:val="00ED5D32"/>
    <w:rsid w:val="00ED6059"/>
    <w:rsid w:val="00ED72CB"/>
    <w:rsid w:val="00ED7314"/>
    <w:rsid w:val="00ED7498"/>
    <w:rsid w:val="00ED75F1"/>
    <w:rsid w:val="00ED7A4C"/>
    <w:rsid w:val="00ED7EF0"/>
    <w:rsid w:val="00ED7F17"/>
    <w:rsid w:val="00EE0109"/>
    <w:rsid w:val="00EE053D"/>
    <w:rsid w:val="00EE081B"/>
    <w:rsid w:val="00EE0990"/>
    <w:rsid w:val="00EE0EA8"/>
    <w:rsid w:val="00EE1174"/>
    <w:rsid w:val="00EE1654"/>
    <w:rsid w:val="00EE1684"/>
    <w:rsid w:val="00EE1CF1"/>
    <w:rsid w:val="00EE1F06"/>
    <w:rsid w:val="00EE233A"/>
    <w:rsid w:val="00EE233B"/>
    <w:rsid w:val="00EE2651"/>
    <w:rsid w:val="00EE2D31"/>
    <w:rsid w:val="00EE34F3"/>
    <w:rsid w:val="00EE357B"/>
    <w:rsid w:val="00EE3666"/>
    <w:rsid w:val="00EE3B38"/>
    <w:rsid w:val="00EE3DAC"/>
    <w:rsid w:val="00EE41D2"/>
    <w:rsid w:val="00EE43B9"/>
    <w:rsid w:val="00EE441C"/>
    <w:rsid w:val="00EE468D"/>
    <w:rsid w:val="00EE4AEC"/>
    <w:rsid w:val="00EE5505"/>
    <w:rsid w:val="00EE5825"/>
    <w:rsid w:val="00EE59E0"/>
    <w:rsid w:val="00EE5A7B"/>
    <w:rsid w:val="00EE5FAB"/>
    <w:rsid w:val="00EE5FB3"/>
    <w:rsid w:val="00EE6BC8"/>
    <w:rsid w:val="00EE6BDD"/>
    <w:rsid w:val="00EE6E22"/>
    <w:rsid w:val="00EE7586"/>
    <w:rsid w:val="00EE7661"/>
    <w:rsid w:val="00EE7AD4"/>
    <w:rsid w:val="00EE7C41"/>
    <w:rsid w:val="00EF041F"/>
    <w:rsid w:val="00EF05BA"/>
    <w:rsid w:val="00EF09EB"/>
    <w:rsid w:val="00EF0A67"/>
    <w:rsid w:val="00EF0CF2"/>
    <w:rsid w:val="00EF14CD"/>
    <w:rsid w:val="00EF1599"/>
    <w:rsid w:val="00EF16C6"/>
    <w:rsid w:val="00EF16C8"/>
    <w:rsid w:val="00EF17D5"/>
    <w:rsid w:val="00EF1823"/>
    <w:rsid w:val="00EF1AF5"/>
    <w:rsid w:val="00EF1B15"/>
    <w:rsid w:val="00EF23EB"/>
    <w:rsid w:val="00EF2739"/>
    <w:rsid w:val="00EF293E"/>
    <w:rsid w:val="00EF2AD3"/>
    <w:rsid w:val="00EF31A8"/>
    <w:rsid w:val="00EF37BA"/>
    <w:rsid w:val="00EF39DC"/>
    <w:rsid w:val="00EF39E3"/>
    <w:rsid w:val="00EF3A3B"/>
    <w:rsid w:val="00EF3A46"/>
    <w:rsid w:val="00EF3B70"/>
    <w:rsid w:val="00EF3B92"/>
    <w:rsid w:val="00EF3D13"/>
    <w:rsid w:val="00EF3D89"/>
    <w:rsid w:val="00EF3E1E"/>
    <w:rsid w:val="00EF408C"/>
    <w:rsid w:val="00EF49C1"/>
    <w:rsid w:val="00EF4B30"/>
    <w:rsid w:val="00EF4E91"/>
    <w:rsid w:val="00EF537C"/>
    <w:rsid w:val="00EF544F"/>
    <w:rsid w:val="00EF54BA"/>
    <w:rsid w:val="00EF5586"/>
    <w:rsid w:val="00EF5A41"/>
    <w:rsid w:val="00EF5D3E"/>
    <w:rsid w:val="00EF5D7F"/>
    <w:rsid w:val="00EF6069"/>
    <w:rsid w:val="00EF60C8"/>
    <w:rsid w:val="00EF61E9"/>
    <w:rsid w:val="00EF6750"/>
    <w:rsid w:val="00EF67CB"/>
    <w:rsid w:val="00EF6ACC"/>
    <w:rsid w:val="00EF7165"/>
    <w:rsid w:val="00EF73B1"/>
    <w:rsid w:val="00EF7A72"/>
    <w:rsid w:val="00F005A5"/>
    <w:rsid w:val="00F007B1"/>
    <w:rsid w:val="00F00A82"/>
    <w:rsid w:val="00F00A8C"/>
    <w:rsid w:val="00F00BF7"/>
    <w:rsid w:val="00F00D24"/>
    <w:rsid w:val="00F0153A"/>
    <w:rsid w:val="00F0165A"/>
    <w:rsid w:val="00F01776"/>
    <w:rsid w:val="00F019AA"/>
    <w:rsid w:val="00F02056"/>
    <w:rsid w:val="00F02075"/>
    <w:rsid w:val="00F0236E"/>
    <w:rsid w:val="00F023FB"/>
    <w:rsid w:val="00F02533"/>
    <w:rsid w:val="00F02D22"/>
    <w:rsid w:val="00F02F7C"/>
    <w:rsid w:val="00F033A3"/>
    <w:rsid w:val="00F034C6"/>
    <w:rsid w:val="00F03585"/>
    <w:rsid w:val="00F03796"/>
    <w:rsid w:val="00F0388D"/>
    <w:rsid w:val="00F041C1"/>
    <w:rsid w:val="00F041DC"/>
    <w:rsid w:val="00F04523"/>
    <w:rsid w:val="00F04655"/>
    <w:rsid w:val="00F04805"/>
    <w:rsid w:val="00F04987"/>
    <w:rsid w:val="00F04C24"/>
    <w:rsid w:val="00F04C88"/>
    <w:rsid w:val="00F050D0"/>
    <w:rsid w:val="00F0530D"/>
    <w:rsid w:val="00F05980"/>
    <w:rsid w:val="00F05DAB"/>
    <w:rsid w:val="00F05F4B"/>
    <w:rsid w:val="00F05F82"/>
    <w:rsid w:val="00F05FB4"/>
    <w:rsid w:val="00F06640"/>
    <w:rsid w:val="00F06A0F"/>
    <w:rsid w:val="00F06ED9"/>
    <w:rsid w:val="00F06F28"/>
    <w:rsid w:val="00F06F50"/>
    <w:rsid w:val="00F0718D"/>
    <w:rsid w:val="00F07194"/>
    <w:rsid w:val="00F0746C"/>
    <w:rsid w:val="00F07681"/>
    <w:rsid w:val="00F07AAB"/>
    <w:rsid w:val="00F07C32"/>
    <w:rsid w:val="00F07C9C"/>
    <w:rsid w:val="00F07E80"/>
    <w:rsid w:val="00F10501"/>
    <w:rsid w:val="00F105E5"/>
    <w:rsid w:val="00F1083A"/>
    <w:rsid w:val="00F10FFD"/>
    <w:rsid w:val="00F11118"/>
    <w:rsid w:val="00F11369"/>
    <w:rsid w:val="00F1175A"/>
    <w:rsid w:val="00F1204B"/>
    <w:rsid w:val="00F12194"/>
    <w:rsid w:val="00F1242C"/>
    <w:rsid w:val="00F12490"/>
    <w:rsid w:val="00F12FCA"/>
    <w:rsid w:val="00F138F8"/>
    <w:rsid w:val="00F13A79"/>
    <w:rsid w:val="00F13D4D"/>
    <w:rsid w:val="00F14163"/>
    <w:rsid w:val="00F142EB"/>
    <w:rsid w:val="00F144E2"/>
    <w:rsid w:val="00F1456A"/>
    <w:rsid w:val="00F15087"/>
    <w:rsid w:val="00F150A9"/>
    <w:rsid w:val="00F150DA"/>
    <w:rsid w:val="00F150DD"/>
    <w:rsid w:val="00F151A4"/>
    <w:rsid w:val="00F15860"/>
    <w:rsid w:val="00F161B7"/>
    <w:rsid w:val="00F16615"/>
    <w:rsid w:val="00F16847"/>
    <w:rsid w:val="00F16986"/>
    <w:rsid w:val="00F16C1E"/>
    <w:rsid w:val="00F16D59"/>
    <w:rsid w:val="00F17044"/>
    <w:rsid w:val="00F17065"/>
    <w:rsid w:val="00F17285"/>
    <w:rsid w:val="00F17368"/>
    <w:rsid w:val="00F17C39"/>
    <w:rsid w:val="00F2026B"/>
    <w:rsid w:val="00F20405"/>
    <w:rsid w:val="00F2041D"/>
    <w:rsid w:val="00F204DA"/>
    <w:rsid w:val="00F207D1"/>
    <w:rsid w:val="00F209DF"/>
    <w:rsid w:val="00F209FD"/>
    <w:rsid w:val="00F20B84"/>
    <w:rsid w:val="00F2128A"/>
    <w:rsid w:val="00F21293"/>
    <w:rsid w:val="00F2149B"/>
    <w:rsid w:val="00F216BB"/>
    <w:rsid w:val="00F2192E"/>
    <w:rsid w:val="00F21B57"/>
    <w:rsid w:val="00F21B6A"/>
    <w:rsid w:val="00F21BB8"/>
    <w:rsid w:val="00F21D25"/>
    <w:rsid w:val="00F21E0D"/>
    <w:rsid w:val="00F21F53"/>
    <w:rsid w:val="00F22D7C"/>
    <w:rsid w:val="00F22F5F"/>
    <w:rsid w:val="00F23224"/>
    <w:rsid w:val="00F23228"/>
    <w:rsid w:val="00F23371"/>
    <w:rsid w:val="00F23611"/>
    <w:rsid w:val="00F2396F"/>
    <w:rsid w:val="00F23BA1"/>
    <w:rsid w:val="00F23DA2"/>
    <w:rsid w:val="00F23FCB"/>
    <w:rsid w:val="00F241E5"/>
    <w:rsid w:val="00F242AC"/>
    <w:rsid w:val="00F242E9"/>
    <w:rsid w:val="00F244AC"/>
    <w:rsid w:val="00F24AA9"/>
    <w:rsid w:val="00F24D45"/>
    <w:rsid w:val="00F24D8E"/>
    <w:rsid w:val="00F24F4D"/>
    <w:rsid w:val="00F2516F"/>
    <w:rsid w:val="00F2565D"/>
    <w:rsid w:val="00F25A4D"/>
    <w:rsid w:val="00F25C64"/>
    <w:rsid w:val="00F25D3C"/>
    <w:rsid w:val="00F25D73"/>
    <w:rsid w:val="00F2622E"/>
    <w:rsid w:val="00F2638B"/>
    <w:rsid w:val="00F263AF"/>
    <w:rsid w:val="00F269AC"/>
    <w:rsid w:val="00F26AD5"/>
    <w:rsid w:val="00F26D06"/>
    <w:rsid w:val="00F26FA9"/>
    <w:rsid w:val="00F2716D"/>
    <w:rsid w:val="00F271E7"/>
    <w:rsid w:val="00F2720D"/>
    <w:rsid w:val="00F27613"/>
    <w:rsid w:val="00F277F1"/>
    <w:rsid w:val="00F2781F"/>
    <w:rsid w:val="00F2789C"/>
    <w:rsid w:val="00F27B63"/>
    <w:rsid w:val="00F27C57"/>
    <w:rsid w:val="00F27C94"/>
    <w:rsid w:val="00F27CAE"/>
    <w:rsid w:val="00F30219"/>
    <w:rsid w:val="00F303A5"/>
    <w:rsid w:val="00F30699"/>
    <w:rsid w:val="00F30CF7"/>
    <w:rsid w:val="00F313BC"/>
    <w:rsid w:val="00F3194A"/>
    <w:rsid w:val="00F31A22"/>
    <w:rsid w:val="00F31BF4"/>
    <w:rsid w:val="00F31C7D"/>
    <w:rsid w:val="00F31CAF"/>
    <w:rsid w:val="00F31FD5"/>
    <w:rsid w:val="00F329A7"/>
    <w:rsid w:val="00F32A86"/>
    <w:rsid w:val="00F32E21"/>
    <w:rsid w:val="00F334DB"/>
    <w:rsid w:val="00F335AF"/>
    <w:rsid w:val="00F337E5"/>
    <w:rsid w:val="00F3385B"/>
    <w:rsid w:val="00F3408A"/>
    <w:rsid w:val="00F345D5"/>
    <w:rsid w:val="00F3480B"/>
    <w:rsid w:val="00F348F9"/>
    <w:rsid w:val="00F34C80"/>
    <w:rsid w:val="00F34D0E"/>
    <w:rsid w:val="00F3562A"/>
    <w:rsid w:val="00F35D73"/>
    <w:rsid w:val="00F363A7"/>
    <w:rsid w:val="00F367FC"/>
    <w:rsid w:val="00F36966"/>
    <w:rsid w:val="00F37022"/>
    <w:rsid w:val="00F37387"/>
    <w:rsid w:val="00F37B69"/>
    <w:rsid w:val="00F37CA8"/>
    <w:rsid w:val="00F403C4"/>
    <w:rsid w:val="00F40587"/>
    <w:rsid w:val="00F40B44"/>
    <w:rsid w:val="00F40B85"/>
    <w:rsid w:val="00F41154"/>
    <w:rsid w:val="00F41638"/>
    <w:rsid w:val="00F41705"/>
    <w:rsid w:val="00F41B33"/>
    <w:rsid w:val="00F427CE"/>
    <w:rsid w:val="00F427E9"/>
    <w:rsid w:val="00F42C1A"/>
    <w:rsid w:val="00F430D9"/>
    <w:rsid w:val="00F43225"/>
    <w:rsid w:val="00F43344"/>
    <w:rsid w:val="00F436CF"/>
    <w:rsid w:val="00F43D9C"/>
    <w:rsid w:val="00F43F0D"/>
    <w:rsid w:val="00F4414F"/>
    <w:rsid w:val="00F44A9A"/>
    <w:rsid w:val="00F44C05"/>
    <w:rsid w:val="00F44F43"/>
    <w:rsid w:val="00F45158"/>
    <w:rsid w:val="00F45411"/>
    <w:rsid w:val="00F45C4F"/>
    <w:rsid w:val="00F466B8"/>
    <w:rsid w:val="00F46998"/>
    <w:rsid w:val="00F469BA"/>
    <w:rsid w:val="00F46AFE"/>
    <w:rsid w:val="00F46F24"/>
    <w:rsid w:val="00F4707A"/>
    <w:rsid w:val="00F47AAC"/>
    <w:rsid w:val="00F47BCD"/>
    <w:rsid w:val="00F47E14"/>
    <w:rsid w:val="00F47EEE"/>
    <w:rsid w:val="00F500AE"/>
    <w:rsid w:val="00F501E4"/>
    <w:rsid w:val="00F5048E"/>
    <w:rsid w:val="00F50B17"/>
    <w:rsid w:val="00F50C84"/>
    <w:rsid w:val="00F51078"/>
    <w:rsid w:val="00F51468"/>
    <w:rsid w:val="00F51635"/>
    <w:rsid w:val="00F51782"/>
    <w:rsid w:val="00F5193A"/>
    <w:rsid w:val="00F51AD8"/>
    <w:rsid w:val="00F51DDF"/>
    <w:rsid w:val="00F51F51"/>
    <w:rsid w:val="00F52393"/>
    <w:rsid w:val="00F5269B"/>
    <w:rsid w:val="00F528F5"/>
    <w:rsid w:val="00F52E09"/>
    <w:rsid w:val="00F52EFC"/>
    <w:rsid w:val="00F532DB"/>
    <w:rsid w:val="00F53504"/>
    <w:rsid w:val="00F53574"/>
    <w:rsid w:val="00F5360D"/>
    <w:rsid w:val="00F53AED"/>
    <w:rsid w:val="00F53E50"/>
    <w:rsid w:val="00F53F64"/>
    <w:rsid w:val="00F543BD"/>
    <w:rsid w:val="00F5447D"/>
    <w:rsid w:val="00F5485B"/>
    <w:rsid w:val="00F54A94"/>
    <w:rsid w:val="00F54E99"/>
    <w:rsid w:val="00F552C0"/>
    <w:rsid w:val="00F55505"/>
    <w:rsid w:val="00F55874"/>
    <w:rsid w:val="00F559ED"/>
    <w:rsid w:val="00F55E92"/>
    <w:rsid w:val="00F55F4F"/>
    <w:rsid w:val="00F55FB1"/>
    <w:rsid w:val="00F56264"/>
    <w:rsid w:val="00F564EE"/>
    <w:rsid w:val="00F56625"/>
    <w:rsid w:val="00F56A02"/>
    <w:rsid w:val="00F56BF1"/>
    <w:rsid w:val="00F56E54"/>
    <w:rsid w:val="00F57912"/>
    <w:rsid w:val="00F6047F"/>
    <w:rsid w:val="00F61334"/>
    <w:rsid w:val="00F61701"/>
    <w:rsid w:val="00F61799"/>
    <w:rsid w:val="00F617FE"/>
    <w:rsid w:val="00F619AD"/>
    <w:rsid w:val="00F61E4A"/>
    <w:rsid w:val="00F62C0C"/>
    <w:rsid w:val="00F62C34"/>
    <w:rsid w:val="00F63957"/>
    <w:rsid w:val="00F63EC4"/>
    <w:rsid w:val="00F63F7F"/>
    <w:rsid w:val="00F640D7"/>
    <w:rsid w:val="00F64281"/>
    <w:rsid w:val="00F646B6"/>
    <w:rsid w:val="00F649BB"/>
    <w:rsid w:val="00F65020"/>
    <w:rsid w:val="00F650CD"/>
    <w:rsid w:val="00F65153"/>
    <w:rsid w:val="00F6519D"/>
    <w:rsid w:val="00F657A5"/>
    <w:rsid w:val="00F65C68"/>
    <w:rsid w:val="00F65F76"/>
    <w:rsid w:val="00F6666F"/>
    <w:rsid w:val="00F6681D"/>
    <w:rsid w:val="00F6685D"/>
    <w:rsid w:val="00F669E2"/>
    <w:rsid w:val="00F66B84"/>
    <w:rsid w:val="00F66F55"/>
    <w:rsid w:val="00F675A4"/>
    <w:rsid w:val="00F67658"/>
    <w:rsid w:val="00F67978"/>
    <w:rsid w:val="00F67C0E"/>
    <w:rsid w:val="00F701B9"/>
    <w:rsid w:val="00F70243"/>
    <w:rsid w:val="00F702EA"/>
    <w:rsid w:val="00F70953"/>
    <w:rsid w:val="00F70A48"/>
    <w:rsid w:val="00F70B49"/>
    <w:rsid w:val="00F70C90"/>
    <w:rsid w:val="00F70CBB"/>
    <w:rsid w:val="00F70DA9"/>
    <w:rsid w:val="00F70E57"/>
    <w:rsid w:val="00F71048"/>
    <w:rsid w:val="00F71088"/>
    <w:rsid w:val="00F71290"/>
    <w:rsid w:val="00F713E5"/>
    <w:rsid w:val="00F715B1"/>
    <w:rsid w:val="00F71627"/>
    <w:rsid w:val="00F718D7"/>
    <w:rsid w:val="00F71EA1"/>
    <w:rsid w:val="00F7241B"/>
    <w:rsid w:val="00F72569"/>
    <w:rsid w:val="00F72CAF"/>
    <w:rsid w:val="00F72EA4"/>
    <w:rsid w:val="00F72F92"/>
    <w:rsid w:val="00F734AB"/>
    <w:rsid w:val="00F735DE"/>
    <w:rsid w:val="00F7368A"/>
    <w:rsid w:val="00F73947"/>
    <w:rsid w:val="00F73E08"/>
    <w:rsid w:val="00F73E60"/>
    <w:rsid w:val="00F74343"/>
    <w:rsid w:val="00F7477E"/>
    <w:rsid w:val="00F74B32"/>
    <w:rsid w:val="00F74F91"/>
    <w:rsid w:val="00F75079"/>
    <w:rsid w:val="00F7511B"/>
    <w:rsid w:val="00F752F6"/>
    <w:rsid w:val="00F753D3"/>
    <w:rsid w:val="00F75A48"/>
    <w:rsid w:val="00F75ACE"/>
    <w:rsid w:val="00F75B82"/>
    <w:rsid w:val="00F75C1B"/>
    <w:rsid w:val="00F75C67"/>
    <w:rsid w:val="00F75F3B"/>
    <w:rsid w:val="00F761FF"/>
    <w:rsid w:val="00F76409"/>
    <w:rsid w:val="00F7717F"/>
    <w:rsid w:val="00F77645"/>
    <w:rsid w:val="00F77827"/>
    <w:rsid w:val="00F77B80"/>
    <w:rsid w:val="00F77EEA"/>
    <w:rsid w:val="00F80446"/>
    <w:rsid w:val="00F80832"/>
    <w:rsid w:val="00F80A7C"/>
    <w:rsid w:val="00F81154"/>
    <w:rsid w:val="00F8138F"/>
    <w:rsid w:val="00F814FD"/>
    <w:rsid w:val="00F81809"/>
    <w:rsid w:val="00F81A66"/>
    <w:rsid w:val="00F81B71"/>
    <w:rsid w:val="00F81D56"/>
    <w:rsid w:val="00F81DAE"/>
    <w:rsid w:val="00F81DBB"/>
    <w:rsid w:val="00F82448"/>
    <w:rsid w:val="00F82659"/>
    <w:rsid w:val="00F82F66"/>
    <w:rsid w:val="00F839FB"/>
    <w:rsid w:val="00F846F8"/>
    <w:rsid w:val="00F84741"/>
    <w:rsid w:val="00F8495E"/>
    <w:rsid w:val="00F849C9"/>
    <w:rsid w:val="00F84B56"/>
    <w:rsid w:val="00F84DB9"/>
    <w:rsid w:val="00F85A2F"/>
    <w:rsid w:val="00F85BB9"/>
    <w:rsid w:val="00F86309"/>
    <w:rsid w:val="00F86655"/>
    <w:rsid w:val="00F869BF"/>
    <w:rsid w:val="00F86B71"/>
    <w:rsid w:val="00F871FA"/>
    <w:rsid w:val="00F87220"/>
    <w:rsid w:val="00F8752E"/>
    <w:rsid w:val="00F87857"/>
    <w:rsid w:val="00F879F5"/>
    <w:rsid w:val="00F87C29"/>
    <w:rsid w:val="00F87CDF"/>
    <w:rsid w:val="00F87D0B"/>
    <w:rsid w:val="00F90454"/>
    <w:rsid w:val="00F90559"/>
    <w:rsid w:val="00F905D4"/>
    <w:rsid w:val="00F9062A"/>
    <w:rsid w:val="00F90ADE"/>
    <w:rsid w:val="00F90BEA"/>
    <w:rsid w:val="00F90C06"/>
    <w:rsid w:val="00F90E33"/>
    <w:rsid w:val="00F9152C"/>
    <w:rsid w:val="00F91962"/>
    <w:rsid w:val="00F91C05"/>
    <w:rsid w:val="00F92185"/>
    <w:rsid w:val="00F927B1"/>
    <w:rsid w:val="00F9286E"/>
    <w:rsid w:val="00F928C8"/>
    <w:rsid w:val="00F92C7A"/>
    <w:rsid w:val="00F92F4A"/>
    <w:rsid w:val="00F93891"/>
    <w:rsid w:val="00F93BD6"/>
    <w:rsid w:val="00F93CFF"/>
    <w:rsid w:val="00F93D6F"/>
    <w:rsid w:val="00F93E81"/>
    <w:rsid w:val="00F9431D"/>
    <w:rsid w:val="00F94C05"/>
    <w:rsid w:val="00F94D66"/>
    <w:rsid w:val="00F952EC"/>
    <w:rsid w:val="00F953A1"/>
    <w:rsid w:val="00F956C5"/>
    <w:rsid w:val="00F9578D"/>
    <w:rsid w:val="00F9592A"/>
    <w:rsid w:val="00F95B1C"/>
    <w:rsid w:val="00F95BD6"/>
    <w:rsid w:val="00F95D8E"/>
    <w:rsid w:val="00F95F3F"/>
    <w:rsid w:val="00F95F82"/>
    <w:rsid w:val="00F963AE"/>
    <w:rsid w:val="00F967C8"/>
    <w:rsid w:val="00F96C13"/>
    <w:rsid w:val="00F96D87"/>
    <w:rsid w:val="00F97406"/>
    <w:rsid w:val="00F976BD"/>
    <w:rsid w:val="00F97886"/>
    <w:rsid w:val="00F9788E"/>
    <w:rsid w:val="00F97C78"/>
    <w:rsid w:val="00F97D55"/>
    <w:rsid w:val="00F97E5A"/>
    <w:rsid w:val="00FA00F7"/>
    <w:rsid w:val="00FA040C"/>
    <w:rsid w:val="00FA05B3"/>
    <w:rsid w:val="00FA05C1"/>
    <w:rsid w:val="00FA0831"/>
    <w:rsid w:val="00FA1020"/>
    <w:rsid w:val="00FA127E"/>
    <w:rsid w:val="00FA1751"/>
    <w:rsid w:val="00FA1856"/>
    <w:rsid w:val="00FA1DB2"/>
    <w:rsid w:val="00FA2794"/>
    <w:rsid w:val="00FA2A48"/>
    <w:rsid w:val="00FA2B3D"/>
    <w:rsid w:val="00FA30CC"/>
    <w:rsid w:val="00FA3863"/>
    <w:rsid w:val="00FA3EE2"/>
    <w:rsid w:val="00FA4030"/>
    <w:rsid w:val="00FA43B4"/>
    <w:rsid w:val="00FA443A"/>
    <w:rsid w:val="00FA4474"/>
    <w:rsid w:val="00FA45E8"/>
    <w:rsid w:val="00FA4684"/>
    <w:rsid w:val="00FA4A71"/>
    <w:rsid w:val="00FA4DE1"/>
    <w:rsid w:val="00FA5445"/>
    <w:rsid w:val="00FA594A"/>
    <w:rsid w:val="00FA6017"/>
    <w:rsid w:val="00FA6633"/>
    <w:rsid w:val="00FA6878"/>
    <w:rsid w:val="00FA6A04"/>
    <w:rsid w:val="00FA6A72"/>
    <w:rsid w:val="00FA6C37"/>
    <w:rsid w:val="00FA6F78"/>
    <w:rsid w:val="00FA7055"/>
    <w:rsid w:val="00FA7390"/>
    <w:rsid w:val="00FA7424"/>
    <w:rsid w:val="00FA7747"/>
    <w:rsid w:val="00FA7C4C"/>
    <w:rsid w:val="00FA7C62"/>
    <w:rsid w:val="00FA7F9F"/>
    <w:rsid w:val="00FB00C4"/>
    <w:rsid w:val="00FB0F15"/>
    <w:rsid w:val="00FB0FB4"/>
    <w:rsid w:val="00FB176D"/>
    <w:rsid w:val="00FB1AA2"/>
    <w:rsid w:val="00FB1B12"/>
    <w:rsid w:val="00FB1B3A"/>
    <w:rsid w:val="00FB1E31"/>
    <w:rsid w:val="00FB20FB"/>
    <w:rsid w:val="00FB3137"/>
    <w:rsid w:val="00FB319B"/>
    <w:rsid w:val="00FB327D"/>
    <w:rsid w:val="00FB336A"/>
    <w:rsid w:val="00FB365F"/>
    <w:rsid w:val="00FB3794"/>
    <w:rsid w:val="00FB39FE"/>
    <w:rsid w:val="00FB410A"/>
    <w:rsid w:val="00FB43EF"/>
    <w:rsid w:val="00FB4B52"/>
    <w:rsid w:val="00FB4C28"/>
    <w:rsid w:val="00FB53C0"/>
    <w:rsid w:val="00FB553B"/>
    <w:rsid w:val="00FB57B8"/>
    <w:rsid w:val="00FB58D5"/>
    <w:rsid w:val="00FB5A06"/>
    <w:rsid w:val="00FB5B75"/>
    <w:rsid w:val="00FB5D51"/>
    <w:rsid w:val="00FB6245"/>
    <w:rsid w:val="00FB6307"/>
    <w:rsid w:val="00FB63F8"/>
    <w:rsid w:val="00FB6576"/>
    <w:rsid w:val="00FB66A2"/>
    <w:rsid w:val="00FB6955"/>
    <w:rsid w:val="00FB6BB9"/>
    <w:rsid w:val="00FB6E62"/>
    <w:rsid w:val="00FB6F51"/>
    <w:rsid w:val="00FB70D0"/>
    <w:rsid w:val="00FB7211"/>
    <w:rsid w:val="00FB7257"/>
    <w:rsid w:val="00FB7407"/>
    <w:rsid w:val="00FC0A80"/>
    <w:rsid w:val="00FC0D69"/>
    <w:rsid w:val="00FC14E9"/>
    <w:rsid w:val="00FC1D73"/>
    <w:rsid w:val="00FC1EEA"/>
    <w:rsid w:val="00FC2029"/>
    <w:rsid w:val="00FC2172"/>
    <w:rsid w:val="00FC2266"/>
    <w:rsid w:val="00FC2661"/>
    <w:rsid w:val="00FC2BCD"/>
    <w:rsid w:val="00FC2D09"/>
    <w:rsid w:val="00FC2E6F"/>
    <w:rsid w:val="00FC3347"/>
    <w:rsid w:val="00FC336A"/>
    <w:rsid w:val="00FC33BA"/>
    <w:rsid w:val="00FC34C0"/>
    <w:rsid w:val="00FC381E"/>
    <w:rsid w:val="00FC40F0"/>
    <w:rsid w:val="00FC4434"/>
    <w:rsid w:val="00FC4529"/>
    <w:rsid w:val="00FC4ADE"/>
    <w:rsid w:val="00FC4C20"/>
    <w:rsid w:val="00FC4ED6"/>
    <w:rsid w:val="00FC50FE"/>
    <w:rsid w:val="00FC5465"/>
    <w:rsid w:val="00FC56DF"/>
    <w:rsid w:val="00FC5729"/>
    <w:rsid w:val="00FC57C3"/>
    <w:rsid w:val="00FC59B6"/>
    <w:rsid w:val="00FC5BEF"/>
    <w:rsid w:val="00FC5C8F"/>
    <w:rsid w:val="00FC6244"/>
    <w:rsid w:val="00FC62E5"/>
    <w:rsid w:val="00FC6378"/>
    <w:rsid w:val="00FC63AD"/>
    <w:rsid w:val="00FC659E"/>
    <w:rsid w:val="00FC68AB"/>
    <w:rsid w:val="00FC71C7"/>
    <w:rsid w:val="00FC7239"/>
    <w:rsid w:val="00FC72CA"/>
    <w:rsid w:val="00FC74D8"/>
    <w:rsid w:val="00FC75B4"/>
    <w:rsid w:val="00FC7958"/>
    <w:rsid w:val="00FC7B9C"/>
    <w:rsid w:val="00FC7C50"/>
    <w:rsid w:val="00FC7FD4"/>
    <w:rsid w:val="00FD041B"/>
    <w:rsid w:val="00FD09D0"/>
    <w:rsid w:val="00FD0A20"/>
    <w:rsid w:val="00FD1008"/>
    <w:rsid w:val="00FD14FD"/>
    <w:rsid w:val="00FD1DB7"/>
    <w:rsid w:val="00FD1E18"/>
    <w:rsid w:val="00FD2199"/>
    <w:rsid w:val="00FD236A"/>
    <w:rsid w:val="00FD243A"/>
    <w:rsid w:val="00FD2D60"/>
    <w:rsid w:val="00FD33FF"/>
    <w:rsid w:val="00FD3622"/>
    <w:rsid w:val="00FD373D"/>
    <w:rsid w:val="00FD3A0B"/>
    <w:rsid w:val="00FD3B7A"/>
    <w:rsid w:val="00FD3D56"/>
    <w:rsid w:val="00FD3E7F"/>
    <w:rsid w:val="00FD4936"/>
    <w:rsid w:val="00FD4A20"/>
    <w:rsid w:val="00FD4B8D"/>
    <w:rsid w:val="00FD4E81"/>
    <w:rsid w:val="00FD5B81"/>
    <w:rsid w:val="00FD65BE"/>
    <w:rsid w:val="00FD668F"/>
    <w:rsid w:val="00FD6E12"/>
    <w:rsid w:val="00FD7168"/>
    <w:rsid w:val="00FD73F3"/>
    <w:rsid w:val="00FD77ED"/>
    <w:rsid w:val="00FD7DD4"/>
    <w:rsid w:val="00FD7E1F"/>
    <w:rsid w:val="00FE01D5"/>
    <w:rsid w:val="00FE0221"/>
    <w:rsid w:val="00FE0435"/>
    <w:rsid w:val="00FE0990"/>
    <w:rsid w:val="00FE09C8"/>
    <w:rsid w:val="00FE0CA9"/>
    <w:rsid w:val="00FE0D93"/>
    <w:rsid w:val="00FE0F9E"/>
    <w:rsid w:val="00FE0FB4"/>
    <w:rsid w:val="00FE142C"/>
    <w:rsid w:val="00FE1750"/>
    <w:rsid w:val="00FE1A4E"/>
    <w:rsid w:val="00FE1EB5"/>
    <w:rsid w:val="00FE2105"/>
    <w:rsid w:val="00FE2239"/>
    <w:rsid w:val="00FE240F"/>
    <w:rsid w:val="00FE298B"/>
    <w:rsid w:val="00FE3004"/>
    <w:rsid w:val="00FE3273"/>
    <w:rsid w:val="00FE34CB"/>
    <w:rsid w:val="00FE3AB9"/>
    <w:rsid w:val="00FE3C20"/>
    <w:rsid w:val="00FE416E"/>
    <w:rsid w:val="00FE452A"/>
    <w:rsid w:val="00FE4615"/>
    <w:rsid w:val="00FE47D3"/>
    <w:rsid w:val="00FE49A3"/>
    <w:rsid w:val="00FE4D56"/>
    <w:rsid w:val="00FE4FA0"/>
    <w:rsid w:val="00FE523A"/>
    <w:rsid w:val="00FE53B3"/>
    <w:rsid w:val="00FE6634"/>
    <w:rsid w:val="00FE6D68"/>
    <w:rsid w:val="00FE73EE"/>
    <w:rsid w:val="00FE75E4"/>
    <w:rsid w:val="00FE7B85"/>
    <w:rsid w:val="00FE7D8E"/>
    <w:rsid w:val="00FF0214"/>
    <w:rsid w:val="00FF07C2"/>
    <w:rsid w:val="00FF0921"/>
    <w:rsid w:val="00FF0B0A"/>
    <w:rsid w:val="00FF0CB3"/>
    <w:rsid w:val="00FF14BA"/>
    <w:rsid w:val="00FF17FC"/>
    <w:rsid w:val="00FF1814"/>
    <w:rsid w:val="00FF209A"/>
    <w:rsid w:val="00FF21B8"/>
    <w:rsid w:val="00FF21B9"/>
    <w:rsid w:val="00FF2667"/>
    <w:rsid w:val="00FF26AB"/>
    <w:rsid w:val="00FF27A2"/>
    <w:rsid w:val="00FF2BC4"/>
    <w:rsid w:val="00FF2CE5"/>
    <w:rsid w:val="00FF2E85"/>
    <w:rsid w:val="00FF3541"/>
    <w:rsid w:val="00FF3658"/>
    <w:rsid w:val="00FF36CB"/>
    <w:rsid w:val="00FF3771"/>
    <w:rsid w:val="00FF39E1"/>
    <w:rsid w:val="00FF3BC8"/>
    <w:rsid w:val="00FF4A62"/>
    <w:rsid w:val="00FF4CB2"/>
    <w:rsid w:val="00FF4EE5"/>
    <w:rsid w:val="00FF4F0F"/>
    <w:rsid w:val="00FF50A1"/>
    <w:rsid w:val="00FF50ED"/>
    <w:rsid w:val="00FF56E6"/>
    <w:rsid w:val="00FF5714"/>
    <w:rsid w:val="00FF5C6C"/>
    <w:rsid w:val="00FF5F1F"/>
    <w:rsid w:val="00FF6500"/>
    <w:rsid w:val="00FF6684"/>
    <w:rsid w:val="00FF6F12"/>
    <w:rsid w:val="00FF70CA"/>
    <w:rsid w:val="00FF7E7E"/>
    <w:rsid w:val="00FF7F6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16C"/>
    <w:pPr>
      <w:spacing w:before="120" w:line="276" w:lineRule="auto"/>
      <w:jc w:val="both"/>
    </w:pPr>
    <w:rPr>
      <w:rFonts w:ascii="Calibri" w:hAnsi="Calibri"/>
      <w:sz w:val="24"/>
      <w:szCs w:val="24"/>
      <w:lang w:val="en-GB"/>
    </w:rPr>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Chapter"/>
    <w:basedOn w:val="Normal"/>
    <w:next w:val="Heading2"/>
    <w:link w:val="Heading1Char"/>
    <w:qFormat/>
    <w:rsid w:val="0084346E"/>
    <w:pPr>
      <w:keepNext/>
      <w:numPr>
        <w:numId w:val="11"/>
      </w:numPr>
      <w:spacing w:after="60" w:line="360" w:lineRule="auto"/>
      <w:outlineLvl w:val="0"/>
    </w:pPr>
    <w:rPr>
      <w:rFonts w:cs="Arial"/>
      <w:b/>
      <w:bCs/>
      <w:caps/>
      <w:kern w:val="32"/>
      <w:szCs w:val="32"/>
    </w:rPr>
  </w:style>
  <w:style w:type="paragraph" w:styleId="Heading2">
    <w:name w:val="heading 2"/>
    <w:aliases w:val="Major,h2,2,Titre 2,l2,list + change bar,???,h21,heading 2,LetHead2,MisHead2,Normalhead2,Normal Heading 2,1.1 HEADING 2,Z_hanging_2,Subchapter 1.1,Reset numbering,2/1,A,level 2,2 headline,h2 main heading,B Heading,H2,Centerhead,A.B.C.,PARA2,b1"/>
    <w:basedOn w:val="ListParagraph"/>
    <w:link w:val="Heading2Char1"/>
    <w:qFormat/>
    <w:rsid w:val="0076423D"/>
    <w:pPr>
      <w:numPr>
        <w:ilvl w:val="1"/>
        <w:numId w:val="11"/>
      </w:numPr>
      <w:autoSpaceDE w:val="0"/>
      <w:autoSpaceDN w:val="0"/>
      <w:adjustRightInd w:val="0"/>
      <w:spacing w:line="240" w:lineRule="auto"/>
      <w:contextualSpacing/>
      <w:outlineLvl w:val="1"/>
    </w:pPr>
    <w:rPr>
      <w:rFonts w:asciiTheme="minorHAnsi" w:hAnsiTheme="minorHAnsi" w:cstheme="minorHAnsi"/>
      <w:b/>
      <w:bCs/>
      <w:color w:val="000000"/>
    </w:rPr>
  </w:style>
  <w:style w:type="paragraph" w:styleId="Heading3">
    <w:name w:val="heading 3"/>
    <w:aliases w:val="3,h3,No Indent,Newshead1,C Heading,Half Space,Minor,Título 3_PDAPM_3,h31,Titre 3,l3,CT,LetHead3,Normal Heading 3,MisHead3,Normalhead3,Z_hanging_3,H3,H31,H32,H33,H34,H35,H36,H37,H38,H311,H321,H331,H341,H351,H361,H371,H39,H312,H322,Bu,heading 3"/>
    <w:basedOn w:val="Normal"/>
    <w:link w:val="Heading3Char"/>
    <w:qFormat/>
    <w:rsid w:val="002E0732"/>
    <w:pPr>
      <w:numPr>
        <w:ilvl w:val="2"/>
        <w:numId w:val="11"/>
      </w:numPr>
      <w:tabs>
        <w:tab w:val="left" w:pos="720"/>
      </w:tabs>
      <w:outlineLvl w:val="2"/>
    </w:pPr>
    <w:rPr>
      <w:rFonts w:cs="Arial"/>
      <w:bCs/>
      <w:szCs w:val="26"/>
    </w:rPr>
  </w:style>
  <w:style w:type="paragraph" w:styleId="Heading4">
    <w:name w:val="heading 4"/>
    <w:aliases w:val="( i ),o"/>
    <w:basedOn w:val="Normal"/>
    <w:link w:val="Heading4Char"/>
    <w:qFormat/>
    <w:rsid w:val="00963A1F"/>
    <w:pPr>
      <w:numPr>
        <w:ilvl w:val="3"/>
        <w:numId w:val="1"/>
      </w:numPr>
      <w:outlineLvl w:val="3"/>
    </w:pPr>
    <w:rPr>
      <w:bCs/>
      <w:szCs w:val="28"/>
    </w:rPr>
  </w:style>
  <w:style w:type="paragraph" w:styleId="Heading5">
    <w:name w:val="heading 5"/>
    <w:basedOn w:val="Normal"/>
    <w:next w:val="Normal"/>
    <w:link w:val="Heading5Char"/>
    <w:qFormat/>
    <w:rsid w:val="00DD1983"/>
    <w:pPr>
      <w:numPr>
        <w:ilvl w:val="4"/>
        <w:numId w:val="1"/>
      </w:numPr>
      <w:tabs>
        <w:tab w:val="left" w:pos="1440"/>
      </w:tabs>
      <w:spacing w:before="240" w:after="60"/>
      <w:outlineLvl w:val="4"/>
    </w:pPr>
    <w:rPr>
      <w:b/>
      <w:bCs/>
      <w:i/>
      <w:iCs/>
      <w:szCs w:val="26"/>
    </w:rPr>
  </w:style>
  <w:style w:type="paragraph" w:styleId="Heading6">
    <w:name w:val="heading 6"/>
    <w:basedOn w:val="Normal"/>
    <w:next w:val="Normal"/>
    <w:link w:val="Heading6Char"/>
    <w:qFormat/>
    <w:rsid w:val="00DD198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D1983"/>
    <w:pPr>
      <w:numPr>
        <w:ilvl w:val="6"/>
        <w:numId w:val="1"/>
      </w:numPr>
      <w:spacing w:before="240" w:after="60"/>
      <w:outlineLvl w:val="6"/>
    </w:pPr>
  </w:style>
  <w:style w:type="paragraph" w:styleId="Heading8">
    <w:name w:val="heading 8"/>
    <w:basedOn w:val="Normal"/>
    <w:next w:val="Normal"/>
    <w:link w:val="Heading8Char"/>
    <w:qFormat/>
    <w:rsid w:val="00DD1983"/>
    <w:pPr>
      <w:numPr>
        <w:ilvl w:val="7"/>
        <w:numId w:val="1"/>
      </w:numPr>
      <w:spacing w:before="240" w:after="60"/>
      <w:outlineLvl w:val="7"/>
    </w:pPr>
    <w:rPr>
      <w:i/>
      <w:iCs/>
    </w:rPr>
  </w:style>
  <w:style w:type="paragraph" w:styleId="Heading9">
    <w:name w:val="heading 9"/>
    <w:basedOn w:val="Normal"/>
    <w:next w:val="Normal"/>
    <w:link w:val="Heading9Char"/>
    <w:qFormat/>
    <w:rsid w:val="00DD198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ection 1 para"/>
    <w:basedOn w:val="Normal"/>
    <w:link w:val="ListParagraphChar"/>
    <w:uiPriority w:val="34"/>
    <w:qFormat/>
    <w:rsid w:val="00B81524"/>
    <w:pPr>
      <w:ind w:left="720"/>
    </w:pPr>
  </w:style>
  <w:style w:type="character" w:customStyle="1" w:styleId="Heading2Char1">
    <w:name w:val="Heading 2 Char1"/>
    <w:aliases w:val="Major Char1,h2 Char1,2 Char1,Titre 2 Char1,l2 Char1,list + change bar Char1,??? Char1,h21 Char1,heading 2 Char1,LetHead2 Char1,MisHead2 Char1,Normalhead2 Char1,Normal Heading 2 Char1,1.1 HEADING 2 Char1,Z_hanging_2 Char1,2/1 Char1,A Char"/>
    <w:link w:val="Heading2"/>
    <w:rsid w:val="0076423D"/>
    <w:rPr>
      <w:rFonts w:asciiTheme="minorHAnsi" w:hAnsiTheme="minorHAnsi" w:cstheme="minorHAnsi"/>
      <w:b/>
      <w:bCs/>
      <w:color w:val="000000"/>
      <w:sz w:val="24"/>
      <w:szCs w:val="24"/>
      <w:lang w:val="en-GB"/>
    </w:r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rsid w:val="0084346E"/>
    <w:rPr>
      <w:rFonts w:ascii="Calibri" w:hAnsi="Calibri" w:cs="Arial"/>
      <w:b/>
      <w:bCs/>
      <w:caps/>
      <w:kern w:val="32"/>
      <w:sz w:val="24"/>
      <w:szCs w:val="32"/>
      <w:lang w:val="en-GB"/>
    </w:rPr>
  </w:style>
  <w:style w:type="character" w:customStyle="1" w:styleId="Heading3Char">
    <w:name w:val="Heading 3 Char"/>
    <w:aliases w:val="3 Char,h3 Char,No Indent Char,Newshead1 Char,C Heading Char,Half Space Char,Minor Char,Título 3_PDAPM_3 Char,h31 Char,Titre 3 Char,l3 Char,CT Char,LetHead3 Char,Normal Heading 3 Char,MisHead3 Char,Normalhead3 Char,Z_hanging_3 Char,H3 Char"/>
    <w:link w:val="Heading3"/>
    <w:rsid w:val="002E0732"/>
    <w:rPr>
      <w:rFonts w:ascii="Calibri" w:hAnsi="Calibri" w:cs="Arial"/>
      <w:bCs/>
      <w:sz w:val="24"/>
      <w:szCs w:val="26"/>
      <w:lang w:val="en-GB"/>
    </w:rPr>
  </w:style>
  <w:style w:type="character" w:customStyle="1" w:styleId="Heading4Char">
    <w:name w:val="Heading 4 Char"/>
    <w:aliases w:val="( i ) Char,o Char"/>
    <w:link w:val="Heading4"/>
    <w:rsid w:val="0008110B"/>
    <w:rPr>
      <w:rFonts w:ascii="Calibri" w:hAnsi="Calibri"/>
      <w:bCs/>
      <w:sz w:val="24"/>
      <w:szCs w:val="28"/>
      <w:lang w:val="en-GB"/>
    </w:rPr>
  </w:style>
  <w:style w:type="character" w:customStyle="1" w:styleId="Heading5Char">
    <w:name w:val="Heading 5 Char"/>
    <w:link w:val="Heading5"/>
    <w:rsid w:val="0008110B"/>
    <w:rPr>
      <w:rFonts w:ascii="Calibri" w:hAnsi="Calibri"/>
      <w:b/>
      <w:bCs/>
      <w:i/>
      <w:iCs/>
      <w:sz w:val="24"/>
      <w:szCs w:val="26"/>
      <w:lang w:val="en-GB"/>
    </w:rPr>
  </w:style>
  <w:style w:type="character" w:customStyle="1" w:styleId="Heading6Char">
    <w:name w:val="Heading 6 Char"/>
    <w:link w:val="Heading6"/>
    <w:rsid w:val="0008110B"/>
    <w:rPr>
      <w:rFonts w:ascii="Calibri" w:hAnsi="Calibri"/>
      <w:b/>
      <w:bCs/>
      <w:sz w:val="22"/>
      <w:szCs w:val="22"/>
      <w:lang w:val="en-GB"/>
    </w:rPr>
  </w:style>
  <w:style w:type="character" w:customStyle="1" w:styleId="Heading7Char">
    <w:name w:val="Heading 7 Char"/>
    <w:link w:val="Heading7"/>
    <w:rsid w:val="0008110B"/>
    <w:rPr>
      <w:rFonts w:ascii="Calibri" w:hAnsi="Calibri"/>
      <w:sz w:val="24"/>
      <w:szCs w:val="24"/>
      <w:lang w:val="en-GB"/>
    </w:rPr>
  </w:style>
  <w:style w:type="character" w:customStyle="1" w:styleId="Heading8Char">
    <w:name w:val="Heading 8 Char"/>
    <w:link w:val="Heading8"/>
    <w:rsid w:val="0008110B"/>
    <w:rPr>
      <w:rFonts w:ascii="Calibri" w:hAnsi="Calibri"/>
      <w:i/>
      <w:iCs/>
      <w:sz w:val="24"/>
      <w:szCs w:val="24"/>
      <w:lang w:val="en-GB"/>
    </w:rPr>
  </w:style>
  <w:style w:type="character" w:customStyle="1" w:styleId="Heading9Char">
    <w:name w:val="Heading 9 Char"/>
    <w:link w:val="Heading9"/>
    <w:rsid w:val="0008110B"/>
    <w:rPr>
      <w:rFonts w:ascii="Arial" w:hAnsi="Arial" w:cs="Arial"/>
      <w:sz w:val="22"/>
      <w:szCs w:val="22"/>
      <w:lang w:val="en-GB"/>
    </w:rPr>
  </w:style>
  <w:style w:type="paragraph" w:styleId="Header">
    <w:name w:val="header"/>
    <w:aliases w:val="heading 3 after h2,h,h3+,ContentsHeader,hd,*Header,Section Header,page-header,ph,Header 2,Name,Tab Title,H-PDID,h6,h22,h7,h8,Chapter Name"/>
    <w:basedOn w:val="Normal"/>
    <w:link w:val="HeaderChar"/>
    <w:uiPriority w:val="99"/>
    <w:rsid w:val="009B5DA3"/>
    <w:pPr>
      <w:tabs>
        <w:tab w:val="center" w:pos="4320"/>
        <w:tab w:val="right" w:pos="8640"/>
      </w:tabs>
    </w:pPr>
  </w:style>
  <w:style w:type="character" w:customStyle="1" w:styleId="HeaderChar">
    <w:name w:val="Header Char"/>
    <w:aliases w:val="heading 3 after h2 Char,h Char,h3+ Char,ContentsHeader Char,hd Char,*Header Char,Section Header Char,page-header Char,ph Char,Header 2 Char,Name Char,Tab Title Char,H-PDID Char,h6 Char,h22 Char,h7 Char,h8 Char,Chapter Name Char"/>
    <w:link w:val="Header"/>
    <w:uiPriority w:val="99"/>
    <w:rsid w:val="00331ACB"/>
    <w:rPr>
      <w:rFonts w:ascii="Calibri" w:hAnsi="Calibri"/>
      <w:sz w:val="24"/>
      <w:szCs w:val="24"/>
      <w:lang w:val="en-GB"/>
    </w:rPr>
  </w:style>
  <w:style w:type="paragraph" w:styleId="TableofFigures">
    <w:name w:val="table of figures"/>
    <w:basedOn w:val="Normal"/>
    <w:next w:val="Normal"/>
    <w:uiPriority w:val="99"/>
    <w:rsid w:val="001D22FE"/>
    <w:pPr>
      <w:ind w:left="480" w:hanging="480"/>
      <w:jc w:val="left"/>
    </w:pPr>
    <w:rPr>
      <w:rFonts w:asciiTheme="minorHAnsi" w:hAnsiTheme="minorHAnsi" w:cstheme="minorHAnsi"/>
      <w:smallCaps/>
      <w:sz w:val="20"/>
      <w:szCs w:val="20"/>
    </w:rPr>
  </w:style>
  <w:style w:type="paragraph" w:styleId="TOC1">
    <w:name w:val="toc 1"/>
    <w:basedOn w:val="Normal"/>
    <w:next w:val="Normal"/>
    <w:autoRedefine/>
    <w:uiPriority w:val="39"/>
    <w:qFormat/>
    <w:rsid w:val="007824BA"/>
    <w:pPr>
      <w:tabs>
        <w:tab w:val="right" w:leader="dot" w:pos="9270"/>
      </w:tabs>
      <w:spacing w:after="120"/>
      <w:ind w:left="90" w:hanging="270"/>
      <w:jc w:val="center"/>
    </w:pPr>
    <w:rPr>
      <w:rFonts w:asciiTheme="minorHAnsi" w:hAnsiTheme="minorHAnsi" w:cstheme="minorHAnsi"/>
      <w:bCs/>
      <w:caps/>
      <w:sz w:val="20"/>
      <w:szCs w:val="20"/>
    </w:rPr>
  </w:style>
  <w:style w:type="paragraph" w:styleId="Footer">
    <w:name w:val="footer"/>
    <w:aliases w:val="eersteregel"/>
    <w:basedOn w:val="Normal"/>
    <w:link w:val="FooterChar"/>
    <w:rsid w:val="009B5DA3"/>
    <w:pPr>
      <w:tabs>
        <w:tab w:val="center" w:pos="4320"/>
        <w:tab w:val="right" w:pos="8640"/>
      </w:tabs>
    </w:pPr>
  </w:style>
  <w:style w:type="character" w:customStyle="1" w:styleId="FooterChar">
    <w:name w:val="Footer Char"/>
    <w:aliases w:val="eersteregel Char"/>
    <w:basedOn w:val="DefaultParagraphFont"/>
    <w:link w:val="Footer"/>
    <w:rsid w:val="004C5FC7"/>
    <w:rPr>
      <w:rFonts w:ascii="Calibri" w:hAnsi="Calibri"/>
      <w:sz w:val="24"/>
      <w:szCs w:val="24"/>
      <w:lang w:val="en-GB"/>
    </w:rPr>
  </w:style>
  <w:style w:type="paragraph" w:styleId="TOC2">
    <w:name w:val="toc 2"/>
    <w:basedOn w:val="Normal"/>
    <w:next w:val="Normal"/>
    <w:autoRedefine/>
    <w:uiPriority w:val="39"/>
    <w:qFormat/>
    <w:rsid w:val="00744F4C"/>
    <w:pPr>
      <w:ind w:left="240"/>
      <w:jc w:val="left"/>
    </w:pPr>
    <w:rPr>
      <w:rFonts w:asciiTheme="minorHAnsi" w:hAnsiTheme="minorHAnsi" w:cstheme="minorHAnsi"/>
      <w:smallCaps/>
      <w:sz w:val="20"/>
      <w:szCs w:val="20"/>
    </w:rPr>
  </w:style>
  <w:style w:type="character" w:styleId="Hyperlink">
    <w:name w:val="Hyperlink"/>
    <w:uiPriority w:val="99"/>
    <w:rsid w:val="00FA6A04"/>
    <w:rPr>
      <w:color w:val="0000FF"/>
      <w:u w:val="single"/>
    </w:rPr>
  </w:style>
  <w:style w:type="paragraph" w:styleId="TOC3">
    <w:name w:val="toc 3"/>
    <w:basedOn w:val="Normal"/>
    <w:next w:val="Normal"/>
    <w:autoRedefine/>
    <w:uiPriority w:val="39"/>
    <w:qFormat/>
    <w:rsid w:val="00A67F89"/>
    <w:pPr>
      <w:ind w:left="480"/>
      <w:jc w:val="left"/>
    </w:pPr>
    <w:rPr>
      <w:rFonts w:asciiTheme="minorHAnsi" w:hAnsiTheme="minorHAnsi" w:cstheme="minorHAnsi"/>
      <w:i/>
      <w:iCs/>
      <w:sz w:val="20"/>
      <w:szCs w:val="20"/>
    </w:rPr>
  </w:style>
  <w:style w:type="paragraph" w:styleId="Caption">
    <w:name w:val="caption"/>
    <w:aliases w:val="Caption Char1"/>
    <w:basedOn w:val="Normal"/>
    <w:next w:val="Normal"/>
    <w:qFormat/>
    <w:rsid w:val="00500459"/>
    <w:pPr>
      <w:spacing w:after="120" w:line="240" w:lineRule="auto"/>
      <w:jc w:val="center"/>
    </w:pPr>
    <w:rPr>
      <w:b/>
      <w:bCs/>
      <w:szCs w:val="20"/>
    </w:rPr>
  </w:style>
  <w:style w:type="character" w:styleId="CommentReference">
    <w:name w:val="annotation reference"/>
    <w:uiPriority w:val="99"/>
    <w:rsid w:val="00E22B10"/>
    <w:rPr>
      <w:sz w:val="16"/>
      <w:szCs w:val="16"/>
    </w:rPr>
  </w:style>
  <w:style w:type="paragraph" w:styleId="CommentText">
    <w:name w:val="annotation text"/>
    <w:basedOn w:val="Normal"/>
    <w:link w:val="CommentTextChar"/>
    <w:uiPriority w:val="99"/>
    <w:rsid w:val="00E22B10"/>
    <w:rPr>
      <w:sz w:val="20"/>
      <w:szCs w:val="20"/>
    </w:rPr>
  </w:style>
  <w:style w:type="character" w:customStyle="1" w:styleId="CommentTextChar">
    <w:name w:val="Comment Text Char"/>
    <w:link w:val="CommentText"/>
    <w:uiPriority w:val="99"/>
    <w:rsid w:val="0008110B"/>
    <w:rPr>
      <w:rFonts w:ascii="Calibri" w:hAnsi="Calibri"/>
      <w:lang w:val="en-GB"/>
    </w:rPr>
  </w:style>
  <w:style w:type="paragraph" w:styleId="CommentSubject">
    <w:name w:val="annotation subject"/>
    <w:basedOn w:val="CommentText"/>
    <w:next w:val="CommentText"/>
    <w:link w:val="CommentSubjectChar"/>
    <w:rsid w:val="00E22B10"/>
    <w:rPr>
      <w:b/>
      <w:bCs/>
    </w:rPr>
  </w:style>
  <w:style w:type="character" w:customStyle="1" w:styleId="CommentSubjectChar">
    <w:name w:val="Comment Subject Char"/>
    <w:link w:val="CommentSubject"/>
    <w:rsid w:val="0008110B"/>
    <w:rPr>
      <w:rFonts w:ascii="Calibri" w:hAnsi="Calibri"/>
      <w:b/>
      <w:bCs/>
      <w:lang w:val="en-GB"/>
    </w:rPr>
  </w:style>
  <w:style w:type="paragraph" w:styleId="BalloonText">
    <w:name w:val="Balloon Text"/>
    <w:basedOn w:val="Normal"/>
    <w:link w:val="BalloonTextChar"/>
    <w:rsid w:val="00E22B10"/>
    <w:rPr>
      <w:rFonts w:ascii="Tahoma" w:hAnsi="Tahoma" w:cs="Tahoma"/>
      <w:sz w:val="16"/>
      <w:szCs w:val="16"/>
    </w:rPr>
  </w:style>
  <w:style w:type="character" w:customStyle="1" w:styleId="BalloonTextChar">
    <w:name w:val="Balloon Text Char"/>
    <w:link w:val="BalloonText"/>
    <w:rsid w:val="0008110B"/>
    <w:rPr>
      <w:rFonts w:ascii="Tahoma" w:hAnsi="Tahoma" w:cs="Tahoma"/>
      <w:sz w:val="16"/>
      <w:szCs w:val="16"/>
      <w:lang w:val="en-GB"/>
    </w:rPr>
  </w:style>
  <w:style w:type="paragraph" w:customStyle="1" w:styleId="StyleCaptionCentered">
    <w:name w:val="Style Caption + Centered"/>
    <w:basedOn w:val="Caption"/>
    <w:rsid w:val="00921728"/>
    <w:pPr>
      <w:keepNext/>
    </w:pPr>
    <w:rPr>
      <w:rFonts w:ascii="Book Antiqua" w:hAnsi="Book Antiqua"/>
    </w:rPr>
  </w:style>
  <w:style w:type="paragraph" w:customStyle="1" w:styleId="StyleHeading3Bold">
    <w:name w:val="Style Heading 3 + Bold"/>
    <w:basedOn w:val="Heading3"/>
    <w:rsid w:val="00DD3374"/>
    <w:rPr>
      <w:b/>
    </w:rPr>
  </w:style>
  <w:style w:type="paragraph" w:customStyle="1" w:styleId="StyleHeading2NotLatinBoldBefore6ptAfter6pt">
    <w:name w:val="Style Heading 2 + Not (Latin) Bold Before:  6 pt After:  6 pt"/>
    <w:basedOn w:val="Heading2"/>
    <w:rsid w:val="00725C29"/>
    <w:pPr>
      <w:tabs>
        <w:tab w:val="num" w:pos="576"/>
      </w:tabs>
      <w:spacing w:after="120"/>
    </w:pPr>
    <w:rPr>
      <w:b w:val="0"/>
    </w:rPr>
  </w:style>
  <w:style w:type="paragraph" w:customStyle="1" w:styleId="StyleCaptionCentered1">
    <w:name w:val="Style Caption + Centered1"/>
    <w:basedOn w:val="Caption"/>
    <w:rsid w:val="004C7AAF"/>
    <w:pPr>
      <w:keepNext/>
    </w:pPr>
    <w:rPr>
      <w:rFonts w:ascii="Book Antiqua" w:hAnsi="Book Antiqua"/>
    </w:rPr>
  </w:style>
  <w:style w:type="paragraph" w:customStyle="1" w:styleId="StyleHeading2After6pt">
    <w:name w:val="Style Heading 2 + After:  6 pt"/>
    <w:basedOn w:val="Heading2"/>
    <w:rsid w:val="006502A0"/>
    <w:pPr>
      <w:spacing w:after="120"/>
    </w:pPr>
    <w:rPr>
      <w:rFonts w:cs="Times New Roman"/>
      <w:iCs/>
      <w:szCs w:val="20"/>
    </w:rPr>
  </w:style>
  <w:style w:type="character" w:styleId="PageNumber">
    <w:name w:val="page number"/>
    <w:basedOn w:val="DefaultParagraphFont"/>
    <w:rsid w:val="00DD1983"/>
  </w:style>
  <w:style w:type="paragraph" w:styleId="TOC4">
    <w:name w:val="toc 4"/>
    <w:basedOn w:val="Normal"/>
    <w:next w:val="Normal"/>
    <w:autoRedefine/>
    <w:uiPriority w:val="39"/>
    <w:rsid w:val="00C77A08"/>
    <w:pPr>
      <w:ind w:left="720"/>
      <w:jc w:val="left"/>
    </w:pPr>
    <w:rPr>
      <w:rFonts w:asciiTheme="minorHAnsi" w:hAnsiTheme="minorHAnsi" w:cstheme="minorHAnsi"/>
      <w:sz w:val="18"/>
      <w:szCs w:val="18"/>
    </w:rPr>
  </w:style>
  <w:style w:type="paragraph" w:styleId="TOC5">
    <w:name w:val="toc 5"/>
    <w:basedOn w:val="Normal"/>
    <w:next w:val="Normal"/>
    <w:autoRedefine/>
    <w:uiPriority w:val="39"/>
    <w:rsid w:val="00C77A08"/>
    <w:pPr>
      <w:ind w:left="960"/>
      <w:jc w:val="left"/>
    </w:pPr>
    <w:rPr>
      <w:rFonts w:asciiTheme="minorHAnsi" w:hAnsiTheme="minorHAnsi" w:cstheme="minorHAnsi"/>
      <w:sz w:val="18"/>
      <w:szCs w:val="18"/>
    </w:rPr>
  </w:style>
  <w:style w:type="paragraph" w:styleId="TOC6">
    <w:name w:val="toc 6"/>
    <w:basedOn w:val="Normal"/>
    <w:next w:val="Normal"/>
    <w:autoRedefine/>
    <w:uiPriority w:val="39"/>
    <w:rsid w:val="00C77A08"/>
    <w:pPr>
      <w:ind w:left="1200"/>
      <w:jc w:val="left"/>
    </w:pPr>
    <w:rPr>
      <w:rFonts w:asciiTheme="minorHAnsi" w:hAnsiTheme="minorHAnsi" w:cstheme="minorHAnsi"/>
      <w:sz w:val="18"/>
      <w:szCs w:val="18"/>
    </w:rPr>
  </w:style>
  <w:style w:type="paragraph" w:styleId="TOC7">
    <w:name w:val="toc 7"/>
    <w:basedOn w:val="Normal"/>
    <w:next w:val="Normal"/>
    <w:autoRedefine/>
    <w:uiPriority w:val="39"/>
    <w:rsid w:val="00C77A08"/>
    <w:pPr>
      <w:ind w:left="1440"/>
      <w:jc w:val="left"/>
    </w:pPr>
    <w:rPr>
      <w:rFonts w:asciiTheme="minorHAnsi" w:hAnsiTheme="minorHAnsi" w:cstheme="minorHAnsi"/>
      <w:sz w:val="18"/>
      <w:szCs w:val="18"/>
    </w:rPr>
  </w:style>
  <w:style w:type="paragraph" w:styleId="TOC8">
    <w:name w:val="toc 8"/>
    <w:basedOn w:val="Normal"/>
    <w:next w:val="Normal"/>
    <w:autoRedefine/>
    <w:uiPriority w:val="39"/>
    <w:rsid w:val="00C77A08"/>
    <w:pPr>
      <w:ind w:left="1680"/>
      <w:jc w:val="left"/>
    </w:pPr>
    <w:rPr>
      <w:rFonts w:asciiTheme="minorHAnsi" w:hAnsiTheme="minorHAnsi" w:cstheme="minorHAnsi"/>
      <w:sz w:val="18"/>
      <w:szCs w:val="18"/>
    </w:rPr>
  </w:style>
  <w:style w:type="paragraph" w:styleId="TOC9">
    <w:name w:val="toc 9"/>
    <w:basedOn w:val="Normal"/>
    <w:next w:val="Normal"/>
    <w:autoRedefine/>
    <w:uiPriority w:val="39"/>
    <w:rsid w:val="00C77A08"/>
    <w:pPr>
      <w:ind w:left="1920"/>
      <w:jc w:val="left"/>
    </w:pPr>
    <w:rPr>
      <w:rFonts w:asciiTheme="minorHAnsi" w:hAnsiTheme="minorHAnsi" w:cstheme="minorHAnsi"/>
      <w:sz w:val="18"/>
      <w:szCs w:val="18"/>
    </w:rPr>
  </w:style>
  <w:style w:type="table" w:styleId="TableGrid">
    <w:name w:val="Table Grid"/>
    <w:basedOn w:val="TableNormal"/>
    <w:uiPriority w:val="59"/>
    <w:rsid w:val="006F5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NotBold">
    <w:name w:val="Style Heading 2 + Not Bold"/>
    <w:basedOn w:val="Heading2"/>
    <w:link w:val="StyleHeading2NotBoldChar"/>
    <w:rsid w:val="00FC2172"/>
    <w:rPr>
      <w:b w:val="0"/>
      <w:bCs w:val="0"/>
      <w:iCs/>
    </w:rPr>
  </w:style>
  <w:style w:type="character" w:customStyle="1" w:styleId="StyleHeading2NotBoldChar">
    <w:name w:val="Style Heading 2 + Not Bold Char"/>
    <w:basedOn w:val="Heading2Char1"/>
    <w:link w:val="StyleHeading2NotBold"/>
    <w:rsid w:val="0008110B"/>
    <w:rPr>
      <w:rFonts w:asciiTheme="minorHAnsi" w:hAnsiTheme="minorHAnsi" w:cstheme="minorHAnsi"/>
      <w:b/>
      <w:bCs/>
      <w:iCs/>
      <w:color w:val="000000"/>
      <w:sz w:val="24"/>
      <w:szCs w:val="24"/>
      <w:lang w:val="en-GB"/>
    </w:rPr>
  </w:style>
  <w:style w:type="paragraph" w:styleId="BodyTextIndent">
    <w:name w:val="Body Text Indent"/>
    <w:basedOn w:val="Normal"/>
    <w:link w:val="BodyTextIndentChar"/>
    <w:rsid w:val="00BF5ABC"/>
    <w:pPr>
      <w:spacing w:line="240" w:lineRule="auto"/>
      <w:ind w:left="720"/>
    </w:pPr>
    <w:rPr>
      <w:rFonts w:ascii="Times New Roman" w:hAnsi="Times New Roman"/>
      <w:bCs/>
      <w:lang w:val="en-US"/>
    </w:rPr>
  </w:style>
  <w:style w:type="character" w:customStyle="1" w:styleId="BodyTextIndentChar">
    <w:name w:val="Body Text Indent Char"/>
    <w:link w:val="BodyTextIndent"/>
    <w:rsid w:val="00BF5ABC"/>
    <w:rPr>
      <w:bCs/>
      <w:sz w:val="24"/>
      <w:szCs w:val="24"/>
      <w:lang w:val="en-US" w:eastAsia="en-US"/>
    </w:rPr>
  </w:style>
  <w:style w:type="paragraph" w:customStyle="1" w:styleId="Default">
    <w:name w:val="Default"/>
    <w:rsid w:val="008E3860"/>
    <w:pPr>
      <w:autoSpaceDE w:val="0"/>
      <w:autoSpaceDN w:val="0"/>
      <w:adjustRightInd w:val="0"/>
    </w:pPr>
    <w:rPr>
      <w:rFonts w:ascii="Calibri" w:hAnsi="Calibri" w:cs="Calibri"/>
      <w:color w:val="000000"/>
      <w:sz w:val="24"/>
      <w:szCs w:val="24"/>
    </w:rPr>
  </w:style>
  <w:style w:type="paragraph" w:styleId="NormalWeb">
    <w:name w:val="Normal (Web)"/>
    <w:basedOn w:val="Normal"/>
    <w:unhideWhenUsed/>
    <w:rsid w:val="00F303A5"/>
    <w:pPr>
      <w:spacing w:before="100" w:beforeAutospacing="1" w:after="100" w:afterAutospacing="1" w:line="240" w:lineRule="auto"/>
      <w:jc w:val="left"/>
    </w:pPr>
    <w:rPr>
      <w:rFonts w:ascii="Times New Roman" w:hAnsi="Times New Roman"/>
      <w:lang w:val="en-IN" w:eastAsia="en-IN"/>
    </w:rPr>
  </w:style>
  <w:style w:type="table" w:customStyle="1" w:styleId="MediumShading2-Accent12">
    <w:name w:val="Medium Shading 2 - Accent 12"/>
    <w:basedOn w:val="TableNormal"/>
    <w:uiPriority w:val="64"/>
    <w:rsid w:val="00DA70F3"/>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rsid w:val="00D37337"/>
    <w:pPr>
      <w:ind w:left="240" w:hanging="240"/>
      <w:jc w:val="left"/>
    </w:pPr>
    <w:rPr>
      <w:rFonts w:asciiTheme="minorHAnsi" w:hAnsiTheme="minorHAnsi" w:cstheme="minorHAnsi"/>
      <w:sz w:val="20"/>
      <w:szCs w:val="20"/>
    </w:rPr>
  </w:style>
  <w:style w:type="paragraph" w:styleId="Index2">
    <w:name w:val="index 2"/>
    <w:basedOn w:val="Normal"/>
    <w:next w:val="Normal"/>
    <w:autoRedefine/>
    <w:rsid w:val="00D37337"/>
    <w:pPr>
      <w:ind w:left="480" w:hanging="240"/>
      <w:jc w:val="left"/>
    </w:pPr>
    <w:rPr>
      <w:rFonts w:asciiTheme="minorHAnsi" w:hAnsiTheme="minorHAnsi" w:cstheme="minorHAnsi"/>
      <w:sz w:val="20"/>
      <w:szCs w:val="20"/>
    </w:rPr>
  </w:style>
  <w:style w:type="paragraph" w:styleId="Index3">
    <w:name w:val="index 3"/>
    <w:basedOn w:val="Normal"/>
    <w:next w:val="Normal"/>
    <w:autoRedefine/>
    <w:rsid w:val="00D37337"/>
    <w:pPr>
      <w:ind w:left="720" w:hanging="240"/>
      <w:jc w:val="left"/>
    </w:pPr>
    <w:rPr>
      <w:rFonts w:asciiTheme="minorHAnsi" w:hAnsiTheme="minorHAnsi" w:cstheme="minorHAnsi"/>
      <w:sz w:val="20"/>
      <w:szCs w:val="20"/>
    </w:rPr>
  </w:style>
  <w:style w:type="paragraph" w:styleId="Index4">
    <w:name w:val="index 4"/>
    <w:basedOn w:val="Normal"/>
    <w:next w:val="Normal"/>
    <w:autoRedefine/>
    <w:rsid w:val="00D37337"/>
    <w:pPr>
      <w:ind w:left="960" w:hanging="240"/>
      <w:jc w:val="left"/>
    </w:pPr>
    <w:rPr>
      <w:rFonts w:asciiTheme="minorHAnsi" w:hAnsiTheme="minorHAnsi" w:cstheme="minorHAnsi"/>
      <w:sz w:val="20"/>
      <w:szCs w:val="20"/>
    </w:rPr>
  </w:style>
  <w:style w:type="paragraph" w:styleId="Index5">
    <w:name w:val="index 5"/>
    <w:basedOn w:val="Normal"/>
    <w:next w:val="Normal"/>
    <w:autoRedefine/>
    <w:rsid w:val="00D37337"/>
    <w:pPr>
      <w:ind w:left="1200" w:hanging="240"/>
      <w:jc w:val="left"/>
    </w:pPr>
    <w:rPr>
      <w:rFonts w:asciiTheme="minorHAnsi" w:hAnsiTheme="minorHAnsi" w:cstheme="minorHAnsi"/>
      <w:sz w:val="20"/>
      <w:szCs w:val="20"/>
    </w:rPr>
  </w:style>
  <w:style w:type="paragraph" w:styleId="Index6">
    <w:name w:val="index 6"/>
    <w:basedOn w:val="Normal"/>
    <w:next w:val="Normal"/>
    <w:autoRedefine/>
    <w:rsid w:val="00D37337"/>
    <w:pPr>
      <w:ind w:left="1440" w:hanging="240"/>
      <w:jc w:val="left"/>
    </w:pPr>
    <w:rPr>
      <w:rFonts w:asciiTheme="minorHAnsi" w:hAnsiTheme="minorHAnsi" w:cstheme="minorHAnsi"/>
      <w:sz w:val="20"/>
      <w:szCs w:val="20"/>
    </w:rPr>
  </w:style>
  <w:style w:type="paragraph" w:styleId="Index7">
    <w:name w:val="index 7"/>
    <w:basedOn w:val="Normal"/>
    <w:next w:val="Normal"/>
    <w:autoRedefine/>
    <w:rsid w:val="00D37337"/>
    <w:pPr>
      <w:ind w:left="1680" w:hanging="240"/>
      <w:jc w:val="left"/>
    </w:pPr>
    <w:rPr>
      <w:rFonts w:asciiTheme="minorHAnsi" w:hAnsiTheme="minorHAnsi" w:cstheme="minorHAnsi"/>
      <w:sz w:val="20"/>
      <w:szCs w:val="20"/>
    </w:rPr>
  </w:style>
  <w:style w:type="paragraph" w:styleId="Index8">
    <w:name w:val="index 8"/>
    <w:basedOn w:val="Normal"/>
    <w:next w:val="Normal"/>
    <w:autoRedefine/>
    <w:rsid w:val="00D37337"/>
    <w:pPr>
      <w:ind w:left="1920" w:hanging="240"/>
      <w:jc w:val="left"/>
    </w:pPr>
    <w:rPr>
      <w:rFonts w:asciiTheme="minorHAnsi" w:hAnsiTheme="minorHAnsi" w:cstheme="minorHAnsi"/>
      <w:sz w:val="20"/>
      <w:szCs w:val="20"/>
    </w:rPr>
  </w:style>
  <w:style w:type="paragraph" w:styleId="Index9">
    <w:name w:val="index 9"/>
    <w:basedOn w:val="Normal"/>
    <w:next w:val="Normal"/>
    <w:autoRedefine/>
    <w:rsid w:val="00D37337"/>
    <w:pPr>
      <w:ind w:left="2160" w:hanging="240"/>
      <w:jc w:val="left"/>
    </w:pPr>
    <w:rPr>
      <w:rFonts w:asciiTheme="minorHAnsi" w:hAnsiTheme="minorHAnsi" w:cstheme="minorHAnsi"/>
      <w:sz w:val="20"/>
      <w:szCs w:val="20"/>
    </w:rPr>
  </w:style>
  <w:style w:type="paragraph" w:styleId="IndexHeading">
    <w:name w:val="index heading"/>
    <w:basedOn w:val="Normal"/>
    <w:next w:val="Index1"/>
    <w:rsid w:val="00D37337"/>
    <w:pPr>
      <w:spacing w:after="120"/>
      <w:jc w:val="left"/>
    </w:pPr>
    <w:rPr>
      <w:rFonts w:asciiTheme="minorHAnsi" w:hAnsiTheme="minorHAnsi" w:cstheme="minorHAnsi"/>
      <w:b/>
      <w:bCs/>
      <w:i/>
      <w:iCs/>
      <w:sz w:val="20"/>
      <w:szCs w:val="20"/>
    </w:rPr>
  </w:style>
  <w:style w:type="paragraph" w:styleId="TOCHeading">
    <w:name w:val="TOC Heading"/>
    <w:basedOn w:val="Heading1"/>
    <w:next w:val="Normal"/>
    <w:uiPriority w:val="39"/>
    <w:unhideWhenUsed/>
    <w:qFormat/>
    <w:rsid w:val="00D37337"/>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FollowedHyperlink">
    <w:name w:val="FollowedHyperlink"/>
    <w:basedOn w:val="DefaultParagraphFont"/>
    <w:uiPriority w:val="99"/>
    <w:rsid w:val="009B4F60"/>
    <w:rPr>
      <w:color w:val="800080" w:themeColor="followedHyperlink"/>
      <w:u w:val="single"/>
    </w:rPr>
  </w:style>
  <w:style w:type="paragraph" w:styleId="FootnoteText">
    <w:name w:val="footnote text"/>
    <w:basedOn w:val="Normal"/>
    <w:link w:val="FootnoteTextChar"/>
    <w:unhideWhenUsed/>
    <w:rsid w:val="0024510F"/>
    <w:pPr>
      <w:tabs>
        <w:tab w:val="left" w:pos="720"/>
      </w:tabs>
      <w:spacing w:line="240" w:lineRule="auto"/>
      <w:ind w:left="432"/>
      <w:jc w:val="left"/>
    </w:pPr>
    <w:rPr>
      <w:rFonts w:ascii="Arial" w:hAnsi="Arial" w:cs="Arial"/>
      <w:sz w:val="22"/>
      <w:szCs w:val="22"/>
    </w:rPr>
  </w:style>
  <w:style w:type="character" w:customStyle="1" w:styleId="FootnoteTextChar">
    <w:name w:val="Footnote Text Char"/>
    <w:basedOn w:val="DefaultParagraphFont"/>
    <w:link w:val="FootnoteText"/>
    <w:rsid w:val="0024510F"/>
    <w:rPr>
      <w:rFonts w:ascii="Arial" w:hAnsi="Arial" w:cs="Arial"/>
      <w:sz w:val="22"/>
      <w:szCs w:val="22"/>
      <w:lang w:val="en-GB"/>
    </w:rPr>
  </w:style>
  <w:style w:type="character" w:styleId="FootnoteReference">
    <w:name w:val="footnote reference"/>
    <w:uiPriority w:val="99"/>
    <w:unhideWhenUsed/>
    <w:rsid w:val="0024510F"/>
    <w:rPr>
      <w:rFonts w:ascii="Times New Roman" w:hAnsi="Times New Roman" w:cs="Times New Roman" w:hint="default"/>
      <w:vertAlign w:val="superscript"/>
    </w:rPr>
  </w:style>
  <w:style w:type="paragraph" w:styleId="BodyText">
    <w:name w:val="Body Text"/>
    <w:aliases w:val="Body"/>
    <w:basedOn w:val="Normal"/>
    <w:link w:val="BodyTextChar"/>
    <w:rsid w:val="0008110B"/>
    <w:pPr>
      <w:spacing w:after="120"/>
    </w:pPr>
  </w:style>
  <w:style w:type="character" w:customStyle="1" w:styleId="BodyTextChar">
    <w:name w:val="Body Text Char"/>
    <w:aliases w:val="Body Char"/>
    <w:basedOn w:val="DefaultParagraphFont"/>
    <w:link w:val="BodyText"/>
    <w:rsid w:val="0008110B"/>
    <w:rPr>
      <w:rFonts w:ascii="Calibri" w:hAnsi="Calibri"/>
      <w:sz w:val="24"/>
      <w:szCs w:val="24"/>
      <w:lang w:val="en-GB"/>
    </w:rPr>
  </w:style>
  <w:style w:type="character" w:customStyle="1" w:styleId="Heading2Char">
    <w:name w:val="Heading 2 Char"/>
    <w:uiPriority w:val="9"/>
    <w:rsid w:val="0008110B"/>
    <w:rPr>
      <w:rFonts w:ascii="Book Antiqua" w:hAnsi="Book Antiqua" w:cs="Arial"/>
      <w:b/>
      <w:bCs/>
      <w:iCs/>
      <w:sz w:val="22"/>
      <w:szCs w:val="28"/>
      <w:lang w:val="en-GB" w:eastAsia="en-US" w:bidi="ar-SA"/>
    </w:rPr>
  </w:style>
  <w:style w:type="paragraph" w:styleId="BlockText">
    <w:name w:val="Block Text"/>
    <w:basedOn w:val="Normal"/>
    <w:rsid w:val="0008110B"/>
    <w:pPr>
      <w:spacing w:before="0" w:line="360" w:lineRule="auto"/>
      <w:ind w:left="-720" w:right="29" w:firstLine="720"/>
    </w:pPr>
    <w:rPr>
      <w:rFonts w:ascii="Arial" w:hAnsi="Arial"/>
      <w:szCs w:val="20"/>
      <w:lang w:val="en-US"/>
    </w:rPr>
  </w:style>
  <w:style w:type="paragraph" w:customStyle="1" w:styleId="xl25">
    <w:name w:val="xl25"/>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26">
    <w:name w:val="xl26"/>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27">
    <w:name w:val="xl27"/>
    <w:basedOn w:val="Normal"/>
    <w:rsid w:val="0008110B"/>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28">
    <w:name w:val="xl28"/>
    <w:basedOn w:val="Normal"/>
    <w:rsid w:val="0008110B"/>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29">
    <w:name w:val="xl29"/>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0">
    <w:name w:val="xl30"/>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31">
    <w:name w:val="xl31"/>
    <w:basedOn w:val="Normal"/>
    <w:rsid w:val="0008110B"/>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32">
    <w:name w:val="xl32"/>
    <w:basedOn w:val="Normal"/>
    <w:rsid w:val="0008110B"/>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b/>
      <w:bCs/>
      <w:lang w:val="en-US"/>
    </w:rPr>
  </w:style>
  <w:style w:type="paragraph" w:customStyle="1" w:styleId="xl33">
    <w:name w:val="xl33"/>
    <w:basedOn w:val="Normal"/>
    <w:rsid w:val="0008110B"/>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cs="Arial"/>
      <w:b/>
      <w:bCs/>
      <w:lang w:val="en-US"/>
    </w:rPr>
  </w:style>
  <w:style w:type="paragraph" w:customStyle="1" w:styleId="xl34">
    <w:name w:val="xl34"/>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5">
    <w:name w:val="xl35"/>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36">
    <w:name w:val="xl36"/>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7">
    <w:name w:val="xl37"/>
    <w:basedOn w:val="Normal"/>
    <w:rsid w:val="0008110B"/>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sz w:val="20"/>
      <w:szCs w:val="20"/>
      <w:lang w:val="en-US"/>
    </w:rPr>
  </w:style>
  <w:style w:type="paragraph" w:customStyle="1" w:styleId="xl38">
    <w:name w:val="xl38"/>
    <w:basedOn w:val="Normal"/>
    <w:rsid w:val="0008110B"/>
    <w:pPr>
      <w:pBdr>
        <w:top w:val="single" w:sz="8" w:space="0" w:color="auto"/>
        <w:bottom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39">
    <w:name w:val="xl39"/>
    <w:basedOn w:val="Normal"/>
    <w:rsid w:val="0008110B"/>
    <w:pPr>
      <w:pBdr>
        <w:top w:val="single" w:sz="8" w:space="0" w:color="auto"/>
        <w:bottom w:val="single" w:sz="8" w:space="0" w:color="auto"/>
        <w:righ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0">
    <w:name w:val="xl40"/>
    <w:basedOn w:val="Normal"/>
    <w:rsid w:val="0008110B"/>
    <w:pPr>
      <w:pBdr>
        <w:top w:val="single" w:sz="8" w:space="0" w:color="auto"/>
        <w:left w:val="single" w:sz="8" w:space="0" w:color="auto"/>
        <w:bottom w:val="single" w:sz="8"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41">
    <w:name w:val="xl41"/>
    <w:basedOn w:val="Normal"/>
    <w:rsid w:val="0008110B"/>
    <w:pPr>
      <w:pBdr>
        <w:top w:val="single" w:sz="8" w:space="0" w:color="auto"/>
        <w:lef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2">
    <w:name w:val="xl42"/>
    <w:basedOn w:val="Normal"/>
    <w:rsid w:val="0008110B"/>
    <w:pPr>
      <w:pBdr>
        <w:top w:val="single" w:sz="8"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43">
    <w:name w:val="xl43"/>
    <w:basedOn w:val="Normal"/>
    <w:rsid w:val="0008110B"/>
    <w:pPr>
      <w:pBdr>
        <w:top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4">
    <w:name w:val="xl44"/>
    <w:basedOn w:val="Normal"/>
    <w:rsid w:val="0008110B"/>
    <w:pPr>
      <w:pBdr>
        <w:top w:val="single" w:sz="8" w:space="0" w:color="auto"/>
        <w:right w:val="single" w:sz="8" w:space="0" w:color="auto"/>
      </w:pBdr>
      <w:spacing w:before="100" w:beforeAutospacing="1" w:after="100" w:afterAutospacing="1" w:line="360" w:lineRule="auto"/>
      <w:jc w:val="left"/>
    </w:pPr>
    <w:rPr>
      <w:rFonts w:ascii="Arial Unicode MS" w:eastAsia="Arial Unicode MS" w:hAnsi="Arial Unicode MS" w:cs="Arial Unicode MS"/>
      <w:lang w:val="en-US"/>
    </w:rPr>
  </w:style>
  <w:style w:type="paragraph" w:customStyle="1" w:styleId="xl45">
    <w:name w:val="xl45"/>
    <w:basedOn w:val="Normal"/>
    <w:rsid w:val="0008110B"/>
    <w:pPr>
      <w:pBdr>
        <w:top w:val="single" w:sz="8"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b/>
      <w:bCs/>
      <w:lang w:val="en-US"/>
    </w:rPr>
  </w:style>
  <w:style w:type="paragraph" w:customStyle="1" w:styleId="xl46">
    <w:name w:val="xl46"/>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left"/>
    </w:pPr>
    <w:rPr>
      <w:rFonts w:ascii="Arial" w:eastAsia="Arial Unicode MS" w:hAnsi="Arial" w:cs="Arial"/>
      <w:b/>
      <w:bCs/>
      <w:lang w:val="en-US"/>
    </w:rPr>
  </w:style>
  <w:style w:type="paragraph" w:customStyle="1" w:styleId="xl47">
    <w:name w:val="xl47"/>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48">
    <w:name w:val="xl48"/>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Arial Unicode MS" w:hAnsi="Arial" w:cs="Arial"/>
      <w:sz w:val="20"/>
      <w:szCs w:val="20"/>
      <w:lang w:val="en-US"/>
    </w:rPr>
  </w:style>
  <w:style w:type="paragraph" w:customStyle="1" w:styleId="xl49">
    <w:name w:val="xl49"/>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lang w:val="en-US"/>
    </w:rPr>
  </w:style>
  <w:style w:type="paragraph" w:customStyle="1" w:styleId="xl50">
    <w:name w:val="xl50"/>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1">
    <w:name w:val="xl51"/>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2">
    <w:name w:val="xl52"/>
    <w:basedOn w:val="Normal"/>
    <w:rsid w:val="0008110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3">
    <w:name w:val="xl53"/>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Unicode MS" w:eastAsia="Arial Unicode MS" w:hAnsi="Arial Unicode MS" w:cs="Arial Unicode MS"/>
      <w:lang w:val="en-US"/>
    </w:rPr>
  </w:style>
  <w:style w:type="paragraph" w:customStyle="1" w:styleId="xl54">
    <w:name w:val="xl54"/>
    <w:basedOn w:val="Normal"/>
    <w:rsid w:val="0008110B"/>
    <w:pPr>
      <w:pBdr>
        <w:top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55">
    <w:name w:val="xl55"/>
    <w:basedOn w:val="Normal"/>
    <w:rsid w:val="0008110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Arial" w:eastAsia="Arial Unicode MS" w:hAnsi="Arial" w:cs="Arial"/>
      <w:sz w:val="18"/>
      <w:szCs w:val="18"/>
      <w:lang w:val="en-US"/>
    </w:rPr>
  </w:style>
  <w:style w:type="paragraph" w:customStyle="1" w:styleId="xl56">
    <w:name w:val="xl56"/>
    <w:basedOn w:val="Normal"/>
    <w:rsid w:val="0008110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57">
    <w:name w:val="xl57"/>
    <w:basedOn w:val="Normal"/>
    <w:rsid w:val="0008110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58">
    <w:name w:val="xl58"/>
    <w:basedOn w:val="Normal"/>
    <w:rsid w:val="0008110B"/>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ascii="Arial" w:eastAsia="Arial Unicode MS" w:hAnsi="Arial"/>
      <w:sz w:val="18"/>
      <w:szCs w:val="18"/>
      <w:lang w:val="en-US"/>
    </w:rPr>
  </w:style>
  <w:style w:type="paragraph" w:customStyle="1" w:styleId="xl59">
    <w:name w:val="xl59"/>
    <w:basedOn w:val="Normal"/>
    <w:rsid w:val="0008110B"/>
    <w:pPr>
      <w:pBdr>
        <w:top w:val="single" w:sz="4" w:space="0" w:color="auto"/>
        <w:bottom w:val="single" w:sz="8"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sz w:val="18"/>
      <w:szCs w:val="18"/>
      <w:lang w:val="en-US"/>
    </w:rPr>
  </w:style>
  <w:style w:type="paragraph" w:customStyle="1" w:styleId="xl60">
    <w:name w:val="xl60"/>
    <w:basedOn w:val="Normal"/>
    <w:rsid w:val="0008110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Arial" w:eastAsia="Arial Unicode MS" w:hAnsi="Arial" w:cs="Arial"/>
      <w:sz w:val="18"/>
      <w:szCs w:val="18"/>
      <w:lang w:val="en-US"/>
    </w:rPr>
  </w:style>
  <w:style w:type="paragraph" w:customStyle="1" w:styleId="xl61">
    <w:name w:val="xl61"/>
    <w:basedOn w:val="Normal"/>
    <w:rsid w:val="0008110B"/>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left"/>
    </w:pPr>
    <w:rPr>
      <w:rFonts w:ascii="Arial" w:eastAsia="Arial Unicode MS" w:hAnsi="Arial" w:cs="Arial"/>
      <w:b/>
      <w:bCs/>
      <w:sz w:val="18"/>
      <w:szCs w:val="18"/>
      <w:lang w:val="en-US"/>
    </w:rPr>
  </w:style>
  <w:style w:type="paragraph" w:customStyle="1" w:styleId="NormalBold">
    <w:name w:val="Normal + Bold"/>
    <w:basedOn w:val="Normal"/>
    <w:link w:val="NormalBoldChar"/>
    <w:rsid w:val="0008110B"/>
    <w:pPr>
      <w:tabs>
        <w:tab w:val="left" w:pos="720"/>
      </w:tabs>
      <w:spacing w:before="240" w:after="120" w:line="360" w:lineRule="auto"/>
      <w:ind w:right="29"/>
      <w:jc w:val="left"/>
    </w:pPr>
    <w:rPr>
      <w:rFonts w:ascii="Arial" w:hAnsi="Arial"/>
      <w:b/>
      <w:sz w:val="20"/>
      <w:szCs w:val="20"/>
      <w:lang w:val="en-US"/>
    </w:rPr>
  </w:style>
  <w:style w:type="character" w:customStyle="1" w:styleId="NormalBoldChar">
    <w:name w:val="Normal + Bold Char"/>
    <w:link w:val="NormalBold"/>
    <w:rsid w:val="0008110B"/>
    <w:rPr>
      <w:rFonts w:ascii="Arial" w:hAnsi="Arial"/>
      <w:b/>
    </w:rPr>
  </w:style>
  <w:style w:type="paragraph" w:styleId="BodyText2">
    <w:name w:val="Body Text 2"/>
    <w:basedOn w:val="Normal"/>
    <w:link w:val="BodyText2Char"/>
    <w:rsid w:val="0008110B"/>
    <w:pPr>
      <w:spacing w:before="0" w:after="120" w:line="480" w:lineRule="auto"/>
    </w:pPr>
    <w:rPr>
      <w:rFonts w:cs="Mangal"/>
      <w:lang w:bidi="hi-IN"/>
    </w:rPr>
  </w:style>
  <w:style w:type="character" w:customStyle="1" w:styleId="BodyText2Char">
    <w:name w:val="Body Text 2 Char"/>
    <w:basedOn w:val="DefaultParagraphFont"/>
    <w:link w:val="BodyText2"/>
    <w:rsid w:val="0008110B"/>
    <w:rPr>
      <w:rFonts w:ascii="Calibri" w:hAnsi="Calibri" w:cs="Mangal"/>
      <w:sz w:val="24"/>
      <w:szCs w:val="24"/>
      <w:lang w:val="en-GB" w:bidi="hi-IN"/>
    </w:rPr>
  </w:style>
  <w:style w:type="character" w:customStyle="1" w:styleId="CharChar">
    <w:name w:val="Char Char"/>
    <w:rsid w:val="0008110B"/>
    <w:rPr>
      <w:rFonts w:ascii="Book Antiqua" w:hAnsi="Book Antiqua" w:cs="Arial"/>
      <w:b/>
      <w:bCs/>
      <w:iCs/>
      <w:sz w:val="22"/>
      <w:szCs w:val="28"/>
      <w:lang w:val="en-GB" w:eastAsia="en-US" w:bidi="ar-SA"/>
    </w:rPr>
  </w:style>
  <w:style w:type="paragraph" w:styleId="List3">
    <w:name w:val="List 3"/>
    <w:basedOn w:val="Normal"/>
    <w:rsid w:val="0008110B"/>
    <w:pPr>
      <w:spacing w:after="120" w:line="240" w:lineRule="auto"/>
      <w:ind w:left="1080" w:hanging="360"/>
      <w:jc w:val="left"/>
    </w:pPr>
    <w:rPr>
      <w:rFonts w:ascii="Arial" w:hAnsi="Arial"/>
      <w:sz w:val="20"/>
      <w:szCs w:val="20"/>
    </w:rPr>
  </w:style>
  <w:style w:type="table" w:styleId="ColorfulList-Accent4">
    <w:name w:val="Colorful List Accent 4"/>
    <w:basedOn w:val="TableNormal"/>
    <w:uiPriority w:val="72"/>
    <w:rsid w:val="000811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3">
    <w:name w:val="Colorful List Accent 3"/>
    <w:basedOn w:val="TableNormal"/>
    <w:uiPriority w:val="72"/>
    <w:rsid w:val="000811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MediumShading1-Accent11">
    <w:name w:val="Medium Shading 1 - Accent 11"/>
    <w:basedOn w:val="TableNormal"/>
    <w:uiPriority w:val="63"/>
    <w:rsid w:val="000811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0811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Char1">
    <w:name w:val="Char Char1"/>
    <w:rsid w:val="0008110B"/>
    <w:rPr>
      <w:rFonts w:ascii="Book Antiqua" w:hAnsi="Book Antiqua" w:cs="Arial"/>
      <w:b/>
      <w:bCs/>
      <w:iCs/>
      <w:sz w:val="22"/>
      <w:szCs w:val="28"/>
      <w:lang w:val="en-GB" w:eastAsia="en-US" w:bidi="ar-SA"/>
    </w:rPr>
  </w:style>
  <w:style w:type="paragraph" w:styleId="Title">
    <w:name w:val="Title"/>
    <w:basedOn w:val="Normal"/>
    <w:next w:val="Normal"/>
    <w:link w:val="TitleChar"/>
    <w:qFormat/>
    <w:rsid w:val="0008110B"/>
    <w:pPr>
      <w:spacing w:before="240" w:after="60"/>
      <w:jc w:val="center"/>
      <w:outlineLvl w:val="0"/>
    </w:pPr>
    <w:rPr>
      <w:rFonts w:ascii="Cambria" w:hAnsi="Cambria" w:cs="Mangal"/>
      <w:b/>
      <w:bCs/>
      <w:kern w:val="28"/>
      <w:sz w:val="32"/>
      <w:szCs w:val="32"/>
      <w:lang w:bidi="hi-IN"/>
    </w:rPr>
  </w:style>
  <w:style w:type="character" w:customStyle="1" w:styleId="TitleChar">
    <w:name w:val="Title Char"/>
    <w:basedOn w:val="DefaultParagraphFont"/>
    <w:link w:val="Title"/>
    <w:rsid w:val="0008110B"/>
    <w:rPr>
      <w:rFonts w:ascii="Cambria" w:hAnsi="Cambria" w:cs="Mangal"/>
      <w:b/>
      <w:bCs/>
      <w:kern w:val="28"/>
      <w:sz w:val="32"/>
      <w:szCs w:val="32"/>
      <w:lang w:val="en-GB" w:bidi="hi-IN"/>
    </w:rPr>
  </w:style>
  <w:style w:type="character" w:styleId="Emphasis">
    <w:name w:val="Emphasis"/>
    <w:qFormat/>
    <w:rsid w:val="0008110B"/>
    <w:rPr>
      <w:i/>
      <w:iCs/>
    </w:rPr>
  </w:style>
  <w:style w:type="table" w:styleId="Table3Deffects3">
    <w:name w:val="Table 3D effects 3"/>
    <w:basedOn w:val="TableNormal"/>
    <w:rsid w:val="0008110B"/>
    <w:pPr>
      <w:spacing w:line="276"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08110B"/>
    <w:rPr>
      <w:rFonts w:ascii="Calibri" w:hAnsi="Calibri"/>
      <w:sz w:val="24"/>
      <w:szCs w:val="24"/>
      <w:lang w:val="en-GB"/>
    </w:rPr>
  </w:style>
  <w:style w:type="table" w:styleId="TableGrid8">
    <w:name w:val="Table Grid 8"/>
    <w:basedOn w:val="TableNormal"/>
    <w:rsid w:val="0008110B"/>
    <w:pPr>
      <w:spacing w:line="276"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link w:val="NoSpacingChar"/>
    <w:uiPriority w:val="1"/>
    <w:qFormat/>
    <w:rsid w:val="003524C8"/>
    <w:rPr>
      <w:rFonts w:ascii="Calibri" w:eastAsia="Calibri" w:hAnsi="Calibri"/>
      <w:sz w:val="22"/>
      <w:szCs w:val="22"/>
    </w:rPr>
  </w:style>
  <w:style w:type="character" w:customStyle="1" w:styleId="Caption1">
    <w:name w:val="Caption1"/>
    <w:aliases w:val="Caption Char1 Char"/>
    <w:qFormat/>
    <w:rsid w:val="0017480F"/>
    <w:rPr>
      <w:rFonts w:ascii="Arial" w:hAnsi="Arial"/>
      <w:b/>
      <w:lang w:val="en-GB" w:eastAsia="en-US" w:bidi="ar-SA"/>
    </w:rPr>
  </w:style>
  <w:style w:type="paragraph" w:styleId="BodyTextIndent2">
    <w:name w:val="Body Text Indent 2"/>
    <w:basedOn w:val="Normal"/>
    <w:link w:val="BodyTextIndent2Char"/>
    <w:uiPriority w:val="99"/>
    <w:unhideWhenUsed/>
    <w:rsid w:val="0017480F"/>
    <w:pPr>
      <w:spacing w:before="0" w:after="120" w:line="480" w:lineRule="auto"/>
      <w:ind w:left="360"/>
    </w:pPr>
  </w:style>
  <w:style w:type="character" w:customStyle="1" w:styleId="BodyTextIndent2Char">
    <w:name w:val="Body Text Indent 2 Char"/>
    <w:basedOn w:val="DefaultParagraphFont"/>
    <w:link w:val="BodyTextIndent2"/>
    <w:uiPriority w:val="99"/>
    <w:rsid w:val="0017480F"/>
    <w:rPr>
      <w:rFonts w:ascii="Calibri" w:hAnsi="Calibri"/>
      <w:sz w:val="24"/>
      <w:szCs w:val="24"/>
      <w:lang w:val="en-GB"/>
    </w:rPr>
  </w:style>
  <w:style w:type="paragraph" w:customStyle="1" w:styleId="TariffScheduleList">
    <w:name w:val="Tariff Schedule List"/>
    <w:basedOn w:val="ListParagraph"/>
    <w:link w:val="TariffScheduleListChar"/>
    <w:qFormat/>
    <w:rsid w:val="00A83AAB"/>
    <w:pPr>
      <w:numPr>
        <w:numId w:val="2"/>
      </w:numPr>
    </w:pPr>
    <w:rPr>
      <w:b/>
    </w:rPr>
  </w:style>
  <w:style w:type="paragraph" w:customStyle="1" w:styleId="TariffRateSchedulelevel2">
    <w:name w:val="Tariff Rate Schedule level 2"/>
    <w:basedOn w:val="ListParagraph"/>
    <w:link w:val="TariffRateSchedulelevel2Char"/>
    <w:qFormat/>
    <w:rsid w:val="004B0DF2"/>
    <w:pPr>
      <w:numPr>
        <w:ilvl w:val="1"/>
        <w:numId w:val="3"/>
      </w:numPr>
    </w:pPr>
  </w:style>
  <w:style w:type="character" w:customStyle="1" w:styleId="ListParagraphChar">
    <w:name w:val="List Paragraph Char"/>
    <w:aliases w:val="section 1 para Char"/>
    <w:basedOn w:val="DefaultParagraphFont"/>
    <w:link w:val="ListParagraph"/>
    <w:uiPriority w:val="34"/>
    <w:rsid w:val="00A83AAB"/>
    <w:rPr>
      <w:rFonts w:ascii="Calibri" w:hAnsi="Calibri"/>
      <w:sz w:val="24"/>
      <w:szCs w:val="24"/>
      <w:lang w:val="en-GB"/>
    </w:rPr>
  </w:style>
  <w:style w:type="character" w:customStyle="1" w:styleId="TariffScheduleListChar">
    <w:name w:val="Tariff Schedule List Char"/>
    <w:basedOn w:val="ListParagraphChar"/>
    <w:link w:val="TariffScheduleList"/>
    <w:rsid w:val="00A83AAB"/>
    <w:rPr>
      <w:rFonts w:ascii="Calibri" w:hAnsi="Calibri"/>
      <w:b/>
      <w:sz w:val="24"/>
      <w:szCs w:val="24"/>
      <w:lang w:val="en-GB"/>
    </w:rPr>
  </w:style>
  <w:style w:type="character" w:customStyle="1" w:styleId="TariffRateSchedulelevel2Char">
    <w:name w:val="Tariff Rate Schedule level 2 Char"/>
    <w:basedOn w:val="ListParagraphChar"/>
    <w:link w:val="TariffRateSchedulelevel2"/>
    <w:rsid w:val="004B0DF2"/>
    <w:rPr>
      <w:rFonts w:ascii="Calibri" w:hAnsi="Calibri"/>
      <w:sz w:val="24"/>
      <w:szCs w:val="24"/>
      <w:lang w:val="en-GB"/>
    </w:rPr>
  </w:style>
  <w:style w:type="paragraph" w:customStyle="1" w:styleId="Heading21">
    <w:name w:val="Heading 21"/>
    <w:basedOn w:val="ListParagraph"/>
    <w:next w:val="Heading2"/>
    <w:qFormat/>
    <w:rsid w:val="00913FFE"/>
    <w:pPr>
      <w:autoSpaceDE w:val="0"/>
      <w:autoSpaceDN w:val="0"/>
      <w:adjustRightInd w:val="0"/>
      <w:spacing w:before="240" w:after="240" w:line="240" w:lineRule="auto"/>
      <w:ind w:left="780" w:hanging="780"/>
      <w:contextualSpacing/>
      <w:outlineLvl w:val="1"/>
    </w:pPr>
    <w:rPr>
      <w:rFonts w:eastAsiaTheme="minorEastAsia" w:cs="Calibri"/>
      <w:b/>
      <w:bCs/>
      <w:color w:val="000000"/>
    </w:rPr>
  </w:style>
  <w:style w:type="numbering" w:customStyle="1" w:styleId="NoList1">
    <w:name w:val="No List1"/>
    <w:next w:val="NoList"/>
    <w:uiPriority w:val="99"/>
    <w:semiHidden/>
    <w:unhideWhenUsed/>
    <w:rsid w:val="003147B8"/>
  </w:style>
  <w:style w:type="numbering" w:customStyle="1" w:styleId="NoList11">
    <w:name w:val="No List11"/>
    <w:next w:val="NoList"/>
    <w:uiPriority w:val="99"/>
    <w:semiHidden/>
    <w:unhideWhenUsed/>
    <w:rsid w:val="003147B8"/>
  </w:style>
  <w:style w:type="paragraph" w:customStyle="1" w:styleId="TableofFigures1">
    <w:name w:val="Table of Figures1"/>
    <w:basedOn w:val="Normal"/>
    <w:next w:val="Normal"/>
    <w:uiPriority w:val="99"/>
    <w:rsid w:val="003147B8"/>
    <w:pPr>
      <w:ind w:left="480" w:hanging="480"/>
      <w:jc w:val="left"/>
    </w:pPr>
    <w:rPr>
      <w:rFonts w:cs="Calibri"/>
      <w:smallCaps/>
      <w:sz w:val="20"/>
      <w:szCs w:val="20"/>
    </w:rPr>
  </w:style>
  <w:style w:type="paragraph" w:customStyle="1" w:styleId="TOC11">
    <w:name w:val="TOC 11"/>
    <w:basedOn w:val="Normal"/>
    <w:next w:val="Normal"/>
    <w:autoRedefine/>
    <w:uiPriority w:val="39"/>
    <w:qFormat/>
    <w:rsid w:val="003147B8"/>
    <w:pPr>
      <w:tabs>
        <w:tab w:val="left" w:pos="480"/>
        <w:tab w:val="right" w:leader="dot" w:pos="8659"/>
      </w:tabs>
      <w:spacing w:after="120"/>
      <w:jc w:val="center"/>
    </w:pPr>
    <w:rPr>
      <w:rFonts w:cs="Calibri"/>
      <w:bCs/>
      <w:caps/>
      <w:sz w:val="20"/>
      <w:szCs w:val="20"/>
    </w:rPr>
  </w:style>
  <w:style w:type="paragraph" w:customStyle="1" w:styleId="TOC21">
    <w:name w:val="TOC 21"/>
    <w:basedOn w:val="Normal"/>
    <w:next w:val="Normal"/>
    <w:autoRedefine/>
    <w:uiPriority w:val="39"/>
    <w:qFormat/>
    <w:rsid w:val="003147B8"/>
    <w:pPr>
      <w:ind w:left="240"/>
      <w:jc w:val="left"/>
    </w:pPr>
    <w:rPr>
      <w:rFonts w:cs="Calibri"/>
      <w:smallCaps/>
      <w:sz w:val="20"/>
      <w:szCs w:val="20"/>
    </w:rPr>
  </w:style>
  <w:style w:type="paragraph" w:customStyle="1" w:styleId="TOC31">
    <w:name w:val="TOC 31"/>
    <w:basedOn w:val="Normal"/>
    <w:next w:val="Normal"/>
    <w:autoRedefine/>
    <w:uiPriority w:val="39"/>
    <w:qFormat/>
    <w:rsid w:val="003147B8"/>
    <w:pPr>
      <w:ind w:left="480"/>
      <w:jc w:val="left"/>
    </w:pPr>
    <w:rPr>
      <w:rFonts w:cs="Calibri"/>
      <w:i/>
      <w:iCs/>
      <w:sz w:val="20"/>
      <w:szCs w:val="20"/>
    </w:rPr>
  </w:style>
  <w:style w:type="paragraph" w:customStyle="1" w:styleId="TOC41">
    <w:name w:val="TOC 41"/>
    <w:basedOn w:val="Normal"/>
    <w:next w:val="Normal"/>
    <w:autoRedefine/>
    <w:uiPriority w:val="39"/>
    <w:rsid w:val="003147B8"/>
    <w:pPr>
      <w:ind w:left="720"/>
      <w:jc w:val="left"/>
    </w:pPr>
    <w:rPr>
      <w:rFonts w:cs="Calibri"/>
      <w:sz w:val="18"/>
      <w:szCs w:val="18"/>
    </w:rPr>
  </w:style>
  <w:style w:type="paragraph" w:customStyle="1" w:styleId="TOC51">
    <w:name w:val="TOC 51"/>
    <w:basedOn w:val="Normal"/>
    <w:next w:val="Normal"/>
    <w:autoRedefine/>
    <w:uiPriority w:val="39"/>
    <w:rsid w:val="003147B8"/>
    <w:pPr>
      <w:ind w:left="960"/>
      <w:jc w:val="left"/>
    </w:pPr>
    <w:rPr>
      <w:rFonts w:cs="Calibri"/>
      <w:sz w:val="18"/>
      <w:szCs w:val="18"/>
    </w:rPr>
  </w:style>
  <w:style w:type="paragraph" w:customStyle="1" w:styleId="TOC61">
    <w:name w:val="TOC 61"/>
    <w:basedOn w:val="Normal"/>
    <w:next w:val="Normal"/>
    <w:autoRedefine/>
    <w:uiPriority w:val="39"/>
    <w:rsid w:val="003147B8"/>
    <w:pPr>
      <w:ind w:left="1200"/>
      <w:jc w:val="left"/>
    </w:pPr>
    <w:rPr>
      <w:rFonts w:cs="Calibri"/>
      <w:sz w:val="18"/>
      <w:szCs w:val="18"/>
    </w:rPr>
  </w:style>
  <w:style w:type="paragraph" w:customStyle="1" w:styleId="TOC71">
    <w:name w:val="TOC 71"/>
    <w:basedOn w:val="Normal"/>
    <w:next w:val="Normal"/>
    <w:autoRedefine/>
    <w:uiPriority w:val="39"/>
    <w:rsid w:val="003147B8"/>
    <w:pPr>
      <w:ind w:left="1440"/>
      <w:jc w:val="left"/>
    </w:pPr>
    <w:rPr>
      <w:rFonts w:cs="Calibri"/>
      <w:sz w:val="18"/>
      <w:szCs w:val="18"/>
    </w:rPr>
  </w:style>
  <w:style w:type="paragraph" w:customStyle="1" w:styleId="TOC81">
    <w:name w:val="TOC 81"/>
    <w:basedOn w:val="Normal"/>
    <w:next w:val="Normal"/>
    <w:autoRedefine/>
    <w:uiPriority w:val="39"/>
    <w:rsid w:val="003147B8"/>
    <w:pPr>
      <w:ind w:left="1680"/>
      <w:jc w:val="left"/>
    </w:pPr>
    <w:rPr>
      <w:rFonts w:cs="Calibri"/>
      <w:sz w:val="18"/>
      <w:szCs w:val="18"/>
    </w:rPr>
  </w:style>
  <w:style w:type="paragraph" w:customStyle="1" w:styleId="TOC91">
    <w:name w:val="TOC 91"/>
    <w:basedOn w:val="Normal"/>
    <w:next w:val="Normal"/>
    <w:autoRedefine/>
    <w:uiPriority w:val="39"/>
    <w:rsid w:val="003147B8"/>
    <w:pPr>
      <w:ind w:left="1920"/>
      <w:jc w:val="left"/>
    </w:pPr>
    <w:rPr>
      <w:rFonts w:cs="Calibri"/>
      <w:sz w:val="18"/>
      <w:szCs w:val="18"/>
    </w:rPr>
  </w:style>
  <w:style w:type="table" w:customStyle="1" w:styleId="MediumShading2-Accent121">
    <w:name w:val="Medium Shading 2 - Accent 121"/>
    <w:basedOn w:val="TableNormal"/>
    <w:uiPriority w:val="64"/>
    <w:rsid w:val="003147B8"/>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ndex11">
    <w:name w:val="Index 11"/>
    <w:basedOn w:val="Normal"/>
    <w:next w:val="Normal"/>
    <w:autoRedefine/>
    <w:rsid w:val="003147B8"/>
    <w:pPr>
      <w:ind w:left="240" w:hanging="240"/>
      <w:jc w:val="left"/>
    </w:pPr>
    <w:rPr>
      <w:rFonts w:cs="Calibri"/>
      <w:sz w:val="20"/>
      <w:szCs w:val="20"/>
    </w:rPr>
  </w:style>
  <w:style w:type="paragraph" w:customStyle="1" w:styleId="Index21">
    <w:name w:val="Index 21"/>
    <w:basedOn w:val="Normal"/>
    <w:next w:val="Normal"/>
    <w:autoRedefine/>
    <w:rsid w:val="003147B8"/>
    <w:pPr>
      <w:ind w:left="480" w:hanging="240"/>
      <w:jc w:val="left"/>
    </w:pPr>
    <w:rPr>
      <w:rFonts w:cs="Calibri"/>
      <w:sz w:val="20"/>
      <w:szCs w:val="20"/>
    </w:rPr>
  </w:style>
  <w:style w:type="paragraph" w:customStyle="1" w:styleId="Index31">
    <w:name w:val="Index 31"/>
    <w:basedOn w:val="Normal"/>
    <w:next w:val="Normal"/>
    <w:autoRedefine/>
    <w:rsid w:val="003147B8"/>
    <w:pPr>
      <w:ind w:left="720" w:hanging="240"/>
      <w:jc w:val="left"/>
    </w:pPr>
    <w:rPr>
      <w:rFonts w:cs="Calibri"/>
      <w:sz w:val="20"/>
      <w:szCs w:val="20"/>
    </w:rPr>
  </w:style>
  <w:style w:type="paragraph" w:customStyle="1" w:styleId="Index41">
    <w:name w:val="Index 41"/>
    <w:basedOn w:val="Normal"/>
    <w:next w:val="Normal"/>
    <w:autoRedefine/>
    <w:rsid w:val="003147B8"/>
    <w:pPr>
      <w:ind w:left="960" w:hanging="240"/>
      <w:jc w:val="left"/>
    </w:pPr>
    <w:rPr>
      <w:rFonts w:cs="Calibri"/>
      <w:sz w:val="20"/>
      <w:szCs w:val="20"/>
    </w:rPr>
  </w:style>
  <w:style w:type="paragraph" w:customStyle="1" w:styleId="Index51">
    <w:name w:val="Index 51"/>
    <w:basedOn w:val="Normal"/>
    <w:next w:val="Normal"/>
    <w:autoRedefine/>
    <w:rsid w:val="003147B8"/>
    <w:pPr>
      <w:ind w:left="1200" w:hanging="240"/>
      <w:jc w:val="left"/>
    </w:pPr>
    <w:rPr>
      <w:rFonts w:cs="Calibri"/>
      <w:sz w:val="20"/>
      <w:szCs w:val="20"/>
    </w:rPr>
  </w:style>
  <w:style w:type="paragraph" w:customStyle="1" w:styleId="Index61">
    <w:name w:val="Index 61"/>
    <w:basedOn w:val="Normal"/>
    <w:next w:val="Normal"/>
    <w:autoRedefine/>
    <w:rsid w:val="003147B8"/>
    <w:pPr>
      <w:ind w:left="1440" w:hanging="240"/>
      <w:jc w:val="left"/>
    </w:pPr>
    <w:rPr>
      <w:rFonts w:cs="Calibri"/>
      <w:sz w:val="20"/>
      <w:szCs w:val="20"/>
    </w:rPr>
  </w:style>
  <w:style w:type="paragraph" w:customStyle="1" w:styleId="Index71">
    <w:name w:val="Index 71"/>
    <w:basedOn w:val="Normal"/>
    <w:next w:val="Normal"/>
    <w:autoRedefine/>
    <w:rsid w:val="003147B8"/>
    <w:pPr>
      <w:ind w:left="1680" w:hanging="240"/>
      <w:jc w:val="left"/>
    </w:pPr>
    <w:rPr>
      <w:rFonts w:cs="Calibri"/>
      <w:sz w:val="20"/>
      <w:szCs w:val="20"/>
    </w:rPr>
  </w:style>
  <w:style w:type="paragraph" w:customStyle="1" w:styleId="Index81">
    <w:name w:val="Index 81"/>
    <w:basedOn w:val="Normal"/>
    <w:next w:val="Normal"/>
    <w:autoRedefine/>
    <w:rsid w:val="003147B8"/>
    <w:pPr>
      <w:ind w:left="1920" w:hanging="240"/>
      <w:jc w:val="left"/>
    </w:pPr>
    <w:rPr>
      <w:rFonts w:cs="Calibri"/>
      <w:sz w:val="20"/>
      <w:szCs w:val="20"/>
    </w:rPr>
  </w:style>
  <w:style w:type="paragraph" w:customStyle="1" w:styleId="Index91">
    <w:name w:val="Index 91"/>
    <w:basedOn w:val="Normal"/>
    <w:next w:val="Normal"/>
    <w:autoRedefine/>
    <w:rsid w:val="003147B8"/>
    <w:pPr>
      <w:ind w:left="2160" w:hanging="240"/>
      <w:jc w:val="left"/>
    </w:pPr>
    <w:rPr>
      <w:rFonts w:cs="Calibri"/>
      <w:sz w:val="20"/>
      <w:szCs w:val="20"/>
    </w:rPr>
  </w:style>
  <w:style w:type="paragraph" w:customStyle="1" w:styleId="IndexHeading1">
    <w:name w:val="Index Heading1"/>
    <w:basedOn w:val="Normal"/>
    <w:next w:val="Index1"/>
    <w:rsid w:val="003147B8"/>
    <w:pPr>
      <w:spacing w:after="120"/>
      <w:jc w:val="left"/>
    </w:pPr>
    <w:rPr>
      <w:rFonts w:cs="Calibri"/>
      <w:b/>
      <w:bCs/>
      <w:i/>
      <w:iCs/>
      <w:sz w:val="20"/>
      <w:szCs w:val="20"/>
    </w:rPr>
  </w:style>
  <w:style w:type="paragraph" w:customStyle="1" w:styleId="TOCHeading1">
    <w:name w:val="TOC Heading1"/>
    <w:basedOn w:val="Heading1"/>
    <w:next w:val="Normal"/>
    <w:uiPriority w:val="39"/>
    <w:semiHidden/>
    <w:unhideWhenUsed/>
    <w:qFormat/>
    <w:rsid w:val="003147B8"/>
    <w:pPr>
      <w:keepLines/>
      <w:spacing w:before="480" w:after="0" w:line="276" w:lineRule="auto"/>
      <w:ind w:left="-360" w:firstLine="360"/>
      <w:jc w:val="left"/>
      <w:outlineLvl w:val="9"/>
    </w:pPr>
    <w:rPr>
      <w:rFonts w:ascii="Cambria" w:hAnsi="Cambria" w:cs="Times New Roman"/>
      <w:caps w:val="0"/>
      <w:color w:val="365F91"/>
      <w:kern w:val="0"/>
      <w:szCs w:val="28"/>
      <w:lang w:val="en-US" w:eastAsia="ja-JP"/>
    </w:rPr>
  </w:style>
  <w:style w:type="character" w:customStyle="1" w:styleId="FollowedHyperlink1">
    <w:name w:val="FollowedHyperlink1"/>
    <w:basedOn w:val="DefaultParagraphFont"/>
    <w:uiPriority w:val="99"/>
    <w:rsid w:val="003147B8"/>
    <w:rPr>
      <w:color w:val="800080"/>
      <w:u w:val="single"/>
    </w:rPr>
  </w:style>
  <w:style w:type="table" w:customStyle="1" w:styleId="MediumShading1-Accent111">
    <w:name w:val="Medium Shading 1 - Accent 111"/>
    <w:basedOn w:val="TableNormal"/>
    <w:uiPriority w:val="63"/>
    <w:rsid w:val="003147B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1">
    <w:name w:val="Light List - Accent 111"/>
    <w:basedOn w:val="TableNormal"/>
    <w:uiPriority w:val="61"/>
    <w:rsid w:val="003147B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1Char1">
    <w:name w:val="Heading 1 Char1"/>
    <w:aliases w:val="Section Char1,HEADING 1 Char1,Section Heading Char1,MainHeader Char1,1 ghost Char1,g Char1,Main heading Char1,App1 Char1,1 Char1,h1 Char1,L1 Char1,Outline1 Char1,Chapter Heading Char1,Text Heading 18pt Char1,Full Page Heading 1 Char1"/>
    <w:basedOn w:val="DefaultParagraphFont"/>
    <w:rsid w:val="003147B8"/>
    <w:rPr>
      <w:rFonts w:ascii="Cambria" w:eastAsia="Times New Roman" w:hAnsi="Cambria" w:cs="Times New Roman"/>
      <w:b/>
      <w:bCs/>
      <w:color w:val="365F91"/>
      <w:sz w:val="28"/>
      <w:szCs w:val="28"/>
      <w:lang w:val="en-GB"/>
    </w:rPr>
  </w:style>
  <w:style w:type="character" w:customStyle="1" w:styleId="Heading4Char1">
    <w:name w:val="Heading 4 Char1"/>
    <w:aliases w:val="( i ) Char1,o Char1"/>
    <w:basedOn w:val="DefaultParagraphFont"/>
    <w:semiHidden/>
    <w:rsid w:val="003147B8"/>
    <w:rPr>
      <w:rFonts w:ascii="Cambria" w:eastAsia="Times New Roman" w:hAnsi="Cambria" w:cs="Times New Roman"/>
      <w:b/>
      <w:bCs/>
      <w:i/>
      <w:iCs/>
      <w:color w:val="4F81BD"/>
      <w:sz w:val="24"/>
      <w:szCs w:val="24"/>
      <w:lang w:val="en-GB"/>
    </w:rPr>
  </w:style>
  <w:style w:type="character" w:customStyle="1" w:styleId="BodyTextChar1">
    <w:name w:val="Body Text Char1"/>
    <w:aliases w:val="Body Char1"/>
    <w:basedOn w:val="DefaultParagraphFont"/>
    <w:rsid w:val="003147B8"/>
    <w:rPr>
      <w:rFonts w:ascii="Calibri" w:hAnsi="Calibri"/>
      <w:sz w:val="24"/>
      <w:szCs w:val="24"/>
      <w:lang w:val="en-GB"/>
    </w:rPr>
  </w:style>
  <w:style w:type="paragraph" w:customStyle="1" w:styleId="xl89">
    <w:name w:val="xl89"/>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lang w:val="en-IN" w:eastAsia="en-IN"/>
    </w:rPr>
  </w:style>
  <w:style w:type="paragraph" w:customStyle="1" w:styleId="xl90">
    <w:name w:val="xl90"/>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lang w:val="en-IN" w:eastAsia="en-IN"/>
    </w:rPr>
  </w:style>
  <w:style w:type="paragraph" w:customStyle="1" w:styleId="xl91">
    <w:name w:val="xl91"/>
    <w:basedOn w:val="Normal"/>
    <w:rsid w:val="003147B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left"/>
      <w:textAlignment w:val="center"/>
    </w:pPr>
    <w:rPr>
      <w:rFonts w:ascii="Times New Roman" w:hAnsi="Times New Roman"/>
      <w:b/>
      <w:bCs/>
      <w:lang w:val="en-IN" w:eastAsia="en-IN"/>
    </w:rPr>
  </w:style>
  <w:style w:type="paragraph" w:customStyle="1" w:styleId="xl92">
    <w:name w:val="xl92"/>
    <w:basedOn w:val="Normal"/>
    <w:rsid w:val="003147B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hAnsi="Times New Roman"/>
      <w:b/>
      <w:bCs/>
      <w:lang w:val="en-IN" w:eastAsia="en-IN"/>
    </w:rPr>
  </w:style>
  <w:style w:type="paragraph" w:customStyle="1" w:styleId="xl93">
    <w:name w:val="xl93"/>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lang w:val="en-IN" w:eastAsia="en-IN"/>
    </w:rPr>
  </w:style>
  <w:style w:type="paragraph" w:customStyle="1" w:styleId="xl94">
    <w:name w:val="xl94"/>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lang w:val="en-IN" w:eastAsia="en-IN"/>
    </w:rPr>
  </w:style>
  <w:style w:type="paragraph" w:customStyle="1" w:styleId="xl95">
    <w:name w:val="xl95"/>
    <w:basedOn w:val="Normal"/>
    <w:rsid w:val="003147B8"/>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imes New Roman" w:hAnsi="Times New Roman"/>
      <w:i/>
      <w:iCs/>
      <w:lang w:val="en-IN" w:eastAsia="en-IN"/>
    </w:rPr>
  </w:style>
  <w:style w:type="paragraph" w:customStyle="1" w:styleId="xl96">
    <w:name w:val="xl96"/>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lang w:val="en-IN" w:eastAsia="en-IN"/>
    </w:rPr>
  </w:style>
  <w:style w:type="paragraph" w:customStyle="1" w:styleId="xl97">
    <w:name w:val="xl97"/>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lang w:val="en-IN" w:eastAsia="en-IN"/>
    </w:rPr>
  </w:style>
  <w:style w:type="character" w:customStyle="1" w:styleId="Heading2Char2">
    <w:name w:val="Heading 2 Char2"/>
    <w:aliases w:val="Major Char,h2 Char,2 Char,Titre 2 Char,l2 Char,list + change bar Char,??? Char,h21 Char,heading 2 Char,LetHead2 Char,MisHead2 Char,Normalhead2 Char,Normal Heading 2 Char,1.1 HEADING 2 Char,Z_hanging_2 Char,Subchapter 1.1 Char,2/1 Char"/>
    <w:basedOn w:val="DefaultParagraphFont"/>
    <w:rsid w:val="003147B8"/>
    <w:rPr>
      <w:rFonts w:eastAsia="Times New Roman" w:cs="Calibri"/>
      <w:b/>
      <w:bCs/>
      <w:sz w:val="24"/>
      <w:szCs w:val="26"/>
    </w:rPr>
  </w:style>
  <w:style w:type="paragraph" w:customStyle="1" w:styleId="xl128">
    <w:name w:val="xl128"/>
    <w:basedOn w:val="Normal"/>
    <w:rsid w:val="003147B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b/>
      <w:bCs/>
      <w:lang w:val="en-US"/>
    </w:rPr>
  </w:style>
  <w:style w:type="paragraph" w:customStyle="1" w:styleId="xl129">
    <w:name w:val="xl129"/>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lang w:val="en-US"/>
    </w:rPr>
  </w:style>
  <w:style w:type="paragraph" w:customStyle="1" w:styleId="xl130">
    <w:name w:val="xl130"/>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lang w:val="en-US"/>
    </w:rPr>
  </w:style>
  <w:style w:type="paragraph" w:customStyle="1" w:styleId="xl131">
    <w:name w:val="xl131"/>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lang w:val="en-US"/>
    </w:rPr>
  </w:style>
  <w:style w:type="paragraph" w:customStyle="1" w:styleId="xl132">
    <w:name w:val="xl132"/>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lang w:val="en-US"/>
    </w:rPr>
  </w:style>
  <w:style w:type="paragraph" w:customStyle="1" w:styleId="xl133">
    <w:name w:val="xl133"/>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lang w:val="en-US"/>
    </w:rPr>
  </w:style>
  <w:style w:type="paragraph" w:customStyle="1" w:styleId="xl134">
    <w:name w:val="xl134"/>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lang w:val="en-US"/>
    </w:rPr>
  </w:style>
  <w:style w:type="paragraph" w:customStyle="1" w:styleId="xl135">
    <w:name w:val="xl135"/>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lang w:val="en-US"/>
    </w:rPr>
  </w:style>
  <w:style w:type="paragraph" w:customStyle="1" w:styleId="xl136">
    <w:name w:val="xl136"/>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lang w:val="en-US"/>
    </w:rPr>
  </w:style>
  <w:style w:type="paragraph" w:customStyle="1" w:styleId="xl137">
    <w:name w:val="xl137"/>
    <w:basedOn w:val="Normal"/>
    <w:rsid w:val="003147B8"/>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textAlignment w:val="center"/>
    </w:pPr>
    <w:rPr>
      <w:rFonts w:ascii="Times New Roman" w:hAnsi="Times New Roman"/>
      <w:b/>
      <w:bCs/>
      <w:lang w:val="en-US"/>
    </w:rPr>
  </w:style>
  <w:style w:type="paragraph" w:customStyle="1" w:styleId="xl138">
    <w:name w:val="xl138"/>
    <w:basedOn w:val="Normal"/>
    <w:rsid w:val="003147B8"/>
    <w:pPr>
      <w:pBdr>
        <w:top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b/>
      <w:bCs/>
      <w:lang w:val="en-US"/>
    </w:rPr>
  </w:style>
  <w:style w:type="paragraph" w:customStyle="1" w:styleId="xl139">
    <w:name w:val="xl139"/>
    <w:basedOn w:val="Normal"/>
    <w:rsid w:val="003147B8"/>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b/>
      <w:bCs/>
      <w:lang w:val="en-US"/>
    </w:rPr>
  </w:style>
  <w:style w:type="paragraph" w:customStyle="1" w:styleId="xl140">
    <w:name w:val="xl140"/>
    <w:basedOn w:val="Normal"/>
    <w:rsid w:val="003147B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lang w:val="en-US"/>
    </w:rPr>
  </w:style>
  <w:style w:type="paragraph" w:customStyle="1" w:styleId="xl141">
    <w:name w:val="xl141"/>
    <w:basedOn w:val="Normal"/>
    <w:rsid w:val="003147B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lang w:val="en-US"/>
    </w:rPr>
  </w:style>
  <w:style w:type="paragraph" w:customStyle="1" w:styleId="xl142">
    <w:name w:val="xl142"/>
    <w:basedOn w:val="Normal"/>
    <w:rsid w:val="003147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lang w:val="en-US"/>
    </w:rPr>
  </w:style>
  <w:style w:type="paragraph" w:customStyle="1" w:styleId="xl143">
    <w:name w:val="xl143"/>
    <w:basedOn w:val="Normal"/>
    <w:rsid w:val="003147B8"/>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Times New Roman" w:hAnsi="Times New Roman"/>
      <w:b/>
      <w:bCs/>
      <w:lang w:val="en-US"/>
    </w:rPr>
  </w:style>
  <w:style w:type="paragraph" w:customStyle="1" w:styleId="xl144">
    <w:name w:val="xl144"/>
    <w:basedOn w:val="Normal"/>
    <w:rsid w:val="003147B8"/>
    <w:pPr>
      <w:pBdr>
        <w:top w:val="single" w:sz="4" w:space="0" w:color="auto"/>
        <w:bottom w:val="single" w:sz="4" w:space="0" w:color="auto"/>
      </w:pBdr>
      <w:spacing w:before="100" w:beforeAutospacing="1" w:after="100" w:afterAutospacing="1" w:line="240" w:lineRule="auto"/>
      <w:jc w:val="left"/>
      <w:textAlignment w:val="top"/>
    </w:pPr>
    <w:rPr>
      <w:rFonts w:ascii="Times New Roman" w:hAnsi="Times New Roman"/>
      <w:b/>
      <w:bCs/>
      <w:lang w:val="en-US"/>
    </w:rPr>
  </w:style>
  <w:style w:type="paragraph" w:customStyle="1" w:styleId="xl145">
    <w:name w:val="xl145"/>
    <w:basedOn w:val="Normal"/>
    <w:rsid w:val="003147B8"/>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lang w:val="en-US"/>
    </w:rPr>
  </w:style>
  <w:style w:type="paragraph" w:customStyle="1" w:styleId="xl146">
    <w:name w:val="xl146"/>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lang w:val="en-US"/>
    </w:rPr>
  </w:style>
  <w:style w:type="paragraph" w:customStyle="1" w:styleId="xl147">
    <w:name w:val="xl147"/>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lang w:val="en-US"/>
    </w:rPr>
  </w:style>
  <w:style w:type="paragraph" w:customStyle="1" w:styleId="xl148">
    <w:name w:val="xl148"/>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lang w:val="en-US"/>
    </w:rPr>
  </w:style>
  <w:style w:type="paragraph" w:customStyle="1" w:styleId="xl149">
    <w:name w:val="xl149"/>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lang w:val="en-US"/>
    </w:rPr>
  </w:style>
  <w:style w:type="paragraph" w:customStyle="1" w:styleId="xl150">
    <w:name w:val="xl150"/>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lang w:val="en-US"/>
    </w:rPr>
  </w:style>
  <w:style w:type="paragraph" w:customStyle="1" w:styleId="xl151">
    <w:name w:val="xl151"/>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b/>
      <w:bCs/>
      <w:lang w:val="en-US"/>
    </w:rPr>
  </w:style>
  <w:style w:type="character" w:customStyle="1" w:styleId="NoSpacingChar">
    <w:name w:val="No Spacing Char"/>
    <w:basedOn w:val="DefaultParagraphFont"/>
    <w:link w:val="NoSpacing"/>
    <w:uiPriority w:val="1"/>
    <w:rsid w:val="003147B8"/>
    <w:rPr>
      <w:rFonts w:ascii="Calibri" w:eastAsia="Calibri" w:hAnsi="Calibri"/>
      <w:sz w:val="22"/>
      <w:szCs w:val="22"/>
    </w:rPr>
  </w:style>
  <w:style w:type="table" w:styleId="LightShading-Accent6">
    <w:name w:val="Light Shading Accent 6"/>
    <w:basedOn w:val="TableNormal"/>
    <w:uiPriority w:val="60"/>
    <w:rsid w:val="003147B8"/>
    <w:rPr>
      <w:rFonts w:ascii="Calibri" w:eastAsia="Calibri" w:hAnsi="Calibri"/>
      <w:color w:val="E36C0A"/>
      <w:sz w:val="22"/>
      <w:szCs w:val="22"/>
      <w:lang w:val="en-I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DocumentMap">
    <w:name w:val="Document Map"/>
    <w:basedOn w:val="Normal"/>
    <w:link w:val="DocumentMapChar"/>
    <w:unhideWhenUsed/>
    <w:rsid w:val="003147B8"/>
    <w:pPr>
      <w:spacing w:before="0" w:line="240" w:lineRule="auto"/>
      <w:jc w:val="right"/>
    </w:pPr>
    <w:rPr>
      <w:rFonts w:ascii="Tahoma" w:eastAsia="Calibri" w:hAnsi="Tahoma" w:cs="Tahoma"/>
      <w:sz w:val="16"/>
      <w:szCs w:val="16"/>
      <w:lang w:val="en-US"/>
    </w:rPr>
  </w:style>
  <w:style w:type="character" w:customStyle="1" w:styleId="DocumentMapChar">
    <w:name w:val="Document Map Char"/>
    <w:basedOn w:val="DefaultParagraphFont"/>
    <w:link w:val="DocumentMap"/>
    <w:rsid w:val="003147B8"/>
    <w:rPr>
      <w:rFonts w:ascii="Tahoma" w:eastAsia="Calibri" w:hAnsi="Tahoma" w:cs="Tahoma"/>
      <w:sz w:val="16"/>
      <w:szCs w:val="16"/>
    </w:rPr>
  </w:style>
  <w:style w:type="paragraph" w:customStyle="1" w:styleId="xl83">
    <w:name w:val="xl83"/>
    <w:basedOn w:val="Normal"/>
    <w:rsid w:val="003147B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lang w:val="en-US"/>
    </w:rPr>
  </w:style>
  <w:style w:type="paragraph" w:customStyle="1" w:styleId="xl84">
    <w:name w:val="xl84"/>
    <w:basedOn w:val="Normal"/>
    <w:rsid w:val="003147B8"/>
    <w:pPr>
      <w:pBdr>
        <w:top w:val="single" w:sz="4" w:space="0" w:color="auto"/>
        <w:bottom w:val="single" w:sz="4" w:space="0" w:color="auto"/>
      </w:pBdr>
      <w:spacing w:before="100" w:beforeAutospacing="1" w:after="100" w:afterAutospacing="1" w:line="240" w:lineRule="auto"/>
      <w:jc w:val="right"/>
      <w:textAlignment w:val="top"/>
    </w:pPr>
    <w:rPr>
      <w:rFonts w:ascii="Times New Roman" w:hAnsi="Times New Roman"/>
      <w:lang w:val="en-US"/>
    </w:rPr>
  </w:style>
  <w:style w:type="paragraph" w:customStyle="1" w:styleId="xl85">
    <w:name w:val="xl85"/>
    <w:basedOn w:val="Normal"/>
    <w:rsid w:val="003147B8"/>
    <w:pPr>
      <w:pBdr>
        <w:top w:val="single" w:sz="4" w:space="0" w:color="auto"/>
        <w:bottom w:val="single" w:sz="4" w:space="0" w:color="auto"/>
      </w:pBdr>
      <w:shd w:val="clear" w:color="000000" w:fill="FCD5B4"/>
      <w:spacing w:before="100" w:beforeAutospacing="1" w:after="100" w:afterAutospacing="1" w:line="240" w:lineRule="auto"/>
      <w:jc w:val="right"/>
      <w:textAlignment w:val="center"/>
    </w:pPr>
    <w:rPr>
      <w:rFonts w:ascii="Times New Roman" w:hAnsi="Times New Roman"/>
      <w:b/>
      <w:bCs/>
      <w:lang w:val="en-US"/>
    </w:rPr>
  </w:style>
  <w:style w:type="paragraph" w:customStyle="1" w:styleId="xl86">
    <w:name w:val="xl86"/>
    <w:basedOn w:val="Normal"/>
    <w:rsid w:val="003147B8"/>
    <w:pPr>
      <w:pBdr>
        <w:top w:val="single" w:sz="4" w:space="0" w:color="auto"/>
        <w:bottom w:val="single" w:sz="4" w:space="0" w:color="auto"/>
      </w:pBdr>
      <w:shd w:val="clear" w:color="000000" w:fill="DBE5F1"/>
      <w:spacing w:before="100" w:beforeAutospacing="1" w:after="100" w:afterAutospacing="1" w:line="240" w:lineRule="auto"/>
      <w:jc w:val="right"/>
      <w:textAlignment w:val="center"/>
    </w:pPr>
    <w:rPr>
      <w:rFonts w:ascii="Times New Roman" w:hAnsi="Times New Roman"/>
      <w:b/>
      <w:bCs/>
      <w:lang w:val="en-US"/>
    </w:rPr>
  </w:style>
  <w:style w:type="paragraph" w:customStyle="1" w:styleId="xl87">
    <w:name w:val="xl87"/>
    <w:basedOn w:val="Normal"/>
    <w:rsid w:val="003147B8"/>
    <w:pPr>
      <w:pBdr>
        <w:top w:val="single" w:sz="4" w:space="0" w:color="auto"/>
        <w:bottom w:val="single" w:sz="4" w:space="0" w:color="auto"/>
      </w:pBdr>
      <w:spacing w:before="100" w:beforeAutospacing="1" w:after="100" w:afterAutospacing="1" w:line="240" w:lineRule="auto"/>
      <w:jc w:val="left"/>
      <w:textAlignment w:val="top"/>
    </w:pPr>
    <w:rPr>
      <w:rFonts w:ascii="Times New Roman" w:hAnsi="Times New Roman"/>
      <w:lang w:val="en-US"/>
    </w:rPr>
  </w:style>
  <w:style w:type="paragraph" w:customStyle="1" w:styleId="xl88">
    <w:name w:val="xl88"/>
    <w:basedOn w:val="Normal"/>
    <w:rsid w:val="003147B8"/>
    <w:pPr>
      <w:pBdr>
        <w:top w:val="single" w:sz="12" w:space="0" w:color="auto"/>
      </w:pBdr>
      <w:shd w:val="clear" w:color="000000" w:fill="FCD5B4"/>
      <w:spacing w:before="100" w:beforeAutospacing="1" w:after="100" w:afterAutospacing="1" w:line="240" w:lineRule="auto"/>
      <w:jc w:val="center"/>
      <w:textAlignment w:val="top"/>
    </w:pPr>
    <w:rPr>
      <w:rFonts w:ascii="Times New Roman" w:hAnsi="Times New Roman"/>
      <w:b/>
      <w:bCs/>
      <w:lang w:val="en-US"/>
    </w:rPr>
  </w:style>
  <w:style w:type="paragraph" w:customStyle="1" w:styleId="xl98">
    <w:name w:val="xl98"/>
    <w:basedOn w:val="Normal"/>
    <w:rsid w:val="003147B8"/>
    <w:pPr>
      <w:pBdr>
        <w:top w:val="single" w:sz="4" w:space="0" w:color="auto"/>
        <w:bottom w:val="single" w:sz="4" w:space="0" w:color="auto"/>
      </w:pBdr>
      <w:shd w:val="clear" w:color="000000" w:fill="DBE5F1"/>
      <w:spacing w:before="100" w:beforeAutospacing="1" w:after="100" w:afterAutospacing="1" w:line="240" w:lineRule="auto"/>
      <w:jc w:val="center"/>
      <w:textAlignment w:val="center"/>
    </w:pPr>
    <w:rPr>
      <w:rFonts w:ascii="Times New Roman" w:hAnsi="Times New Roman"/>
      <w:b/>
      <w:bCs/>
      <w:lang w:val="en-US"/>
    </w:rPr>
  </w:style>
  <w:style w:type="paragraph" w:customStyle="1" w:styleId="xl99">
    <w:name w:val="xl99"/>
    <w:basedOn w:val="Normal"/>
    <w:rsid w:val="003147B8"/>
    <w:pPr>
      <w:pBdr>
        <w:top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hAnsi="Times New Roman"/>
      <w:b/>
      <w:bCs/>
      <w:lang w:val="en-US"/>
    </w:rPr>
  </w:style>
  <w:style w:type="paragraph" w:styleId="EndnoteText">
    <w:name w:val="endnote text"/>
    <w:basedOn w:val="Normal"/>
    <w:link w:val="EndnoteTextChar"/>
    <w:unhideWhenUsed/>
    <w:rsid w:val="003147B8"/>
    <w:pPr>
      <w:spacing w:before="0" w:line="240" w:lineRule="auto"/>
      <w:jc w:val="right"/>
    </w:pPr>
    <w:rPr>
      <w:rFonts w:eastAsia="Calibri"/>
      <w:sz w:val="20"/>
      <w:szCs w:val="20"/>
      <w:lang w:val="en-US"/>
    </w:rPr>
  </w:style>
  <w:style w:type="character" w:customStyle="1" w:styleId="EndnoteTextChar">
    <w:name w:val="Endnote Text Char"/>
    <w:basedOn w:val="DefaultParagraphFont"/>
    <w:link w:val="EndnoteText"/>
    <w:rsid w:val="003147B8"/>
    <w:rPr>
      <w:rFonts w:ascii="Calibri" w:eastAsia="Calibri" w:hAnsi="Calibri"/>
    </w:rPr>
  </w:style>
  <w:style w:type="character" w:styleId="EndnoteReference">
    <w:name w:val="endnote reference"/>
    <w:basedOn w:val="DefaultParagraphFont"/>
    <w:unhideWhenUsed/>
    <w:rsid w:val="003147B8"/>
    <w:rPr>
      <w:vertAlign w:val="superscript"/>
    </w:rPr>
  </w:style>
  <w:style w:type="table" w:customStyle="1" w:styleId="MediumShading2-Accent11">
    <w:name w:val="Medium Shading 2 - Accent 11"/>
    <w:basedOn w:val="TableNormal"/>
    <w:uiPriority w:val="64"/>
    <w:rsid w:val="003147B8"/>
    <w:rPr>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ont5">
    <w:name w:val="font5"/>
    <w:basedOn w:val="Normal"/>
    <w:rsid w:val="003147B8"/>
    <w:pPr>
      <w:spacing w:before="100" w:beforeAutospacing="1" w:after="100" w:afterAutospacing="1" w:line="240" w:lineRule="auto"/>
      <w:jc w:val="left"/>
    </w:pPr>
    <w:rPr>
      <w:rFonts w:ascii="Tahoma" w:hAnsi="Tahoma" w:cs="Tahoma"/>
      <w:color w:val="000000"/>
      <w:sz w:val="20"/>
      <w:szCs w:val="20"/>
      <w:lang w:val="en-US"/>
    </w:rPr>
  </w:style>
  <w:style w:type="paragraph" w:customStyle="1" w:styleId="font6">
    <w:name w:val="font6"/>
    <w:basedOn w:val="Normal"/>
    <w:rsid w:val="003147B8"/>
    <w:pPr>
      <w:spacing w:before="100" w:beforeAutospacing="1" w:after="100" w:afterAutospacing="1" w:line="240" w:lineRule="auto"/>
      <w:jc w:val="left"/>
    </w:pPr>
    <w:rPr>
      <w:rFonts w:ascii="Tahoma" w:hAnsi="Tahoma" w:cs="Tahoma"/>
      <w:b/>
      <w:bCs/>
      <w:color w:val="000000"/>
      <w:sz w:val="20"/>
      <w:szCs w:val="20"/>
      <w:lang w:val="en-US"/>
    </w:rPr>
  </w:style>
  <w:style w:type="paragraph" w:customStyle="1" w:styleId="xl64">
    <w:name w:val="xl64"/>
    <w:basedOn w:val="Normal"/>
    <w:rsid w:val="003147B8"/>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b/>
      <w:bCs/>
      <w:sz w:val="18"/>
      <w:szCs w:val="18"/>
      <w:lang w:val="en-US"/>
    </w:rPr>
  </w:style>
  <w:style w:type="paragraph" w:customStyle="1" w:styleId="xl65">
    <w:name w:val="xl65"/>
    <w:basedOn w:val="Normal"/>
    <w:rsid w:val="0031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val="en-US"/>
    </w:rPr>
  </w:style>
  <w:style w:type="paragraph" w:customStyle="1" w:styleId="xl66">
    <w:name w:val="xl66"/>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n-US"/>
    </w:rPr>
  </w:style>
  <w:style w:type="paragraph" w:customStyle="1" w:styleId="xl67">
    <w:name w:val="xl67"/>
    <w:basedOn w:val="Normal"/>
    <w:rsid w:val="003147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val="en-US"/>
    </w:rPr>
  </w:style>
  <w:style w:type="paragraph" w:customStyle="1" w:styleId="xl68">
    <w:name w:val="xl68"/>
    <w:basedOn w:val="Normal"/>
    <w:rsid w:val="0031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val="en-US"/>
    </w:rPr>
  </w:style>
  <w:style w:type="paragraph" w:customStyle="1" w:styleId="xl69">
    <w:name w:val="xl69"/>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n-US"/>
    </w:rPr>
  </w:style>
  <w:style w:type="paragraph" w:customStyle="1" w:styleId="xl70">
    <w:name w:val="xl70"/>
    <w:basedOn w:val="Normal"/>
    <w:rsid w:val="003147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71">
    <w:name w:val="xl71"/>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n-US"/>
    </w:rPr>
  </w:style>
  <w:style w:type="paragraph" w:customStyle="1" w:styleId="xl72">
    <w:name w:val="xl72"/>
    <w:basedOn w:val="Normal"/>
    <w:rsid w:val="003147B8"/>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18"/>
      <w:szCs w:val="18"/>
      <w:lang w:val="en-US"/>
    </w:rPr>
  </w:style>
  <w:style w:type="paragraph" w:customStyle="1" w:styleId="xl73">
    <w:name w:val="xl73"/>
    <w:basedOn w:val="Normal"/>
    <w:rsid w:val="003147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b/>
      <w:bCs/>
      <w:sz w:val="18"/>
      <w:szCs w:val="18"/>
      <w:lang w:val="en-US"/>
    </w:rPr>
  </w:style>
  <w:style w:type="paragraph" w:customStyle="1" w:styleId="xl74">
    <w:name w:val="xl74"/>
    <w:basedOn w:val="Normal"/>
    <w:rsid w:val="003147B8"/>
    <w:pPr>
      <w:pBdr>
        <w:top w:val="single" w:sz="4" w:space="0" w:color="auto"/>
        <w:left w:val="single" w:sz="8"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b/>
      <w:bCs/>
      <w:sz w:val="18"/>
      <w:szCs w:val="18"/>
      <w:lang w:val="en-US"/>
    </w:rPr>
  </w:style>
  <w:style w:type="paragraph" w:customStyle="1" w:styleId="xl75">
    <w:name w:val="xl75"/>
    <w:basedOn w:val="Normal"/>
    <w:rsid w:val="003147B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left"/>
      <w:textAlignment w:val="center"/>
    </w:pPr>
    <w:rPr>
      <w:sz w:val="18"/>
      <w:szCs w:val="18"/>
      <w:lang w:val="en-US"/>
    </w:rPr>
  </w:style>
  <w:style w:type="paragraph" w:customStyle="1" w:styleId="xl76">
    <w:name w:val="xl76"/>
    <w:basedOn w:val="Normal"/>
    <w:rsid w:val="003147B8"/>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left"/>
      <w:textAlignment w:val="center"/>
    </w:pPr>
    <w:rPr>
      <w:sz w:val="18"/>
      <w:szCs w:val="18"/>
      <w:lang w:val="en-US"/>
    </w:rPr>
  </w:style>
  <w:style w:type="paragraph" w:customStyle="1" w:styleId="xl77">
    <w:name w:val="xl77"/>
    <w:basedOn w:val="Normal"/>
    <w:rsid w:val="003147B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left"/>
      <w:textAlignment w:val="center"/>
    </w:pPr>
    <w:rPr>
      <w:sz w:val="18"/>
      <w:szCs w:val="18"/>
      <w:lang w:val="en-US"/>
    </w:rPr>
  </w:style>
  <w:style w:type="paragraph" w:customStyle="1" w:styleId="xl78">
    <w:name w:val="xl78"/>
    <w:basedOn w:val="Normal"/>
    <w:rsid w:val="003147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lang w:val="en-US"/>
    </w:rPr>
  </w:style>
  <w:style w:type="paragraph" w:customStyle="1" w:styleId="xl79">
    <w:name w:val="xl79"/>
    <w:basedOn w:val="Normal"/>
    <w:rsid w:val="00314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80">
    <w:name w:val="xl80"/>
    <w:basedOn w:val="Normal"/>
    <w:rsid w:val="003147B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81">
    <w:name w:val="xl81"/>
    <w:basedOn w:val="Normal"/>
    <w:rsid w:val="003147B8"/>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left"/>
      <w:textAlignment w:val="center"/>
    </w:pPr>
    <w:rPr>
      <w:sz w:val="18"/>
      <w:szCs w:val="18"/>
      <w:lang w:val="en-US"/>
    </w:rPr>
  </w:style>
  <w:style w:type="paragraph" w:customStyle="1" w:styleId="xl82">
    <w:name w:val="xl82"/>
    <w:basedOn w:val="Normal"/>
    <w:rsid w:val="003147B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n-US"/>
    </w:rPr>
  </w:style>
  <w:style w:type="paragraph" w:customStyle="1" w:styleId="xl100">
    <w:name w:val="xl100"/>
    <w:basedOn w:val="Normal"/>
    <w:rsid w:val="003147B8"/>
    <w:pPr>
      <w:spacing w:before="100" w:beforeAutospacing="1" w:after="100" w:afterAutospacing="1" w:line="240" w:lineRule="auto"/>
      <w:jc w:val="left"/>
    </w:pPr>
    <w:rPr>
      <w:sz w:val="18"/>
      <w:szCs w:val="18"/>
      <w:lang w:val="en-US"/>
    </w:rPr>
  </w:style>
  <w:style w:type="paragraph" w:customStyle="1" w:styleId="xl101">
    <w:name w:val="xl101"/>
    <w:basedOn w:val="Normal"/>
    <w:rsid w:val="003147B8"/>
    <w:pPr>
      <w:pBdr>
        <w:top w:val="single" w:sz="8" w:space="0" w:color="auto"/>
        <w:left w:val="single" w:sz="8" w:space="0" w:color="auto"/>
        <w:bottom w:val="single" w:sz="4" w:space="0" w:color="auto"/>
        <w:right w:val="single" w:sz="4" w:space="0" w:color="auto"/>
      </w:pBdr>
      <w:shd w:val="clear" w:color="000000" w:fill="0066CC"/>
      <w:spacing w:before="100" w:beforeAutospacing="1" w:after="100" w:afterAutospacing="1" w:line="240" w:lineRule="auto"/>
      <w:jc w:val="center"/>
      <w:textAlignment w:val="center"/>
    </w:pPr>
    <w:rPr>
      <w:b/>
      <w:bCs/>
      <w:color w:val="FFFFFF"/>
      <w:sz w:val="18"/>
      <w:szCs w:val="18"/>
      <w:lang w:val="en-US"/>
    </w:rPr>
  </w:style>
  <w:style w:type="paragraph" w:customStyle="1" w:styleId="xl102">
    <w:name w:val="xl102"/>
    <w:basedOn w:val="Normal"/>
    <w:rsid w:val="003147B8"/>
    <w:pPr>
      <w:pBdr>
        <w:top w:val="single" w:sz="8" w:space="0" w:color="auto"/>
        <w:left w:val="single" w:sz="4" w:space="0" w:color="auto"/>
        <w:bottom w:val="single" w:sz="4" w:space="0" w:color="auto"/>
        <w:right w:val="single" w:sz="4" w:space="0" w:color="auto"/>
      </w:pBdr>
      <w:shd w:val="clear" w:color="000000" w:fill="0066CC"/>
      <w:spacing w:before="100" w:beforeAutospacing="1" w:after="100" w:afterAutospacing="1" w:line="240" w:lineRule="auto"/>
      <w:jc w:val="center"/>
      <w:textAlignment w:val="center"/>
    </w:pPr>
    <w:rPr>
      <w:b/>
      <w:bCs/>
      <w:color w:val="FFFFFF"/>
      <w:sz w:val="18"/>
      <w:szCs w:val="18"/>
      <w:lang w:val="en-US"/>
    </w:rPr>
  </w:style>
  <w:style w:type="paragraph" w:customStyle="1" w:styleId="xl103">
    <w:name w:val="xl103"/>
    <w:basedOn w:val="Normal"/>
    <w:rsid w:val="003147B8"/>
    <w:pPr>
      <w:shd w:val="clear" w:color="000000" w:fill="0066CC"/>
      <w:spacing w:before="100" w:beforeAutospacing="1" w:after="100" w:afterAutospacing="1" w:line="240" w:lineRule="auto"/>
      <w:jc w:val="center"/>
      <w:textAlignment w:val="center"/>
    </w:pPr>
    <w:rPr>
      <w:b/>
      <w:bCs/>
      <w:color w:val="FFFFFF"/>
      <w:sz w:val="18"/>
      <w:szCs w:val="18"/>
      <w:lang w:val="en-US"/>
    </w:rPr>
  </w:style>
  <w:style w:type="paragraph" w:customStyle="1" w:styleId="xl104">
    <w:name w:val="xl104"/>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05">
    <w:name w:val="xl105"/>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06">
    <w:name w:val="xl106"/>
    <w:basedOn w:val="Normal"/>
    <w:rsid w:val="003147B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07">
    <w:name w:val="xl107"/>
    <w:basedOn w:val="Normal"/>
    <w:rsid w:val="003147B8"/>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n-US"/>
    </w:rPr>
  </w:style>
  <w:style w:type="paragraph" w:customStyle="1" w:styleId="xl108">
    <w:name w:val="xl108"/>
    <w:basedOn w:val="Normal"/>
    <w:rsid w:val="003147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color w:val="FF0000"/>
      <w:sz w:val="18"/>
      <w:szCs w:val="18"/>
      <w:lang w:val="en-US"/>
    </w:rPr>
  </w:style>
  <w:style w:type="paragraph" w:customStyle="1" w:styleId="xl109">
    <w:name w:val="xl109"/>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003366"/>
      <w:sz w:val="18"/>
      <w:szCs w:val="18"/>
      <w:lang w:val="en-US"/>
    </w:rPr>
  </w:style>
  <w:style w:type="paragraph" w:customStyle="1" w:styleId="xl110">
    <w:name w:val="xl110"/>
    <w:basedOn w:val="Normal"/>
    <w:rsid w:val="003147B8"/>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left"/>
      <w:textAlignment w:val="center"/>
    </w:pPr>
    <w:rPr>
      <w:sz w:val="18"/>
      <w:szCs w:val="18"/>
      <w:lang w:val="en-US"/>
    </w:rPr>
  </w:style>
  <w:style w:type="paragraph" w:customStyle="1" w:styleId="xl111">
    <w:name w:val="xl111"/>
    <w:basedOn w:val="Normal"/>
    <w:rsid w:val="003147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color w:val="FF0000"/>
      <w:sz w:val="18"/>
      <w:szCs w:val="18"/>
      <w:lang w:val="en-US"/>
    </w:rPr>
  </w:style>
  <w:style w:type="paragraph" w:customStyle="1" w:styleId="xl112">
    <w:name w:val="xl112"/>
    <w:basedOn w:val="Normal"/>
    <w:rsid w:val="003147B8"/>
    <w:pPr>
      <w:pBdr>
        <w:top w:val="single" w:sz="4" w:space="0" w:color="auto"/>
        <w:left w:val="single" w:sz="4" w:space="0" w:color="auto"/>
        <w:bottom w:val="single" w:sz="4" w:space="0" w:color="auto"/>
      </w:pBdr>
      <w:shd w:val="clear" w:color="000000" w:fill="CC99FF"/>
      <w:spacing w:before="100" w:beforeAutospacing="1" w:after="100" w:afterAutospacing="1" w:line="240" w:lineRule="auto"/>
      <w:jc w:val="right"/>
      <w:textAlignment w:val="center"/>
    </w:pPr>
    <w:rPr>
      <w:b/>
      <w:bCs/>
      <w:sz w:val="18"/>
      <w:szCs w:val="18"/>
      <w:lang w:val="en-US"/>
    </w:rPr>
  </w:style>
  <w:style w:type="paragraph" w:customStyle="1" w:styleId="xl113">
    <w:name w:val="xl113"/>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b/>
      <w:bCs/>
      <w:sz w:val="18"/>
      <w:szCs w:val="18"/>
      <w:lang w:val="en-US"/>
    </w:rPr>
  </w:style>
  <w:style w:type="paragraph" w:customStyle="1" w:styleId="xl114">
    <w:name w:val="xl114"/>
    <w:basedOn w:val="Normal"/>
    <w:rsid w:val="003147B8"/>
    <w:pPr>
      <w:pBdr>
        <w:top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center"/>
    </w:pPr>
    <w:rPr>
      <w:b/>
      <w:bCs/>
      <w:sz w:val="18"/>
      <w:szCs w:val="18"/>
      <w:lang w:val="en-US"/>
    </w:rPr>
  </w:style>
  <w:style w:type="paragraph" w:customStyle="1" w:styleId="xl115">
    <w:name w:val="xl115"/>
    <w:basedOn w:val="Normal"/>
    <w:rsid w:val="003147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16">
    <w:name w:val="xl116"/>
    <w:basedOn w:val="Normal"/>
    <w:rsid w:val="003147B8"/>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right"/>
      <w:textAlignment w:val="center"/>
    </w:pPr>
    <w:rPr>
      <w:sz w:val="18"/>
      <w:szCs w:val="18"/>
      <w:lang w:val="en-US"/>
    </w:rPr>
  </w:style>
  <w:style w:type="paragraph" w:customStyle="1" w:styleId="xl117">
    <w:name w:val="xl117"/>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left"/>
    </w:pPr>
    <w:rPr>
      <w:sz w:val="18"/>
      <w:szCs w:val="18"/>
      <w:lang w:val="en-US"/>
    </w:rPr>
  </w:style>
  <w:style w:type="paragraph" w:customStyle="1" w:styleId="xl118">
    <w:name w:val="xl118"/>
    <w:basedOn w:val="Normal"/>
    <w:rsid w:val="003147B8"/>
    <w:pPr>
      <w:spacing w:before="100" w:beforeAutospacing="1" w:after="100" w:afterAutospacing="1" w:line="240" w:lineRule="auto"/>
      <w:jc w:val="center"/>
      <w:textAlignment w:val="center"/>
    </w:pPr>
    <w:rPr>
      <w:sz w:val="18"/>
      <w:szCs w:val="18"/>
      <w:lang w:val="en-US"/>
    </w:rPr>
  </w:style>
  <w:style w:type="paragraph" w:customStyle="1" w:styleId="xl119">
    <w:name w:val="xl119"/>
    <w:basedOn w:val="Normal"/>
    <w:rsid w:val="003147B8"/>
    <w:pPr>
      <w:pBdr>
        <w:bottom w:val="single" w:sz="8" w:space="0" w:color="auto"/>
      </w:pBdr>
      <w:spacing w:before="100" w:beforeAutospacing="1" w:after="100" w:afterAutospacing="1" w:line="240" w:lineRule="auto"/>
      <w:jc w:val="center"/>
      <w:textAlignment w:val="center"/>
    </w:pPr>
    <w:rPr>
      <w:b/>
      <w:bCs/>
      <w:sz w:val="18"/>
      <w:szCs w:val="18"/>
      <w:lang w:val="en-US"/>
    </w:rPr>
  </w:style>
  <w:style w:type="paragraph" w:customStyle="1" w:styleId="xl120">
    <w:name w:val="xl120"/>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val="en-US"/>
    </w:rPr>
  </w:style>
  <w:style w:type="paragraph" w:customStyle="1" w:styleId="xl121">
    <w:name w:val="xl121"/>
    <w:basedOn w:val="Normal"/>
    <w:rsid w:val="003147B8"/>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18"/>
      <w:szCs w:val="18"/>
      <w:lang w:val="en-US"/>
    </w:rPr>
  </w:style>
  <w:style w:type="paragraph" w:customStyle="1" w:styleId="xl122">
    <w:name w:val="xl122"/>
    <w:basedOn w:val="Normal"/>
    <w:rsid w:val="003147B8"/>
    <w:pPr>
      <w:pBdr>
        <w:top w:val="single" w:sz="4" w:space="0" w:color="auto"/>
        <w:left w:val="single" w:sz="4" w:space="0" w:color="auto"/>
        <w:bottom w:val="single" w:sz="4" w:space="0" w:color="auto"/>
      </w:pBdr>
      <w:shd w:val="clear" w:color="000000" w:fill="CC99FF"/>
      <w:spacing w:before="100" w:beforeAutospacing="1" w:after="100" w:afterAutospacing="1" w:line="240" w:lineRule="auto"/>
      <w:jc w:val="center"/>
      <w:textAlignment w:val="center"/>
    </w:pPr>
    <w:rPr>
      <w:b/>
      <w:bCs/>
      <w:color w:val="003366"/>
      <w:sz w:val="18"/>
      <w:szCs w:val="18"/>
      <w:lang w:val="en-US"/>
    </w:rPr>
  </w:style>
  <w:style w:type="paragraph" w:customStyle="1" w:styleId="xl123">
    <w:name w:val="xl123"/>
    <w:basedOn w:val="Normal"/>
    <w:rsid w:val="003147B8"/>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left"/>
      <w:textAlignment w:val="center"/>
    </w:pPr>
    <w:rPr>
      <w:sz w:val="18"/>
      <w:szCs w:val="18"/>
      <w:lang w:val="en-US"/>
    </w:rPr>
  </w:style>
  <w:style w:type="paragraph" w:customStyle="1" w:styleId="xl124">
    <w:name w:val="xl124"/>
    <w:basedOn w:val="Normal"/>
    <w:rsid w:val="003147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25">
    <w:name w:val="xl125"/>
    <w:basedOn w:val="Normal"/>
    <w:rsid w:val="003147B8"/>
    <w:pPr>
      <w:pBdr>
        <w:top w:val="single" w:sz="8" w:space="0" w:color="auto"/>
        <w:left w:val="single" w:sz="4" w:space="0" w:color="auto"/>
        <w:bottom w:val="single" w:sz="4" w:space="0" w:color="auto"/>
      </w:pBdr>
      <w:shd w:val="clear" w:color="000000" w:fill="0066CC"/>
      <w:spacing w:before="100" w:beforeAutospacing="1" w:after="100" w:afterAutospacing="1" w:line="240" w:lineRule="auto"/>
      <w:jc w:val="center"/>
      <w:textAlignment w:val="center"/>
    </w:pPr>
    <w:rPr>
      <w:b/>
      <w:bCs/>
      <w:color w:val="FFFFFF"/>
      <w:sz w:val="18"/>
      <w:szCs w:val="18"/>
      <w:lang w:val="en-US"/>
    </w:rPr>
  </w:style>
  <w:style w:type="paragraph" w:customStyle="1" w:styleId="xl126">
    <w:name w:val="xl126"/>
    <w:basedOn w:val="Normal"/>
    <w:rsid w:val="003147B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val="en-US"/>
    </w:rPr>
  </w:style>
  <w:style w:type="paragraph" w:customStyle="1" w:styleId="xl127">
    <w:name w:val="xl127"/>
    <w:basedOn w:val="Normal"/>
    <w:rsid w:val="003147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val="en-US"/>
    </w:rPr>
  </w:style>
  <w:style w:type="paragraph" w:customStyle="1" w:styleId="xl152">
    <w:name w:val="xl152"/>
    <w:basedOn w:val="Normal"/>
    <w:rsid w:val="003147B8"/>
    <w:pPr>
      <w:pBdr>
        <w:top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center"/>
    </w:pPr>
    <w:rPr>
      <w:b/>
      <w:bCs/>
      <w:sz w:val="18"/>
      <w:szCs w:val="18"/>
      <w:lang w:val="en-US"/>
    </w:rPr>
  </w:style>
  <w:style w:type="paragraph" w:customStyle="1" w:styleId="xl153">
    <w:name w:val="xl153"/>
    <w:basedOn w:val="Normal"/>
    <w:rsid w:val="003147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54">
    <w:name w:val="xl154"/>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55">
    <w:name w:val="xl155"/>
    <w:basedOn w:val="Normal"/>
    <w:rsid w:val="003147B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56">
    <w:name w:val="xl156"/>
    <w:basedOn w:val="Normal"/>
    <w:rsid w:val="003147B8"/>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right"/>
      <w:textAlignment w:val="center"/>
    </w:pPr>
    <w:rPr>
      <w:sz w:val="18"/>
      <w:szCs w:val="18"/>
      <w:lang w:val="en-US"/>
    </w:rPr>
  </w:style>
  <w:style w:type="paragraph" w:customStyle="1" w:styleId="xl157">
    <w:name w:val="xl157"/>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sz w:val="18"/>
      <w:szCs w:val="18"/>
      <w:lang w:val="en-US"/>
    </w:rPr>
  </w:style>
  <w:style w:type="paragraph" w:customStyle="1" w:styleId="xl158">
    <w:name w:val="xl158"/>
    <w:basedOn w:val="Normal"/>
    <w:rsid w:val="003147B8"/>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center"/>
    </w:pPr>
    <w:rPr>
      <w:sz w:val="18"/>
      <w:szCs w:val="18"/>
      <w:lang w:val="en-US"/>
    </w:rPr>
  </w:style>
  <w:style w:type="paragraph" w:customStyle="1" w:styleId="xl159">
    <w:name w:val="xl159"/>
    <w:basedOn w:val="Normal"/>
    <w:rsid w:val="003147B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val="en-US"/>
    </w:rPr>
  </w:style>
  <w:style w:type="paragraph" w:customStyle="1" w:styleId="xl160">
    <w:name w:val="xl160"/>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sz w:val="18"/>
      <w:szCs w:val="18"/>
      <w:lang w:val="en-US"/>
    </w:rPr>
  </w:style>
  <w:style w:type="paragraph" w:customStyle="1" w:styleId="xl161">
    <w:name w:val="xl161"/>
    <w:basedOn w:val="Normal"/>
    <w:rsid w:val="003147B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val="en-US"/>
    </w:rPr>
  </w:style>
  <w:style w:type="paragraph" w:customStyle="1" w:styleId="xl162">
    <w:name w:val="xl162"/>
    <w:basedOn w:val="Normal"/>
    <w:rsid w:val="003147B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val="en-US"/>
    </w:rPr>
  </w:style>
  <w:style w:type="paragraph" w:customStyle="1" w:styleId="xl163">
    <w:name w:val="xl163"/>
    <w:basedOn w:val="Normal"/>
    <w:rsid w:val="003147B8"/>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sz w:val="18"/>
      <w:szCs w:val="18"/>
      <w:lang w:val="en-US"/>
    </w:rPr>
  </w:style>
  <w:style w:type="paragraph" w:customStyle="1" w:styleId="xl164">
    <w:name w:val="xl164"/>
    <w:basedOn w:val="Normal"/>
    <w:rsid w:val="003147B8"/>
    <w:pPr>
      <w:pBdr>
        <w:top w:val="single" w:sz="4" w:space="0" w:color="auto"/>
        <w:bottom w:val="single" w:sz="8" w:space="0" w:color="auto"/>
        <w:right w:val="single" w:sz="4" w:space="0" w:color="auto"/>
      </w:pBdr>
      <w:shd w:val="clear" w:color="000000" w:fill="3366FF"/>
      <w:spacing w:before="100" w:beforeAutospacing="1" w:after="100" w:afterAutospacing="1" w:line="240" w:lineRule="auto"/>
      <w:jc w:val="center"/>
      <w:textAlignment w:val="center"/>
    </w:pPr>
    <w:rPr>
      <w:b/>
      <w:bCs/>
      <w:color w:val="FFFFFF"/>
      <w:sz w:val="18"/>
      <w:szCs w:val="18"/>
      <w:lang w:val="en-US"/>
    </w:rPr>
  </w:style>
  <w:style w:type="paragraph" w:customStyle="1" w:styleId="xl165">
    <w:name w:val="xl165"/>
    <w:basedOn w:val="Normal"/>
    <w:rsid w:val="003147B8"/>
    <w:pPr>
      <w:pBdr>
        <w:top w:val="single" w:sz="4" w:space="0" w:color="auto"/>
        <w:bottom w:val="single" w:sz="8" w:space="0" w:color="auto"/>
      </w:pBdr>
      <w:shd w:val="clear" w:color="000000" w:fill="3366FF"/>
      <w:spacing w:before="100" w:beforeAutospacing="1" w:after="100" w:afterAutospacing="1" w:line="240" w:lineRule="auto"/>
      <w:jc w:val="center"/>
      <w:textAlignment w:val="center"/>
    </w:pPr>
    <w:rPr>
      <w:b/>
      <w:bCs/>
      <w:color w:val="FFFFFF"/>
      <w:sz w:val="18"/>
      <w:szCs w:val="18"/>
      <w:lang w:val="en-US"/>
    </w:rPr>
  </w:style>
  <w:style w:type="paragraph" w:customStyle="1" w:styleId="xl166">
    <w:name w:val="xl166"/>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b/>
      <w:bCs/>
      <w:color w:val="FFFFFF"/>
      <w:sz w:val="18"/>
      <w:szCs w:val="18"/>
      <w:lang w:val="en-US"/>
    </w:rPr>
  </w:style>
  <w:style w:type="paragraph" w:customStyle="1" w:styleId="xl167">
    <w:name w:val="xl167"/>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b/>
      <w:bCs/>
      <w:color w:val="FFFFFF"/>
      <w:sz w:val="18"/>
      <w:szCs w:val="18"/>
      <w:lang w:val="en-US"/>
    </w:rPr>
  </w:style>
  <w:style w:type="paragraph" w:customStyle="1" w:styleId="xl168">
    <w:name w:val="xl168"/>
    <w:basedOn w:val="Normal"/>
    <w:rsid w:val="003147B8"/>
    <w:pPr>
      <w:pBdr>
        <w:top w:val="single" w:sz="4" w:space="0" w:color="auto"/>
        <w:bottom w:val="single" w:sz="8" w:space="0" w:color="auto"/>
        <w:right w:val="single" w:sz="4" w:space="0" w:color="auto"/>
      </w:pBdr>
      <w:shd w:val="clear" w:color="000000" w:fill="3366FF"/>
      <w:spacing w:before="100" w:beforeAutospacing="1" w:after="100" w:afterAutospacing="1" w:line="240" w:lineRule="auto"/>
      <w:jc w:val="right"/>
      <w:textAlignment w:val="center"/>
    </w:pPr>
    <w:rPr>
      <w:b/>
      <w:bCs/>
      <w:color w:val="FFFFFF"/>
      <w:sz w:val="18"/>
      <w:szCs w:val="18"/>
      <w:lang w:val="en-US"/>
    </w:rPr>
  </w:style>
  <w:style w:type="paragraph" w:customStyle="1" w:styleId="xl169">
    <w:name w:val="xl169"/>
    <w:basedOn w:val="Normal"/>
    <w:rsid w:val="003147B8"/>
    <w:pPr>
      <w:pBdr>
        <w:top w:val="single" w:sz="4" w:space="0" w:color="auto"/>
        <w:bottom w:val="single" w:sz="8" w:space="0" w:color="auto"/>
        <w:right w:val="single" w:sz="4" w:space="0" w:color="auto"/>
      </w:pBdr>
      <w:shd w:val="clear" w:color="000000" w:fill="3366FF"/>
      <w:spacing w:before="100" w:beforeAutospacing="1" w:after="100" w:afterAutospacing="1" w:line="240" w:lineRule="auto"/>
      <w:jc w:val="right"/>
      <w:textAlignment w:val="center"/>
    </w:pPr>
    <w:rPr>
      <w:b/>
      <w:bCs/>
      <w:color w:val="FFFFFF"/>
      <w:sz w:val="18"/>
      <w:szCs w:val="18"/>
      <w:lang w:val="en-US"/>
    </w:rPr>
  </w:style>
  <w:style w:type="paragraph" w:customStyle="1" w:styleId="xl170">
    <w:name w:val="xl170"/>
    <w:basedOn w:val="Normal"/>
    <w:rsid w:val="003147B8"/>
    <w:pPr>
      <w:pBdr>
        <w:top w:val="single" w:sz="4" w:space="0" w:color="auto"/>
        <w:bottom w:val="single" w:sz="8" w:space="0" w:color="auto"/>
        <w:right w:val="single" w:sz="4" w:space="0" w:color="auto"/>
      </w:pBdr>
      <w:shd w:val="clear" w:color="000000" w:fill="CCC0DA"/>
      <w:spacing w:before="100" w:beforeAutospacing="1" w:after="100" w:afterAutospacing="1" w:line="240" w:lineRule="auto"/>
      <w:jc w:val="right"/>
      <w:textAlignment w:val="center"/>
    </w:pPr>
    <w:rPr>
      <w:b/>
      <w:bCs/>
      <w:color w:val="FFFFFF"/>
      <w:sz w:val="18"/>
      <w:szCs w:val="18"/>
      <w:lang w:val="en-US"/>
    </w:rPr>
  </w:style>
  <w:style w:type="paragraph" w:customStyle="1" w:styleId="xl171">
    <w:name w:val="xl171"/>
    <w:basedOn w:val="Normal"/>
    <w:rsid w:val="003147B8"/>
    <w:pPr>
      <w:shd w:val="clear" w:color="000000" w:fill="CCC0DA"/>
      <w:spacing w:before="100" w:beforeAutospacing="1" w:after="100" w:afterAutospacing="1" w:line="240" w:lineRule="auto"/>
      <w:jc w:val="left"/>
    </w:pPr>
    <w:rPr>
      <w:sz w:val="18"/>
      <w:szCs w:val="18"/>
      <w:lang w:val="en-US"/>
    </w:rPr>
  </w:style>
  <w:style w:type="paragraph" w:customStyle="1" w:styleId="xl172">
    <w:name w:val="xl172"/>
    <w:basedOn w:val="Normal"/>
    <w:rsid w:val="003147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sz w:val="18"/>
      <w:szCs w:val="18"/>
      <w:lang w:val="en-US"/>
    </w:rPr>
  </w:style>
  <w:style w:type="paragraph" w:customStyle="1" w:styleId="xl173">
    <w:name w:val="xl173"/>
    <w:basedOn w:val="Normal"/>
    <w:rsid w:val="003147B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left"/>
      <w:textAlignment w:val="center"/>
    </w:pPr>
    <w:rPr>
      <w:sz w:val="18"/>
      <w:szCs w:val="18"/>
      <w:lang w:val="en-US"/>
    </w:rPr>
  </w:style>
  <w:style w:type="paragraph" w:customStyle="1" w:styleId="xl174">
    <w:name w:val="xl174"/>
    <w:basedOn w:val="Normal"/>
    <w:rsid w:val="003147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n-US"/>
    </w:rPr>
  </w:style>
  <w:style w:type="paragraph" w:customStyle="1" w:styleId="xl175">
    <w:name w:val="xl175"/>
    <w:basedOn w:val="Normal"/>
    <w:rsid w:val="003147B8"/>
    <w:pPr>
      <w:spacing w:before="100" w:beforeAutospacing="1" w:after="100" w:afterAutospacing="1" w:line="240" w:lineRule="auto"/>
      <w:jc w:val="center"/>
      <w:textAlignment w:val="center"/>
    </w:pPr>
    <w:rPr>
      <w:sz w:val="18"/>
      <w:szCs w:val="18"/>
      <w:lang w:val="en-US"/>
    </w:rPr>
  </w:style>
  <w:style w:type="paragraph" w:customStyle="1" w:styleId="xl176">
    <w:name w:val="xl176"/>
    <w:basedOn w:val="Normal"/>
    <w:rsid w:val="003147B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77">
    <w:name w:val="xl177"/>
    <w:basedOn w:val="Normal"/>
    <w:rsid w:val="003147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78">
    <w:name w:val="xl178"/>
    <w:basedOn w:val="Normal"/>
    <w:rsid w:val="003147B8"/>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jc w:val="left"/>
      <w:textAlignment w:val="center"/>
    </w:pPr>
    <w:rPr>
      <w:sz w:val="18"/>
      <w:szCs w:val="18"/>
      <w:lang w:val="en-US"/>
    </w:rPr>
  </w:style>
  <w:style w:type="paragraph" w:customStyle="1" w:styleId="xl179">
    <w:name w:val="xl179"/>
    <w:basedOn w:val="Normal"/>
    <w:rsid w:val="003147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180">
    <w:name w:val="xl180"/>
    <w:basedOn w:val="Normal"/>
    <w:rsid w:val="003147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sz w:val="18"/>
      <w:szCs w:val="18"/>
      <w:lang w:val="en-US"/>
    </w:rPr>
  </w:style>
  <w:style w:type="paragraph" w:customStyle="1" w:styleId="xl181">
    <w:name w:val="xl181"/>
    <w:basedOn w:val="Normal"/>
    <w:rsid w:val="003147B8"/>
    <w:pPr>
      <w:pBdr>
        <w:top w:val="single" w:sz="4" w:space="0" w:color="auto"/>
        <w:left w:val="single" w:sz="8" w:space="0" w:color="auto"/>
        <w:bottom w:val="single" w:sz="4" w:space="0" w:color="auto"/>
        <w:right w:val="single" w:sz="8" w:space="0" w:color="auto"/>
      </w:pBdr>
      <w:shd w:val="clear" w:color="000000" w:fill="CC99FF"/>
      <w:spacing w:before="100" w:beforeAutospacing="1" w:after="100" w:afterAutospacing="1" w:line="240" w:lineRule="auto"/>
      <w:jc w:val="right"/>
      <w:textAlignment w:val="center"/>
    </w:pPr>
    <w:rPr>
      <w:b/>
      <w:bCs/>
      <w:sz w:val="18"/>
      <w:szCs w:val="18"/>
      <w:lang w:val="en-US"/>
    </w:rPr>
  </w:style>
  <w:style w:type="paragraph" w:customStyle="1" w:styleId="xl182">
    <w:name w:val="xl182"/>
    <w:basedOn w:val="Normal"/>
    <w:rsid w:val="003147B8"/>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jc w:val="left"/>
      <w:textAlignment w:val="center"/>
    </w:pPr>
    <w:rPr>
      <w:sz w:val="18"/>
      <w:szCs w:val="18"/>
      <w:lang w:val="en-US"/>
    </w:rPr>
  </w:style>
  <w:style w:type="paragraph" w:customStyle="1" w:styleId="xl183">
    <w:name w:val="xl183"/>
    <w:basedOn w:val="Normal"/>
    <w:rsid w:val="003147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sz w:val="18"/>
      <w:szCs w:val="18"/>
      <w:lang w:val="en-US"/>
    </w:rPr>
  </w:style>
  <w:style w:type="paragraph" w:customStyle="1" w:styleId="xl184">
    <w:name w:val="xl184"/>
    <w:basedOn w:val="Normal"/>
    <w:rsid w:val="003147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sz w:val="18"/>
      <w:szCs w:val="18"/>
      <w:lang w:val="en-US"/>
    </w:rPr>
  </w:style>
  <w:style w:type="paragraph" w:customStyle="1" w:styleId="xl185">
    <w:name w:val="xl185"/>
    <w:basedOn w:val="Normal"/>
    <w:rsid w:val="003147B8"/>
    <w:pPr>
      <w:pBdr>
        <w:top w:val="single" w:sz="4" w:space="0" w:color="auto"/>
        <w:left w:val="single" w:sz="8" w:space="0" w:color="auto"/>
        <w:bottom w:val="single" w:sz="8" w:space="0" w:color="auto"/>
        <w:right w:val="single" w:sz="8" w:space="0" w:color="auto"/>
      </w:pBdr>
      <w:shd w:val="clear" w:color="000000" w:fill="3366FF"/>
      <w:spacing w:before="100" w:beforeAutospacing="1" w:after="100" w:afterAutospacing="1" w:line="240" w:lineRule="auto"/>
      <w:jc w:val="right"/>
      <w:textAlignment w:val="center"/>
    </w:pPr>
    <w:rPr>
      <w:b/>
      <w:bCs/>
      <w:color w:val="FFFFFF"/>
      <w:sz w:val="18"/>
      <w:szCs w:val="18"/>
      <w:lang w:val="en-US"/>
    </w:rPr>
  </w:style>
  <w:style w:type="paragraph" w:customStyle="1" w:styleId="xl186">
    <w:name w:val="xl186"/>
    <w:basedOn w:val="Normal"/>
    <w:rsid w:val="003147B8"/>
    <w:pPr>
      <w:pBdr>
        <w:bottom w:val="single" w:sz="8" w:space="0" w:color="auto"/>
      </w:pBdr>
      <w:spacing w:before="100" w:beforeAutospacing="1" w:after="100" w:afterAutospacing="1" w:line="240" w:lineRule="auto"/>
      <w:jc w:val="center"/>
      <w:textAlignment w:val="center"/>
    </w:pPr>
    <w:rPr>
      <w:b/>
      <w:bCs/>
      <w:sz w:val="18"/>
      <w:szCs w:val="18"/>
      <w:lang w:val="en-US"/>
    </w:rPr>
  </w:style>
  <w:style w:type="paragraph" w:customStyle="1" w:styleId="xl187">
    <w:name w:val="xl187"/>
    <w:basedOn w:val="Normal"/>
    <w:rsid w:val="003147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val="en-US"/>
    </w:rPr>
  </w:style>
  <w:style w:type="paragraph" w:customStyle="1" w:styleId="xl188">
    <w:name w:val="xl188"/>
    <w:basedOn w:val="Normal"/>
    <w:rsid w:val="003147B8"/>
    <w:pPr>
      <w:pBdr>
        <w:left w:val="single" w:sz="4" w:space="0" w:color="auto"/>
      </w:pBdr>
      <w:spacing w:before="100" w:beforeAutospacing="1" w:after="100" w:afterAutospacing="1" w:line="240" w:lineRule="auto"/>
      <w:jc w:val="center"/>
      <w:textAlignment w:val="center"/>
    </w:pPr>
    <w:rPr>
      <w:sz w:val="18"/>
      <w:szCs w:val="18"/>
      <w:lang w:val="en-US"/>
    </w:rPr>
  </w:style>
  <w:style w:type="paragraph" w:customStyle="1" w:styleId="xl189">
    <w:name w:val="xl189"/>
    <w:basedOn w:val="Normal"/>
    <w:rsid w:val="003147B8"/>
    <w:pPr>
      <w:shd w:val="clear" w:color="000000" w:fill="CCC0DA"/>
      <w:spacing w:before="100" w:beforeAutospacing="1" w:after="100" w:afterAutospacing="1" w:line="240" w:lineRule="auto"/>
      <w:jc w:val="center"/>
      <w:textAlignment w:val="center"/>
    </w:pPr>
    <w:rPr>
      <w:b/>
      <w:bCs/>
      <w:color w:val="FFFFFF"/>
      <w:sz w:val="18"/>
      <w:szCs w:val="18"/>
      <w:lang w:val="en-US"/>
    </w:rPr>
  </w:style>
  <w:style w:type="paragraph" w:customStyle="1" w:styleId="xl190">
    <w:name w:val="xl190"/>
    <w:basedOn w:val="Normal"/>
    <w:rsid w:val="003147B8"/>
    <w:pPr>
      <w:shd w:val="clear" w:color="000000" w:fill="538ED5"/>
      <w:spacing w:before="100" w:beforeAutospacing="1" w:after="100" w:afterAutospacing="1" w:line="240" w:lineRule="auto"/>
      <w:jc w:val="center"/>
      <w:textAlignment w:val="center"/>
    </w:pPr>
    <w:rPr>
      <w:b/>
      <w:bCs/>
      <w:color w:val="FFFFFF"/>
      <w:sz w:val="18"/>
      <w:szCs w:val="18"/>
      <w:lang w:val="en-US"/>
    </w:rPr>
  </w:style>
  <w:style w:type="paragraph" w:customStyle="1" w:styleId="xl191">
    <w:name w:val="xl191"/>
    <w:basedOn w:val="Normal"/>
    <w:rsid w:val="003147B8"/>
    <w:pPr>
      <w:shd w:val="clear" w:color="000000" w:fill="CCC0DA"/>
      <w:spacing w:before="100" w:beforeAutospacing="1" w:after="100" w:afterAutospacing="1" w:line="240" w:lineRule="auto"/>
      <w:jc w:val="center"/>
      <w:textAlignment w:val="center"/>
    </w:pPr>
    <w:rPr>
      <w:sz w:val="18"/>
      <w:szCs w:val="18"/>
      <w:lang w:val="en-US"/>
    </w:rPr>
  </w:style>
  <w:style w:type="paragraph" w:customStyle="1" w:styleId="xl192">
    <w:name w:val="xl192"/>
    <w:basedOn w:val="Normal"/>
    <w:rsid w:val="003147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color w:val="FF0000"/>
      <w:sz w:val="18"/>
      <w:szCs w:val="18"/>
      <w:lang w:val="en-US"/>
    </w:rPr>
  </w:style>
  <w:style w:type="paragraph" w:customStyle="1" w:styleId="xl193">
    <w:name w:val="xl193"/>
    <w:basedOn w:val="Normal"/>
    <w:rsid w:val="003147B8"/>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b/>
      <w:bCs/>
      <w:sz w:val="16"/>
      <w:szCs w:val="16"/>
      <w:lang w:val="en-US"/>
    </w:rPr>
  </w:style>
  <w:style w:type="paragraph" w:customStyle="1" w:styleId="xl194">
    <w:name w:val="xl194"/>
    <w:basedOn w:val="Normal"/>
    <w:rsid w:val="003147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color w:val="FF0000"/>
      <w:sz w:val="18"/>
      <w:szCs w:val="18"/>
      <w:lang w:val="en-US"/>
    </w:rPr>
  </w:style>
  <w:style w:type="paragraph" w:customStyle="1" w:styleId="xl195">
    <w:name w:val="xl195"/>
    <w:basedOn w:val="Normal"/>
    <w:rsid w:val="003147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left"/>
      <w:textAlignment w:val="center"/>
    </w:pPr>
    <w:rPr>
      <w:color w:val="FF0000"/>
      <w:sz w:val="18"/>
      <w:szCs w:val="18"/>
      <w:lang w:val="en-US"/>
    </w:rPr>
  </w:style>
  <w:style w:type="paragraph" w:customStyle="1" w:styleId="xl196">
    <w:name w:val="xl196"/>
    <w:basedOn w:val="Normal"/>
    <w:rsid w:val="003147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color w:val="FF0000"/>
      <w:sz w:val="18"/>
      <w:szCs w:val="18"/>
      <w:lang w:val="en-US"/>
    </w:rPr>
  </w:style>
  <w:style w:type="paragraph" w:customStyle="1" w:styleId="xl197">
    <w:name w:val="xl197"/>
    <w:basedOn w:val="Normal"/>
    <w:rsid w:val="003147B8"/>
    <w:pPr>
      <w:shd w:val="clear" w:color="000000" w:fill="FF0000"/>
      <w:spacing w:before="100" w:beforeAutospacing="1" w:after="100" w:afterAutospacing="1" w:line="240" w:lineRule="auto"/>
      <w:jc w:val="left"/>
    </w:pPr>
    <w:rPr>
      <w:sz w:val="18"/>
      <w:szCs w:val="18"/>
      <w:lang w:val="en-US"/>
    </w:rPr>
  </w:style>
  <w:style w:type="paragraph" w:customStyle="1" w:styleId="xl198">
    <w:name w:val="xl198"/>
    <w:basedOn w:val="Normal"/>
    <w:rsid w:val="003147B8"/>
    <w:pPr>
      <w:shd w:val="clear" w:color="000000" w:fill="FF0000"/>
      <w:spacing w:before="100" w:beforeAutospacing="1" w:after="100" w:afterAutospacing="1" w:line="240" w:lineRule="auto"/>
      <w:jc w:val="left"/>
    </w:pPr>
    <w:rPr>
      <w:color w:val="FF0000"/>
      <w:sz w:val="18"/>
      <w:szCs w:val="18"/>
      <w:lang w:val="en-US"/>
    </w:rPr>
  </w:style>
  <w:style w:type="paragraph" w:customStyle="1" w:styleId="xl199">
    <w:name w:val="xl199"/>
    <w:basedOn w:val="Normal"/>
    <w:rsid w:val="003147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b/>
      <w:bCs/>
      <w:color w:val="FF0000"/>
      <w:sz w:val="18"/>
      <w:szCs w:val="18"/>
      <w:lang w:val="en-US"/>
    </w:rPr>
  </w:style>
  <w:style w:type="paragraph" w:customStyle="1" w:styleId="xl200">
    <w:name w:val="xl200"/>
    <w:basedOn w:val="Normal"/>
    <w:rsid w:val="003147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sz w:val="18"/>
      <w:szCs w:val="18"/>
      <w:lang w:val="en-US"/>
    </w:rPr>
  </w:style>
  <w:style w:type="paragraph" w:customStyle="1" w:styleId="xl201">
    <w:name w:val="xl201"/>
    <w:basedOn w:val="Normal"/>
    <w:rsid w:val="003147B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sz w:val="18"/>
      <w:szCs w:val="18"/>
      <w:lang w:val="en-US"/>
    </w:rPr>
  </w:style>
  <w:style w:type="paragraph" w:customStyle="1" w:styleId="xl202">
    <w:name w:val="xl202"/>
    <w:basedOn w:val="Normal"/>
    <w:rsid w:val="003147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left"/>
      <w:textAlignment w:val="center"/>
    </w:pPr>
    <w:rPr>
      <w:sz w:val="18"/>
      <w:szCs w:val="18"/>
      <w:lang w:val="en-US"/>
    </w:rPr>
  </w:style>
  <w:style w:type="paragraph" w:customStyle="1" w:styleId="xl203">
    <w:name w:val="xl203"/>
    <w:basedOn w:val="Normal"/>
    <w:rsid w:val="003147B8"/>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sz w:val="18"/>
      <w:szCs w:val="18"/>
      <w:lang w:val="en-US"/>
    </w:rPr>
  </w:style>
  <w:style w:type="paragraph" w:customStyle="1" w:styleId="xl204">
    <w:name w:val="xl204"/>
    <w:basedOn w:val="Normal"/>
    <w:rsid w:val="003147B8"/>
    <w:pPr>
      <w:pBdr>
        <w:top w:val="single" w:sz="4" w:space="0" w:color="auto"/>
        <w:left w:val="single" w:sz="4" w:space="0" w:color="auto"/>
        <w:bottom w:val="single" w:sz="4" w:space="0" w:color="auto"/>
      </w:pBdr>
      <w:shd w:val="clear" w:color="000000" w:fill="CC99FF"/>
      <w:spacing w:before="100" w:beforeAutospacing="1" w:after="100" w:afterAutospacing="1" w:line="240" w:lineRule="auto"/>
      <w:jc w:val="center"/>
      <w:textAlignment w:val="center"/>
    </w:pPr>
    <w:rPr>
      <w:b/>
      <w:bCs/>
      <w:color w:val="003366"/>
      <w:sz w:val="18"/>
      <w:szCs w:val="18"/>
      <w:lang w:val="en-US"/>
    </w:rPr>
  </w:style>
  <w:style w:type="paragraph" w:customStyle="1" w:styleId="xl205">
    <w:name w:val="xl205"/>
    <w:basedOn w:val="Normal"/>
    <w:rsid w:val="003147B8"/>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left"/>
      <w:textAlignment w:val="center"/>
    </w:pPr>
    <w:rPr>
      <w:sz w:val="18"/>
      <w:szCs w:val="18"/>
      <w:lang w:val="en-US"/>
    </w:rPr>
  </w:style>
  <w:style w:type="paragraph" w:customStyle="1" w:styleId="xl206">
    <w:name w:val="xl206"/>
    <w:basedOn w:val="Normal"/>
    <w:rsid w:val="003147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sz w:val="18"/>
      <w:szCs w:val="18"/>
      <w:lang w:val="en-US"/>
    </w:rPr>
  </w:style>
  <w:style w:type="paragraph" w:customStyle="1" w:styleId="xl207">
    <w:name w:val="xl207"/>
    <w:basedOn w:val="Normal"/>
    <w:rsid w:val="003147B8"/>
    <w:pPr>
      <w:pBdr>
        <w:top w:val="single" w:sz="4" w:space="0" w:color="auto"/>
        <w:left w:val="single" w:sz="4" w:space="0" w:color="auto"/>
        <w:bottom w:val="single" w:sz="8" w:space="0" w:color="auto"/>
      </w:pBdr>
      <w:shd w:val="clear" w:color="000000" w:fill="3366FF"/>
      <w:spacing w:before="100" w:beforeAutospacing="1" w:after="100" w:afterAutospacing="1" w:line="240" w:lineRule="auto"/>
      <w:jc w:val="center"/>
      <w:textAlignment w:val="center"/>
    </w:pPr>
    <w:rPr>
      <w:b/>
      <w:bCs/>
      <w:color w:val="FFFFFF"/>
      <w:sz w:val="18"/>
      <w:szCs w:val="18"/>
      <w:lang w:val="en-US"/>
    </w:rPr>
  </w:style>
  <w:style w:type="paragraph" w:customStyle="1" w:styleId="xl208">
    <w:name w:val="xl208"/>
    <w:basedOn w:val="Normal"/>
    <w:rsid w:val="003147B8"/>
    <w:pPr>
      <w:pBdr>
        <w:top w:val="single" w:sz="8" w:space="0" w:color="auto"/>
        <w:left w:val="single" w:sz="4" w:space="0" w:color="auto"/>
        <w:bottom w:val="single" w:sz="4" w:space="0" w:color="auto"/>
      </w:pBdr>
      <w:shd w:val="clear" w:color="000000" w:fill="0066CC"/>
      <w:spacing w:before="100" w:beforeAutospacing="1" w:after="100" w:afterAutospacing="1" w:line="240" w:lineRule="auto"/>
      <w:jc w:val="center"/>
      <w:textAlignment w:val="center"/>
    </w:pPr>
    <w:rPr>
      <w:b/>
      <w:bCs/>
      <w:color w:val="FFFFFF"/>
      <w:sz w:val="18"/>
      <w:szCs w:val="18"/>
      <w:lang w:val="en-US"/>
    </w:rPr>
  </w:style>
  <w:style w:type="paragraph" w:customStyle="1" w:styleId="xl209">
    <w:name w:val="xl209"/>
    <w:basedOn w:val="Normal"/>
    <w:rsid w:val="003147B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val="en-US"/>
    </w:rPr>
  </w:style>
  <w:style w:type="paragraph" w:customStyle="1" w:styleId="xl210">
    <w:name w:val="xl210"/>
    <w:basedOn w:val="Normal"/>
    <w:rsid w:val="003147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val="en-US"/>
    </w:rPr>
  </w:style>
  <w:style w:type="paragraph" w:customStyle="1" w:styleId="xl211">
    <w:name w:val="xl211"/>
    <w:basedOn w:val="Normal"/>
    <w:rsid w:val="003147B8"/>
    <w:pPr>
      <w:pBdr>
        <w:top w:val="single" w:sz="8" w:space="0" w:color="auto"/>
        <w:bottom w:val="single" w:sz="4" w:space="0" w:color="auto"/>
        <w:right w:val="single" w:sz="4" w:space="0" w:color="auto"/>
      </w:pBdr>
      <w:shd w:val="clear" w:color="000000" w:fill="0066CC"/>
      <w:spacing w:before="100" w:beforeAutospacing="1" w:after="100" w:afterAutospacing="1" w:line="240" w:lineRule="auto"/>
      <w:jc w:val="center"/>
      <w:textAlignment w:val="center"/>
    </w:pPr>
    <w:rPr>
      <w:b/>
      <w:bCs/>
      <w:color w:val="FFFFFF"/>
      <w:sz w:val="18"/>
      <w:szCs w:val="18"/>
      <w:lang w:val="en-US"/>
    </w:rPr>
  </w:style>
  <w:style w:type="paragraph" w:customStyle="1" w:styleId="xl212">
    <w:name w:val="xl212"/>
    <w:basedOn w:val="Normal"/>
    <w:rsid w:val="003147B8"/>
    <w:pPr>
      <w:pBdr>
        <w:left w:val="single" w:sz="4" w:space="0" w:color="auto"/>
      </w:pBdr>
      <w:shd w:val="clear" w:color="000000" w:fill="0066CC"/>
      <w:spacing w:before="100" w:beforeAutospacing="1" w:after="100" w:afterAutospacing="1" w:line="240" w:lineRule="auto"/>
      <w:jc w:val="center"/>
      <w:textAlignment w:val="center"/>
    </w:pPr>
    <w:rPr>
      <w:b/>
      <w:bCs/>
      <w:color w:val="FFFFFF"/>
      <w:sz w:val="18"/>
      <w:szCs w:val="18"/>
      <w:lang w:val="en-US"/>
    </w:rPr>
  </w:style>
  <w:style w:type="paragraph" w:styleId="List2">
    <w:name w:val="List 2"/>
    <w:basedOn w:val="Normal"/>
    <w:rsid w:val="003147B8"/>
    <w:pPr>
      <w:spacing w:after="120" w:line="240" w:lineRule="auto"/>
      <w:ind w:left="720" w:hanging="360"/>
      <w:jc w:val="left"/>
    </w:pPr>
    <w:rPr>
      <w:rFonts w:ascii="Arial" w:hAnsi="Arial"/>
      <w:sz w:val="20"/>
      <w:szCs w:val="20"/>
    </w:rPr>
  </w:style>
  <w:style w:type="paragraph" w:customStyle="1" w:styleId="bullet1">
    <w:name w:val="bullet1"/>
    <w:basedOn w:val="Normal"/>
    <w:rsid w:val="003147B8"/>
    <w:pPr>
      <w:spacing w:before="80" w:after="80" w:line="240" w:lineRule="auto"/>
      <w:ind w:left="1267" w:hanging="360"/>
      <w:jc w:val="left"/>
    </w:pPr>
    <w:rPr>
      <w:rFonts w:ascii="Arial" w:hAnsi="Arial"/>
      <w:sz w:val="20"/>
      <w:szCs w:val="20"/>
      <w:lang w:val="en-US"/>
    </w:rPr>
  </w:style>
  <w:style w:type="paragraph" w:customStyle="1" w:styleId="Tablefont">
    <w:name w:val="Table font"/>
    <w:basedOn w:val="ListNumber5"/>
    <w:rsid w:val="003147B8"/>
  </w:style>
  <w:style w:type="paragraph" w:styleId="ListNumber5">
    <w:name w:val="List Number 5"/>
    <w:basedOn w:val="Normal"/>
    <w:rsid w:val="003147B8"/>
    <w:pPr>
      <w:tabs>
        <w:tab w:val="num" w:pos="360"/>
      </w:tabs>
      <w:spacing w:after="120" w:line="240" w:lineRule="auto"/>
      <w:ind w:left="360" w:hanging="360"/>
      <w:jc w:val="left"/>
    </w:pPr>
    <w:rPr>
      <w:rFonts w:ascii="Arial" w:hAnsi="Arial"/>
      <w:sz w:val="20"/>
      <w:szCs w:val="20"/>
    </w:rPr>
  </w:style>
  <w:style w:type="paragraph" w:customStyle="1" w:styleId="EYparach8">
    <w:name w:val="EY para ch 8"/>
    <w:rsid w:val="003147B8"/>
    <w:pPr>
      <w:tabs>
        <w:tab w:val="num" w:pos="720"/>
      </w:tabs>
      <w:spacing w:after="360" w:line="280" w:lineRule="atLeast"/>
      <w:ind w:left="720" w:hanging="720"/>
      <w:jc w:val="both"/>
    </w:pPr>
    <w:rPr>
      <w:rFonts w:ascii="Arial" w:hAnsi="Arial"/>
      <w:sz w:val="22"/>
    </w:rPr>
  </w:style>
  <w:style w:type="paragraph" w:styleId="BodyText3">
    <w:name w:val="Body Text 3"/>
    <w:basedOn w:val="Normal"/>
    <w:link w:val="BodyText3Char"/>
    <w:rsid w:val="003147B8"/>
    <w:pPr>
      <w:spacing w:after="120" w:line="240" w:lineRule="auto"/>
      <w:jc w:val="left"/>
    </w:pPr>
    <w:rPr>
      <w:rFonts w:ascii="Arial" w:hAnsi="Arial"/>
      <w:sz w:val="16"/>
      <w:szCs w:val="16"/>
    </w:rPr>
  </w:style>
  <w:style w:type="character" w:customStyle="1" w:styleId="BodyText3Char">
    <w:name w:val="Body Text 3 Char"/>
    <w:basedOn w:val="DefaultParagraphFont"/>
    <w:link w:val="BodyText3"/>
    <w:rsid w:val="003147B8"/>
    <w:rPr>
      <w:rFonts w:ascii="Arial" w:hAnsi="Arial"/>
      <w:sz w:val="16"/>
      <w:szCs w:val="16"/>
      <w:lang w:val="en-GB"/>
    </w:rPr>
  </w:style>
  <w:style w:type="character" w:customStyle="1" w:styleId="Quick">
    <w:name w:val="Quick"/>
    <w:rsid w:val="003147B8"/>
  </w:style>
  <w:style w:type="paragraph" w:customStyle="1" w:styleId="Heading40">
    <w:name w:val="Heading4"/>
    <w:basedOn w:val="Normal"/>
    <w:rsid w:val="003147B8"/>
    <w:pPr>
      <w:spacing w:before="0" w:line="240" w:lineRule="auto"/>
      <w:ind w:left="1267" w:hanging="360"/>
      <w:outlineLvl w:val="0"/>
    </w:pPr>
    <w:rPr>
      <w:rFonts w:ascii="Arial" w:hAnsi="Arial"/>
      <w:b/>
      <w:sz w:val="28"/>
      <w:szCs w:val="28"/>
      <w:lang w:val="en-US"/>
    </w:rPr>
  </w:style>
  <w:style w:type="paragraph" w:styleId="ListBullet">
    <w:name w:val="List Bullet"/>
    <w:basedOn w:val="Normal"/>
    <w:autoRedefine/>
    <w:rsid w:val="003147B8"/>
    <w:pPr>
      <w:tabs>
        <w:tab w:val="num" w:pos="360"/>
        <w:tab w:val="left" w:pos="1260"/>
        <w:tab w:val="left" w:pos="2970"/>
        <w:tab w:val="left" w:pos="3060"/>
      </w:tabs>
      <w:spacing w:after="180" w:line="240" w:lineRule="auto"/>
      <w:ind w:left="360" w:hanging="360"/>
      <w:jc w:val="left"/>
    </w:pPr>
    <w:rPr>
      <w:rFonts w:ascii="Arial" w:hAnsi="Arial"/>
      <w:sz w:val="20"/>
      <w:szCs w:val="20"/>
      <w:lang w:val="en-US"/>
    </w:rPr>
  </w:style>
  <w:style w:type="paragraph" w:customStyle="1" w:styleId="Bullet2">
    <w:name w:val="Bullet 2"/>
    <w:rsid w:val="003147B8"/>
    <w:pPr>
      <w:tabs>
        <w:tab w:val="left" w:pos="360"/>
        <w:tab w:val="num" w:pos="2160"/>
        <w:tab w:val="left" w:pos="2880"/>
        <w:tab w:val="left" w:pos="4320"/>
        <w:tab w:val="left" w:pos="5775"/>
        <w:tab w:val="left" w:pos="7200"/>
        <w:tab w:val="left" w:pos="8640"/>
        <w:tab w:val="right" w:pos="10425"/>
      </w:tabs>
      <w:spacing w:before="120"/>
      <w:ind w:left="2160" w:hanging="720"/>
      <w:jc w:val="both"/>
    </w:pPr>
    <w:rPr>
      <w:snapToGrid w:val="0"/>
      <w:color w:val="000000"/>
      <w:sz w:val="22"/>
    </w:rPr>
  </w:style>
  <w:style w:type="paragraph" w:customStyle="1" w:styleId="ReportMainTitle">
    <w:name w:val="Report Main Title"/>
    <w:basedOn w:val="Normal"/>
    <w:rsid w:val="003147B8"/>
    <w:pPr>
      <w:tabs>
        <w:tab w:val="num" w:pos="2880"/>
      </w:tabs>
      <w:spacing w:after="120" w:line="240" w:lineRule="auto"/>
      <w:ind w:left="2880" w:hanging="720"/>
      <w:jc w:val="left"/>
    </w:pPr>
    <w:rPr>
      <w:rFonts w:ascii="Arial" w:hAnsi="Arial"/>
      <w:sz w:val="20"/>
      <w:szCs w:val="20"/>
    </w:rPr>
  </w:style>
  <w:style w:type="paragraph" w:styleId="ListBullet2">
    <w:name w:val="List Bullet 2"/>
    <w:basedOn w:val="Normal"/>
    <w:autoRedefine/>
    <w:rsid w:val="003147B8"/>
    <w:pPr>
      <w:tabs>
        <w:tab w:val="num" w:pos="720"/>
      </w:tabs>
      <w:spacing w:after="120" w:line="240" w:lineRule="auto"/>
      <w:ind w:left="720" w:hanging="360"/>
      <w:jc w:val="left"/>
    </w:pPr>
    <w:rPr>
      <w:rFonts w:ascii="Arial" w:hAnsi="Arial"/>
      <w:sz w:val="20"/>
      <w:szCs w:val="20"/>
    </w:rPr>
  </w:style>
  <w:style w:type="paragraph" w:styleId="ListBullet3">
    <w:name w:val="List Bullet 3"/>
    <w:basedOn w:val="Normal"/>
    <w:autoRedefine/>
    <w:rsid w:val="003147B8"/>
    <w:pPr>
      <w:tabs>
        <w:tab w:val="num" w:pos="1080"/>
      </w:tabs>
      <w:spacing w:after="120" w:line="240" w:lineRule="auto"/>
      <w:ind w:left="1080" w:hanging="360"/>
      <w:jc w:val="left"/>
    </w:pPr>
    <w:rPr>
      <w:rFonts w:ascii="Arial" w:hAnsi="Arial"/>
      <w:sz w:val="20"/>
      <w:szCs w:val="20"/>
    </w:rPr>
  </w:style>
  <w:style w:type="paragraph" w:styleId="ListBullet4">
    <w:name w:val="List Bullet 4"/>
    <w:basedOn w:val="Normal"/>
    <w:autoRedefine/>
    <w:rsid w:val="003147B8"/>
    <w:pPr>
      <w:tabs>
        <w:tab w:val="num" w:pos="1440"/>
      </w:tabs>
      <w:spacing w:after="120" w:line="240" w:lineRule="auto"/>
      <w:ind w:left="1440" w:hanging="360"/>
      <w:jc w:val="left"/>
    </w:pPr>
    <w:rPr>
      <w:rFonts w:ascii="Arial" w:hAnsi="Arial"/>
      <w:sz w:val="20"/>
      <w:szCs w:val="20"/>
    </w:rPr>
  </w:style>
  <w:style w:type="paragraph" w:styleId="ListBullet5">
    <w:name w:val="List Bullet 5"/>
    <w:basedOn w:val="Normal"/>
    <w:autoRedefine/>
    <w:rsid w:val="003147B8"/>
    <w:pPr>
      <w:tabs>
        <w:tab w:val="num" w:pos="1800"/>
      </w:tabs>
      <w:spacing w:after="120" w:line="240" w:lineRule="auto"/>
      <w:ind w:left="1800" w:hanging="360"/>
      <w:jc w:val="left"/>
    </w:pPr>
    <w:rPr>
      <w:rFonts w:ascii="Arial" w:hAnsi="Arial"/>
      <w:sz w:val="20"/>
      <w:szCs w:val="20"/>
    </w:rPr>
  </w:style>
  <w:style w:type="paragraph" w:styleId="ListNumber2">
    <w:name w:val="List Number 2"/>
    <w:basedOn w:val="Normal"/>
    <w:rsid w:val="003147B8"/>
    <w:pPr>
      <w:tabs>
        <w:tab w:val="num" w:pos="720"/>
      </w:tabs>
      <w:spacing w:after="120" w:line="240" w:lineRule="auto"/>
      <w:ind w:left="720" w:hanging="360"/>
      <w:jc w:val="left"/>
    </w:pPr>
    <w:rPr>
      <w:rFonts w:ascii="Arial" w:hAnsi="Arial"/>
      <w:sz w:val="20"/>
      <w:szCs w:val="20"/>
    </w:rPr>
  </w:style>
  <w:style w:type="paragraph" w:styleId="ListNumber3">
    <w:name w:val="List Number 3"/>
    <w:basedOn w:val="Normal"/>
    <w:rsid w:val="003147B8"/>
    <w:pPr>
      <w:tabs>
        <w:tab w:val="num" w:pos="1080"/>
      </w:tabs>
      <w:spacing w:after="120" w:line="240" w:lineRule="auto"/>
      <w:ind w:left="1080" w:hanging="360"/>
      <w:jc w:val="left"/>
    </w:pPr>
    <w:rPr>
      <w:rFonts w:ascii="Arial" w:hAnsi="Arial"/>
      <w:sz w:val="20"/>
      <w:szCs w:val="20"/>
    </w:rPr>
  </w:style>
  <w:style w:type="paragraph" w:styleId="ListNumber4">
    <w:name w:val="List Number 4"/>
    <w:basedOn w:val="Normal"/>
    <w:rsid w:val="003147B8"/>
    <w:pPr>
      <w:tabs>
        <w:tab w:val="num" w:pos="1440"/>
      </w:tabs>
      <w:spacing w:after="120" w:line="240" w:lineRule="auto"/>
      <w:ind w:left="1440" w:hanging="360"/>
      <w:jc w:val="left"/>
    </w:pPr>
    <w:rPr>
      <w:rFonts w:ascii="Arial" w:hAnsi="Arial"/>
      <w:sz w:val="20"/>
      <w:szCs w:val="20"/>
    </w:rPr>
  </w:style>
  <w:style w:type="paragraph" w:customStyle="1" w:styleId="List1">
    <w:name w:val="List  1"/>
    <w:basedOn w:val="BodyText"/>
    <w:next w:val="BodyText"/>
    <w:rsid w:val="003147B8"/>
  </w:style>
  <w:style w:type="paragraph" w:customStyle="1" w:styleId="Nityach">
    <w:name w:val="Nitya ch"/>
    <w:basedOn w:val="Header"/>
    <w:rsid w:val="003147B8"/>
    <w:pPr>
      <w:tabs>
        <w:tab w:val="clear" w:pos="4320"/>
        <w:tab w:val="clear" w:pos="8640"/>
      </w:tabs>
      <w:spacing w:before="0" w:line="240" w:lineRule="auto"/>
      <w:ind w:firstLine="720"/>
      <w:jc w:val="center"/>
    </w:pPr>
    <w:rPr>
      <w:rFonts w:ascii="Arial" w:hAnsi="Arial" w:cs="Arial"/>
      <w:b/>
      <w:lang w:val="en-US"/>
    </w:rPr>
  </w:style>
  <w:style w:type="paragraph" w:customStyle="1" w:styleId="NCH9">
    <w:name w:val="N_CH_9"/>
    <w:rsid w:val="003147B8"/>
    <w:pPr>
      <w:spacing w:line="360" w:lineRule="auto"/>
      <w:jc w:val="both"/>
    </w:pPr>
    <w:rPr>
      <w:rFonts w:ascii="Arial" w:hAnsi="Arial"/>
    </w:rPr>
  </w:style>
  <w:style w:type="paragraph" w:customStyle="1" w:styleId="xl24">
    <w:name w:val="xl24"/>
    <w:basedOn w:val="Normal"/>
    <w:rsid w:val="003147B8"/>
    <w:pPr>
      <w:pBdr>
        <w:top w:val="single" w:sz="8" w:space="0" w:color="auto"/>
      </w:pBdr>
      <w:shd w:val="clear" w:color="auto" w:fill="FFFF99"/>
      <w:spacing w:before="100" w:beforeAutospacing="1" w:after="100" w:afterAutospacing="1" w:line="240" w:lineRule="auto"/>
      <w:jc w:val="center"/>
    </w:pPr>
    <w:rPr>
      <w:rFonts w:ascii="Arial" w:hAnsi="Arial" w:cs="Arial"/>
      <w:lang w:val="en-US"/>
    </w:rPr>
  </w:style>
  <w:style w:type="paragraph" w:customStyle="1" w:styleId="NityaText">
    <w:name w:val="Nitya Text"/>
    <w:basedOn w:val="Header"/>
    <w:rsid w:val="003147B8"/>
    <w:pPr>
      <w:tabs>
        <w:tab w:val="clear" w:pos="4320"/>
        <w:tab w:val="clear" w:pos="8640"/>
      </w:tabs>
      <w:spacing w:before="0" w:line="360" w:lineRule="auto"/>
      <w:ind w:left="1987" w:hanging="360"/>
    </w:pPr>
    <w:rPr>
      <w:rFonts w:ascii="Arial" w:hAnsi="Arial" w:cs="Arial"/>
      <w:sz w:val="20"/>
      <w:lang w:val="en-US"/>
    </w:rPr>
  </w:style>
  <w:style w:type="paragraph" w:customStyle="1" w:styleId="NityaSub">
    <w:name w:val="Nitya Sub"/>
    <w:basedOn w:val="Header"/>
    <w:rsid w:val="003147B8"/>
    <w:pPr>
      <w:tabs>
        <w:tab w:val="clear" w:pos="4320"/>
        <w:tab w:val="clear" w:pos="8640"/>
        <w:tab w:val="center" w:pos="720"/>
      </w:tabs>
      <w:spacing w:before="0" w:line="360" w:lineRule="auto"/>
      <w:ind w:firstLine="720"/>
      <w:jc w:val="left"/>
    </w:pPr>
    <w:rPr>
      <w:rFonts w:ascii="Arial" w:hAnsi="Arial" w:cs="Arial"/>
      <w:b/>
      <w:bCs/>
      <w:sz w:val="20"/>
      <w:lang w:val="en-US"/>
    </w:rPr>
  </w:style>
  <w:style w:type="table" w:customStyle="1" w:styleId="TableGrid1">
    <w:name w:val="Table Grid1"/>
    <w:basedOn w:val="TableNormal"/>
    <w:next w:val="TableGrid"/>
    <w:rsid w:val="00314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SectionChapterTitleSectionHeadingArticleHeadi">
    <w:name w:val="Style Heading 1SectionChapter TitleSection HeadingArticle Headi..."/>
    <w:basedOn w:val="Heading1"/>
    <w:autoRedefine/>
    <w:rsid w:val="003147B8"/>
    <w:pPr>
      <w:numPr>
        <w:numId w:val="4"/>
      </w:numPr>
      <w:tabs>
        <w:tab w:val="clear" w:pos="284"/>
        <w:tab w:val="left" w:pos="720"/>
      </w:tabs>
      <w:spacing w:before="180" w:after="120" w:line="240" w:lineRule="auto"/>
      <w:ind w:left="432" w:hanging="432"/>
      <w:jc w:val="left"/>
    </w:pPr>
    <w:rPr>
      <w:rFonts w:ascii="Georgia" w:hAnsi="Georgia" w:cs="Times New Roman"/>
      <w:caps w:val="0"/>
      <w:kern w:val="28"/>
      <w:sz w:val="36"/>
      <w:szCs w:val="20"/>
    </w:rPr>
  </w:style>
  <w:style w:type="paragraph" w:customStyle="1" w:styleId="Textocaratula">
    <w:name w:val="Texto caratula"/>
    <w:basedOn w:val="Normal"/>
    <w:rsid w:val="003147B8"/>
    <w:pPr>
      <w:spacing w:before="360" w:after="360" w:line="240" w:lineRule="auto"/>
      <w:jc w:val="center"/>
    </w:pPr>
    <w:rPr>
      <w:rFonts w:ascii="Verdana" w:hAnsi="Verdana"/>
      <w:b/>
      <w:caps/>
      <w:sz w:val="32"/>
      <w:szCs w:val="32"/>
      <w:lang w:eastAsia="es-ES"/>
    </w:rPr>
  </w:style>
  <w:style w:type="paragraph" w:customStyle="1" w:styleId="TtuloCentrado">
    <w:name w:val="Título Centrado"/>
    <w:basedOn w:val="Normal"/>
    <w:next w:val="Heading1"/>
    <w:rsid w:val="003147B8"/>
    <w:pPr>
      <w:spacing w:before="360" w:after="360" w:line="440" w:lineRule="exact"/>
      <w:jc w:val="center"/>
    </w:pPr>
    <w:rPr>
      <w:rFonts w:ascii="Verdana" w:hAnsi="Verdana"/>
      <w:b/>
      <w:caps/>
      <w:sz w:val="32"/>
      <w:szCs w:val="32"/>
      <w:u w:val="double"/>
      <w:lang w:eastAsia="es-ES"/>
    </w:rPr>
  </w:style>
  <w:style w:type="paragraph" w:customStyle="1" w:styleId="Listanumerada1">
    <w:name w:val="Lista numerada 1"/>
    <w:basedOn w:val="Normal"/>
    <w:rsid w:val="003147B8"/>
    <w:pPr>
      <w:spacing w:after="120" w:line="240" w:lineRule="auto"/>
      <w:ind w:left="1260" w:hanging="360"/>
    </w:pPr>
    <w:rPr>
      <w:rFonts w:ascii="Verdana" w:hAnsi="Verdana"/>
      <w:sz w:val="18"/>
      <w:szCs w:val="18"/>
      <w:lang w:eastAsia="es-ES"/>
    </w:rPr>
  </w:style>
  <w:style w:type="paragraph" w:customStyle="1" w:styleId="Listavietas1">
    <w:name w:val="Lista viñetas 1"/>
    <w:basedOn w:val="Normal"/>
    <w:rsid w:val="003147B8"/>
    <w:pPr>
      <w:spacing w:after="120" w:line="240" w:lineRule="auto"/>
      <w:ind w:left="720" w:hanging="360"/>
    </w:pPr>
    <w:rPr>
      <w:rFonts w:ascii="Verdana" w:hAnsi="Verdana"/>
      <w:sz w:val="18"/>
      <w:szCs w:val="18"/>
      <w:lang w:eastAsia="es-ES"/>
    </w:rPr>
  </w:style>
  <w:style w:type="paragraph" w:customStyle="1" w:styleId="Listanumerada2">
    <w:name w:val="Lista numerada 2"/>
    <w:basedOn w:val="Listanumerada1"/>
    <w:rsid w:val="003147B8"/>
  </w:style>
  <w:style w:type="paragraph" w:customStyle="1" w:styleId="Listaletras2">
    <w:name w:val="Lista letras 2"/>
    <w:basedOn w:val="Listaletra1"/>
    <w:rsid w:val="003147B8"/>
  </w:style>
  <w:style w:type="paragraph" w:customStyle="1" w:styleId="Listaletra1">
    <w:name w:val="Lista letra 1"/>
    <w:basedOn w:val="Normal"/>
    <w:rsid w:val="003147B8"/>
    <w:pPr>
      <w:tabs>
        <w:tab w:val="num" w:pos="284"/>
      </w:tabs>
      <w:spacing w:after="120" w:line="240" w:lineRule="auto"/>
      <w:ind w:left="284" w:hanging="284"/>
    </w:pPr>
    <w:rPr>
      <w:rFonts w:ascii="Verdana" w:hAnsi="Verdana"/>
      <w:sz w:val="18"/>
      <w:szCs w:val="18"/>
      <w:lang w:eastAsia="es-ES"/>
    </w:rPr>
  </w:style>
  <w:style w:type="paragraph" w:customStyle="1" w:styleId="Listavietas2">
    <w:name w:val="Lista viñetas 2"/>
    <w:basedOn w:val="Listavietas1"/>
    <w:rsid w:val="003147B8"/>
  </w:style>
  <w:style w:type="paragraph" w:customStyle="1" w:styleId="TtuloPortada">
    <w:name w:val="Título Portada"/>
    <w:basedOn w:val="Heading1"/>
    <w:rsid w:val="003147B8"/>
    <w:pPr>
      <w:keepLines/>
      <w:numPr>
        <w:numId w:val="0"/>
      </w:numPr>
      <w:spacing w:before="480" w:after="480" w:line="240" w:lineRule="auto"/>
      <w:ind w:left="432" w:hanging="432"/>
    </w:pPr>
    <w:rPr>
      <w:rFonts w:ascii="Verdana" w:hAnsi="Verdana" w:cs="Times New Roman"/>
      <w:color w:val="23348F"/>
      <w:kern w:val="0"/>
      <w:sz w:val="32"/>
      <w:lang w:eastAsia="es-ES"/>
    </w:rPr>
  </w:style>
  <w:style w:type="paragraph" w:customStyle="1" w:styleId="EstiloTtuloPortadaSinNegritaSinMaysculasAntes6pto">
    <w:name w:val="Estilo Título Portada + Sin Negrita Sin Mayúsculas Antes:  6 pto ..."/>
    <w:basedOn w:val="TtuloPortada"/>
    <w:rsid w:val="003147B8"/>
  </w:style>
  <w:style w:type="paragraph" w:customStyle="1" w:styleId="EstiloTtuloPortadaDespus6pto">
    <w:name w:val="Estilo Título Portada + Después:  6 pto"/>
    <w:basedOn w:val="TtuloPortada"/>
    <w:rsid w:val="003147B8"/>
  </w:style>
  <w:style w:type="character" w:styleId="LineNumber">
    <w:name w:val="line number"/>
    <w:basedOn w:val="DefaultParagraphFont"/>
    <w:rsid w:val="003147B8"/>
  </w:style>
  <w:style w:type="paragraph" w:styleId="IntenseQuote">
    <w:name w:val="Intense Quote"/>
    <w:basedOn w:val="Normal"/>
    <w:next w:val="Normal"/>
    <w:link w:val="IntenseQuoteChar"/>
    <w:uiPriority w:val="30"/>
    <w:qFormat/>
    <w:rsid w:val="003147B8"/>
    <w:pPr>
      <w:pBdr>
        <w:bottom w:val="single" w:sz="4" w:space="4" w:color="4F81BD"/>
      </w:pBdr>
      <w:spacing w:before="200" w:after="280" w:line="240" w:lineRule="auto"/>
      <w:ind w:left="936" w:right="936"/>
      <w:jc w:val="right"/>
    </w:pPr>
    <w:rPr>
      <w:rFonts w:eastAsia="Calibri"/>
      <w:b/>
      <w:bCs/>
      <w:i/>
      <w:iCs/>
      <w:color w:val="4F81BD"/>
      <w:sz w:val="22"/>
      <w:szCs w:val="22"/>
      <w:lang w:val="en-US"/>
    </w:rPr>
  </w:style>
  <w:style w:type="character" w:customStyle="1" w:styleId="IntenseQuoteChar">
    <w:name w:val="Intense Quote Char"/>
    <w:basedOn w:val="DefaultParagraphFont"/>
    <w:link w:val="IntenseQuote"/>
    <w:uiPriority w:val="30"/>
    <w:rsid w:val="003147B8"/>
    <w:rPr>
      <w:rFonts w:ascii="Calibri" w:eastAsia="Calibri" w:hAnsi="Calibri"/>
      <w:b/>
      <w:bCs/>
      <w:i/>
      <w:iCs/>
      <w:color w:val="4F81BD"/>
      <w:sz w:val="22"/>
      <w:szCs w:val="22"/>
    </w:rPr>
  </w:style>
  <w:style w:type="paragraph" w:styleId="Subtitle">
    <w:name w:val="Subtitle"/>
    <w:basedOn w:val="Normal"/>
    <w:next w:val="Normal"/>
    <w:link w:val="SubtitleChar"/>
    <w:qFormat/>
    <w:rsid w:val="003147B8"/>
    <w:pPr>
      <w:spacing w:after="60" w:line="240" w:lineRule="auto"/>
      <w:jc w:val="center"/>
      <w:outlineLvl w:val="1"/>
    </w:pPr>
    <w:rPr>
      <w:rFonts w:ascii="Cambria" w:hAnsi="Cambria"/>
      <w:lang w:eastAsia="es-ES"/>
    </w:rPr>
  </w:style>
  <w:style w:type="character" w:customStyle="1" w:styleId="SubtitleChar">
    <w:name w:val="Subtitle Char"/>
    <w:basedOn w:val="DefaultParagraphFont"/>
    <w:link w:val="Subtitle"/>
    <w:rsid w:val="003147B8"/>
    <w:rPr>
      <w:rFonts w:ascii="Cambria" w:hAnsi="Cambria"/>
      <w:sz w:val="24"/>
      <w:szCs w:val="24"/>
      <w:lang w:val="en-GB" w:eastAsia="es-ES"/>
    </w:rPr>
  </w:style>
  <w:style w:type="character" w:styleId="IntenseReference">
    <w:name w:val="Intense Reference"/>
    <w:basedOn w:val="DefaultParagraphFont"/>
    <w:uiPriority w:val="32"/>
    <w:qFormat/>
    <w:rsid w:val="003147B8"/>
    <w:rPr>
      <w:b/>
      <w:bCs/>
      <w:smallCaps/>
      <w:color w:val="C0504D"/>
      <w:spacing w:val="5"/>
      <w:u w:val="single"/>
    </w:rPr>
  </w:style>
  <w:style w:type="paragraph" w:customStyle="1" w:styleId="u1">
    <w:name w:val="u1"/>
    <w:basedOn w:val="Normal"/>
    <w:link w:val="u1Char"/>
    <w:qFormat/>
    <w:rsid w:val="003147B8"/>
    <w:pPr>
      <w:spacing w:after="240" w:line="240" w:lineRule="auto"/>
    </w:pPr>
    <w:rPr>
      <w:rFonts w:ascii="Arial" w:hAnsi="Arial"/>
      <w:lang w:val="en-US"/>
    </w:rPr>
  </w:style>
  <w:style w:type="character" w:customStyle="1" w:styleId="u1Char">
    <w:name w:val="u1 Char"/>
    <w:basedOn w:val="BodyTextChar"/>
    <w:link w:val="u1"/>
    <w:rsid w:val="003147B8"/>
    <w:rPr>
      <w:rFonts w:ascii="Arial" w:hAnsi="Arial"/>
      <w:sz w:val="24"/>
      <w:szCs w:val="24"/>
      <w:lang w:val="en-GB"/>
    </w:rPr>
  </w:style>
  <w:style w:type="table" w:customStyle="1" w:styleId="TableGrid2">
    <w:name w:val="Table Grid2"/>
    <w:basedOn w:val="TableNormal"/>
    <w:next w:val="TableGrid"/>
    <w:uiPriority w:val="59"/>
    <w:rsid w:val="003147B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147B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147B8"/>
  </w:style>
  <w:style w:type="table" w:customStyle="1" w:styleId="TableGrid4">
    <w:name w:val="Table Grid4"/>
    <w:basedOn w:val="TableNormal"/>
    <w:next w:val="TableGrid"/>
    <w:uiPriority w:val="59"/>
    <w:rsid w:val="003147B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4065">
    <w:name w:val="xl4065"/>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lang w:val="en-US"/>
    </w:rPr>
  </w:style>
  <w:style w:type="paragraph" w:customStyle="1" w:styleId="xl4066">
    <w:name w:val="xl4066"/>
    <w:basedOn w:val="Normal"/>
    <w:rsid w:val="0062331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b/>
      <w:bCs/>
      <w:lang w:val="en-US"/>
    </w:rPr>
  </w:style>
  <w:style w:type="paragraph" w:customStyle="1" w:styleId="xl4067">
    <w:name w:val="xl4067"/>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lang w:val="en-US"/>
    </w:rPr>
  </w:style>
  <w:style w:type="paragraph" w:customStyle="1" w:styleId="xl4068">
    <w:name w:val="xl4068"/>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lang w:val="en-US"/>
    </w:rPr>
  </w:style>
  <w:style w:type="paragraph" w:customStyle="1" w:styleId="xl4069">
    <w:name w:val="xl4069"/>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lang w:val="en-US"/>
    </w:rPr>
  </w:style>
  <w:style w:type="paragraph" w:customStyle="1" w:styleId="xl4070">
    <w:name w:val="xl4070"/>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lang w:val="en-US"/>
    </w:rPr>
  </w:style>
  <w:style w:type="paragraph" w:customStyle="1" w:styleId="xl4071">
    <w:name w:val="xl4071"/>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lang w:val="en-US"/>
    </w:rPr>
  </w:style>
  <w:style w:type="paragraph" w:customStyle="1" w:styleId="xl4072">
    <w:name w:val="xl4072"/>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lang w:val="en-US"/>
    </w:rPr>
  </w:style>
  <w:style w:type="paragraph" w:customStyle="1" w:styleId="xl4073">
    <w:name w:val="xl4073"/>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lang w:val="en-US"/>
    </w:rPr>
  </w:style>
  <w:style w:type="paragraph" w:customStyle="1" w:styleId="xl4074">
    <w:name w:val="xl4074"/>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lang w:val="en-US"/>
    </w:rPr>
  </w:style>
  <w:style w:type="paragraph" w:customStyle="1" w:styleId="xl4075">
    <w:name w:val="xl4075"/>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b/>
      <w:bCs/>
      <w:lang w:val="en-US"/>
    </w:rPr>
  </w:style>
  <w:style w:type="paragraph" w:customStyle="1" w:styleId="xl4076">
    <w:name w:val="xl4076"/>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b/>
      <w:bCs/>
      <w:lang w:val="en-US"/>
    </w:rPr>
  </w:style>
  <w:style w:type="paragraph" w:customStyle="1" w:styleId="xl4077">
    <w:name w:val="xl4077"/>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lang w:val="en-US"/>
    </w:rPr>
  </w:style>
  <w:style w:type="paragraph" w:customStyle="1" w:styleId="xl4078">
    <w:name w:val="xl4078"/>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b/>
      <w:bCs/>
      <w:lang w:val="en-US"/>
    </w:rPr>
  </w:style>
  <w:style w:type="paragraph" w:customStyle="1" w:styleId="xl4079">
    <w:name w:val="xl4079"/>
    <w:basedOn w:val="Normal"/>
    <w:rsid w:val="00623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lang w:val="en-US"/>
    </w:rPr>
  </w:style>
  <w:style w:type="paragraph" w:customStyle="1" w:styleId="xl4080">
    <w:name w:val="xl4080"/>
    <w:basedOn w:val="Normal"/>
    <w:rsid w:val="00623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lang w:val="en-US"/>
    </w:rPr>
  </w:style>
  <w:style w:type="paragraph" w:customStyle="1" w:styleId="xl4081">
    <w:name w:val="xl4081"/>
    <w:basedOn w:val="Normal"/>
    <w:rsid w:val="006233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lang w:val="en-US"/>
    </w:rPr>
  </w:style>
  <w:style w:type="paragraph" w:customStyle="1" w:styleId="xl4082">
    <w:name w:val="xl4082"/>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lang w:val="en-US"/>
    </w:rPr>
  </w:style>
  <w:style w:type="paragraph" w:customStyle="1" w:styleId="xl4083">
    <w:name w:val="xl4083"/>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b/>
      <w:bCs/>
      <w:lang w:val="en-US"/>
    </w:rPr>
  </w:style>
  <w:style w:type="paragraph" w:customStyle="1" w:styleId="xl4084">
    <w:name w:val="xl4084"/>
    <w:basedOn w:val="Normal"/>
    <w:rsid w:val="006233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b/>
      <w:bCs/>
      <w:lang w:val="en-US"/>
    </w:rPr>
  </w:style>
  <w:style w:type="paragraph" w:customStyle="1" w:styleId="xl4085">
    <w:name w:val="xl4085"/>
    <w:basedOn w:val="Normal"/>
    <w:rsid w:val="00623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lang w:val="en-US"/>
    </w:rPr>
  </w:style>
  <w:style w:type="paragraph" w:customStyle="1" w:styleId="xl4086">
    <w:name w:val="xl4086"/>
    <w:basedOn w:val="Normal"/>
    <w:rsid w:val="00794E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Times New Roman" w:hAnsi="Times New Roman"/>
      <w:lang w:val="en-US"/>
    </w:rPr>
  </w:style>
  <w:style w:type="paragraph" w:customStyle="1" w:styleId="xl4087">
    <w:name w:val="xl4087"/>
    <w:basedOn w:val="Normal"/>
    <w:rsid w:val="00794E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lang w:val="en-US"/>
    </w:rPr>
  </w:style>
  <w:style w:type="paragraph" w:customStyle="1" w:styleId="xl4088">
    <w:name w:val="xl4088"/>
    <w:basedOn w:val="Normal"/>
    <w:rsid w:val="00794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lang w:val="en-US"/>
    </w:rPr>
  </w:style>
  <w:style w:type="paragraph" w:customStyle="1" w:styleId="xl4089">
    <w:name w:val="xl4089"/>
    <w:basedOn w:val="Normal"/>
    <w:rsid w:val="00C34658"/>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left"/>
    </w:pPr>
    <w:rPr>
      <w:rFonts w:ascii="Times New Roman" w:hAnsi="Times New Roman"/>
      <w:lang w:val="en-IN" w:eastAsia="en-IN"/>
    </w:rPr>
  </w:style>
  <w:style w:type="paragraph" w:customStyle="1" w:styleId="xl4090">
    <w:name w:val="xl4090"/>
    <w:basedOn w:val="Normal"/>
    <w:rsid w:val="00C34658"/>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right"/>
      <w:textAlignment w:val="top"/>
    </w:pPr>
    <w:rPr>
      <w:rFonts w:ascii="Times New Roman" w:hAnsi="Times New Roman"/>
      <w:lang w:val="en-IN" w:eastAsia="en-IN"/>
    </w:rPr>
  </w:style>
  <w:style w:type="paragraph" w:customStyle="1" w:styleId="xl4091">
    <w:name w:val="xl4091"/>
    <w:basedOn w:val="Normal"/>
    <w:rsid w:val="00C34658"/>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right"/>
      <w:textAlignment w:val="top"/>
    </w:pPr>
    <w:rPr>
      <w:rFonts w:ascii="Times New Roman" w:hAnsi="Times New Roman"/>
      <w:lang w:val="en-IN" w:eastAsia="en-IN"/>
    </w:rPr>
  </w:style>
  <w:style w:type="paragraph" w:customStyle="1" w:styleId="xl4092">
    <w:name w:val="xl4092"/>
    <w:basedOn w:val="Normal"/>
    <w:rsid w:val="00C34658"/>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left"/>
    </w:pPr>
    <w:rPr>
      <w:rFonts w:ascii="Times New Roman" w:hAnsi="Times New Roman"/>
      <w:b/>
      <w:bCs/>
      <w:lang w:val="en-IN" w:eastAsia="en-IN"/>
    </w:rPr>
  </w:style>
  <w:style w:type="paragraph" w:customStyle="1" w:styleId="xl4093">
    <w:name w:val="xl4093"/>
    <w:basedOn w:val="Normal"/>
    <w:rsid w:val="00C34658"/>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left"/>
      <w:textAlignment w:val="top"/>
    </w:pPr>
    <w:rPr>
      <w:rFonts w:ascii="Times New Roman" w:hAnsi="Times New Roman"/>
      <w:b/>
      <w:bCs/>
      <w:lang w:val="en-IN" w:eastAsia="en-IN"/>
    </w:rPr>
  </w:style>
  <w:style w:type="numbering" w:customStyle="1" w:styleId="NoList3">
    <w:name w:val="No List3"/>
    <w:next w:val="NoList"/>
    <w:uiPriority w:val="99"/>
    <w:semiHidden/>
    <w:unhideWhenUsed/>
    <w:rsid w:val="00C34658"/>
  </w:style>
  <w:style w:type="table" w:customStyle="1" w:styleId="TableGrid5">
    <w:name w:val="Table Grid5"/>
    <w:basedOn w:val="TableNormal"/>
    <w:next w:val="TableGrid"/>
    <w:uiPriority w:val="59"/>
    <w:rsid w:val="00C346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817">
      <w:bodyDiv w:val="1"/>
      <w:marLeft w:val="0"/>
      <w:marRight w:val="0"/>
      <w:marTop w:val="0"/>
      <w:marBottom w:val="0"/>
      <w:divBdr>
        <w:top w:val="none" w:sz="0" w:space="0" w:color="auto"/>
        <w:left w:val="none" w:sz="0" w:space="0" w:color="auto"/>
        <w:bottom w:val="none" w:sz="0" w:space="0" w:color="auto"/>
        <w:right w:val="none" w:sz="0" w:space="0" w:color="auto"/>
      </w:divBdr>
    </w:div>
    <w:div w:id="5249172">
      <w:bodyDiv w:val="1"/>
      <w:marLeft w:val="0"/>
      <w:marRight w:val="0"/>
      <w:marTop w:val="0"/>
      <w:marBottom w:val="0"/>
      <w:divBdr>
        <w:top w:val="none" w:sz="0" w:space="0" w:color="auto"/>
        <w:left w:val="none" w:sz="0" w:space="0" w:color="auto"/>
        <w:bottom w:val="none" w:sz="0" w:space="0" w:color="auto"/>
        <w:right w:val="none" w:sz="0" w:space="0" w:color="auto"/>
      </w:divBdr>
    </w:div>
    <w:div w:id="12149683">
      <w:bodyDiv w:val="1"/>
      <w:marLeft w:val="0"/>
      <w:marRight w:val="0"/>
      <w:marTop w:val="0"/>
      <w:marBottom w:val="0"/>
      <w:divBdr>
        <w:top w:val="none" w:sz="0" w:space="0" w:color="auto"/>
        <w:left w:val="none" w:sz="0" w:space="0" w:color="auto"/>
        <w:bottom w:val="none" w:sz="0" w:space="0" w:color="auto"/>
        <w:right w:val="none" w:sz="0" w:space="0" w:color="auto"/>
      </w:divBdr>
    </w:div>
    <w:div w:id="18704891">
      <w:bodyDiv w:val="1"/>
      <w:marLeft w:val="0"/>
      <w:marRight w:val="0"/>
      <w:marTop w:val="0"/>
      <w:marBottom w:val="0"/>
      <w:divBdr>
        <w:top w:val="none" w:sz="0" w:space="0" w:color="auto"/>
        <w:left w:val="none" w:sz="0" w:space="0" w:color="auto"/>
        <w:bottom w:val="none" w:sz="0" w:space="0" w:color="auto"/>
        <w:right w:val="none" w:sz="0" w:space="0" w:color="auto"/>
      </w:divBdr>
    </w:div>
    <w:div w:id="22634623">
      <w:bodyDiv w:val="1"/>
      <w:marLeft w:val="0"/>
      <w:marRight w:val="0"/>
      <w:marTop w:val="0"/>
      <w:marBottom w:val="0"/>
      <w:divBdr>
        <w:top w:val="none" w:sz="0" w:space="0" w:color="auto"/>
        <w:left w:val="none" w:sz="0" w:space="0" w:color="auto"/>
        <w:bottom w:val="none" w:sz="0" w:space="0" w:color="auto"/>
        <w:right w:val="none" w:sz="0" w:space="0" w:color="auto"/>
      </w:divBdr>
    </w:div>
    <w:div w:id="53163653">
      <w:bodyDiv w:val="1"/>
      <w:marLeft w:val="0"/>
      <w:marRight w:val="0"/>
      <w:marTop w:val="0"/>
      <w:marBottom w:val="0"/>
      <w:divBdr>
        <w:top w:val="none" w:sz="0" w:space="0" w:color="auto"/>
        <w:left w:val="none" w:sz="0" w:space="0" w:color="auto"/>
        <w:bottom w:val="none" w:sz="0" w:space="0" w:color="auto"/>
        <w:right w:val="none" w:sz="0" w:space="0" w:color="auto"/>
      </w:divBdr>
    </w:div>
    <w:div w:id="53628857">
      <w:bodyDiv w:val="1"/>
      <w:marLeft w:val="0"/>
      <w:marRight w:val="0"/>
      <w:marTop w:val="0"/>
      <w:marBottom w:val="0"/>
      <w:divBdr>
        <w:top w:val="none" w:sz="0" w:space="0" w:color="auto"/>
        <w:left w:val="none" w:sz="0" w:space="0" w:color="auto"/>
        <w:bottom w:val="none" w:sz="0" w:space="0" w:color="auto"/>
        <w:right w:val="none" w:sz="0" w:space="0" w:color="auto"/>
      </w:divBdr>
    </w:div>
    <w:div w:id="55668793">
      <w:bodyDiv w:val="1"/>
      <w:marLeft w:val="0"/>
      <w:marRight w:val="0"/>
      <w:marTop w:val="0"/>
      <w:marBottom w:val="0"/>
      <w:divBdr>
        <w:top w:val="none" w:sz="0" w:space="0" w:color="auto"/>
        <w:left w:val="none" w:sz="0" w:space="0" w:color="auto"/>
        <w:bottom w:val="none" w:sz="0" w:space="0" w:color="auto"/>
        <w:right w:val="none" w:sz="0" w:space="0" w:color="auto"/>
      </w:divBdr>
    </w:div>
    <w:div w:id="63727086">
      <w:bodyDiv w:val="1"/>
      <w:marLeft w:val="0"/>
      <w:marRight w:val="0"/>
      <w:marTop w:val="0"/>
      <w:marBottom w:val="0"/>
      <w:divBdr>
        <w:top w:val="none" w:sz="0" w:space="0" w:color="auto"/>
        <w:left w:val="none" w:sz="0" w:space="0" w:color="auto"/>
        <w:bottom w:val="none" w:sz="0" w:space="0" w:color="auto"/>
        <w:right w:val="none" w:sz="0" w:space="0" w:color="auto"/>
      </w:divBdr>
    </w:div>
    <w:div w:id="69543697">
      <w:bodyDiv w:val="1"/>
      <w:marLeft w:val="0"/>
      <w:marRight w:val="0"/>
      <w:marTop w:val="0"/>
      <w:marBottom w:val="0"/>
      <w:divBdr>
        <w:top w:val="none" w:sz="0" w:space="0" w:color="auto"/>
        <w:left w:val="none" w:sz="0" w:space="0" w:color="auto"/>
        <w:bottom w:val="none" w:sz="0" w:space="0" w:color="auto"/>
        <w:right w:val="none" w:sz="0" w:space="0" w:color="auto"/>
      </w:divBdr>
    </w:div>
    <w:div w:id="79717382">
      <w:bodyDiv w:val="1"/>
      <w:marLeft w:val="0"/>
      <w:marRight w:val="0"/>
      <w:marTop w:val="0"/>
      <w:marBottom w:val="0"/>
      <w:divBdr>
        <w:top w:val="none" w:sz="0" w:space="0" w:color="auto"/>
        <w:left w:val="none" w:sz="0" w:space="0" w:color="auto"/>
        <w:bottom w:val="none" w:sz="0" w:space="0" w:color="auto"/>
        <w:right w:val="none" w:sz="0" w:space="0" w:color="auto"/>
      </w:divBdr>
    </w:div>
    <w:div w:id="79723660">
      <w:bodyDiv w:val="1"/>
      <w:marLeft w:val="0"/>
      <w:marRight w:val="0"/>
      <w:marTop w:val="0"/>
      <w:marBottom w:val="0"/>
      <w:divBdr>
        <w:top w:val="none" w:sz="0" w:space="0" w:color="auto"/>
        <w:left w:val="none" w:sz="0" w:space="0" w:color="auto"/>
        <w:bottom w:val="none" w:sz="0" w:space="0" w:color="auto"/>
        <w:right w:val="none" w:sz="0" w:space="0" w:color="auto"/>
      </w:divBdr>
    </w:div>
    <w:div w:id="87309956">
      <w:bodyDiv w:val="1"/>
      <w:marLeft w:val="0"/>
      <w:marRight w:val="0"/>
      <w:marTop w:val="0"/>
      <w:marBottom w:val="0"/>
      <w:divBdr>
        <w:top w:val="none" w:sz="0" w:space="0" w:color="auto"/>
        <w:left w:val="none" w:sz="0" w:space="0" w:color="auto"/>
        <w:bottom w:val="none" w:sz="0" w:space="0" w:color="auto"/>
        <w:right w:val="none" w:sz="0" w:space="0" w:color="auto"/>
      </w:divBdr>
    </w:div>
    <w:div w:id="96103545">
      <w:bodyDiv w:val="1"/>
      <w:marLeft w:val="0"/>
      <w:marRight w:val="0"/>
      <w:marTop w:val="0"/>
      <w:marBottom w:val="0"/>
      <w:divBdr>
        <w:top w:val="none" w:sz="0" w:space="0" w:color="auto"/>
        <w:left w:val="none" w:sz="0" w:space="0" w:color="auto"/>
        <w:bottom w:val="none" w:sz="0" w:space="0" w:color="auto"/>
        <w:right w:val="none" w:sz="0" w:space="0" w:color="auto"/>
      </w:divBdr>
    </w:div>
    <w:div w:id="96757484">
      <w:bodyDiv w:val="1"/>
      <w:marLeft w:val="0"/>
      <w:marRight w:val="0"/>
      <w:marTop w:val="0"/>
      <w:marBottom w:val="0"/>
      <w:divBdr>
        <w:top w:val="none" w:sz="0" w:space="0" w:color="auto"/>
        <w:left w:val="none" w:sz="0" w:space="0" w:color="auto"/>
        <w:bottom w:val="none" w:sz="0" w:space="0" w:color="auto"/>
        <w:right w:val="none" w:sz="0" w:space="0" w:color="auto"/>
      </w:divBdr>
    </w:div>
    <w:div w:id="107556207">
      <w:bodyDiv w:val="1"/>
      <w:marLeft w:val="0"/>
      <w:marRight w:val="0"/>
      <w:marTop w:val="0"/>
      <w:marBottom w:val="0"/>
      <w:divBdr>
        <w:top w:val="none" w:sz="0" w:space="0" w:color="auto"/>
        <w:left w:val="none" w:sz="0" w:space="0" w:color="auto"/>
        <w:bottom w:val="none" w:sz="0" w:space="0" w:color="auto"/>
        <w:right w:val="none" w:sz="0" w:space="0" w:color="auto"/>
      </w:divBdr>
    </w:div>
    <w:div w:id="112094324">
      <w:bodyDiv w:val="1"/>
      <w:marLeft w:val="0"/>
      <w:marRight w:val="0"/>
      <w:marTop w:val="0"/>
      <w:marBottom w:val="0"/>
      <w:divBdr>
        <w:top w:val="none" w:sz="0" w:space="0" w:color="auto"/>
        <w:left w:val="none" w:sz="0" w:space="0" w:color="auto"/>
        <w:bottom w:val="none" w:sz="0" w:space="0" w:color="auto"/>
        <w:right w:val="none" w:sz="0" w:space="0" w:color="auto"/>
      </w:divBdr>
    </w:div>
    <w:div w:id="120149135">
      <w:bodyDiv w:val="1"/>
      <w:marLeft w:val="0"/>
      <w:marRight w:val="0"/>
      <w:marTop w:val="0"/>
      <w:marBottom w:val="0"/>
      <w:divBdr>
        <w:top w:val="none" w:sz="0" w:space="0" w:color="auto"/>
        <w:left w:val="none" w:sz="0" w:space="0" w:color="auto"/>
        <w:bottom w:val="none" w:sz="0" w:space="0" w:color="auto"/>
        <w:right w:val="none" w:sz="0" w:space="0" w:color="auto"/>
      </w:divBdr>
    </w:div>
    <w:div w:id="130370908">
      <w:bodyDiv w:val="1"/>
      <w:marLeft w:val="0"/>
      <w:marRight w:val="0"/>
      <w:marTop w:val="0"/>
      <w:marBottom w:val="0"/>
      <w:divBdr>
        <w:top w:val="none" w:sz="0" w:space="0" w:color="auto"/>
        <w:left w:val="none" w:sz="0" w:space="0" w:color="auto"/>
        <w:bottom w:val="none" w:sz="0" w:space="0" w:color="auto"/>
        <w:right w:val="none" w:sz="0" w:space="0" w:color="auto"/>
      </w:divBdr>
    </w:div>
    <w:div w:id="146017566">
      <w:bodyDiv w:val="1"/>
      <w:marLeft w:val="0"/>
      <w:marRight w:val="0"/>
      <w:marTop w:val="0"/>
      <w:marBottom w:val="0"/>
      <w:divBdr>
        <w:top w:val="none" w:sz="0" w:space="0" w:color="auto"/>
        <w:left w:val="none" w:sz="0" w:space="0" w:color="auto"/>
        <w:bottom w:val="none" w:sz="0" w:space="0" w:color="auto"/>
        <w:right w:val="none" w:sz="0" w:space="0" w:color="auto"/>
      </w:divBdr>
    </w:div>
    <w:div w:id="148598977">
      <w:bodyDiv w:val="1"/>
      <w:marLeft w:val="0"/>
      <w:marRight w:val="0"/>
      <w:marTop w:val="0"/>
      <w:marBottom w:val="0"/>
      <w:divBdr>
        <w:top w:val="none" w:sz="0" w:space="0" w:color="auto"/>
        <w:left w:val="none" w:sz="0" w:space="0" w:color="auto"/>
        <w:bottom w:val="none" w:sz="0" w:space="0" w:color="auto"/>
        <w:right w:val="none" w:sz="0" w:space="0" w:color="auto"/>
      </w:divBdr>
    </w:div>
    <w:div w:id="154879768">
      <w:bodyDiv w:val="1"/>
      <w:marLeft w:val="0"/>
      <w:marRight w:val="0"/>
      <w:marTop w:val="0"/>
      <w:marBottom w:val="0"/>
      <w:divBdr>
        <w:top w:val="none" w:sz="0" w:space="0" w:color="auto"/>
        <w:left w:val="none" w:sz="0" w:space="0" w:color="auto"/>
        <w:bottom w:val="none" w:sz="0" w:space="0" w:color="auto"/>
        <w:right w:val="none" w:sz="0" w:space="0" w:color="auto"/>
      </w:divBdr>
    </w:div>
    <w:div w:id="160245723">
      <w:bodyDiv w:val="1"/>
      <w:marLeft w:val="0"/>
      <w:marRight w:val="0"/>
      <w:marTop w:val="0"/>
      <w:marBottom w:val="0"/>
      <w:divBdr>
        <w:top w:val="none" w:sz="0" w:space="0" w:color="auto"/>
        <w:left w:val="none" w:sz="0" w:space="0" w:color="auto"/>
        <w:bottom w:val="none" w:sz="0" w:space="0" w:color="auto"/>
        <w:right w:val="none" w:sz="0" w:space="0" w:color="auto"/>
      </w:divBdr>
    </w:div>
    <w:div w:id="172039504">
      <w:bodyDiv w:val="1"/>
      <w:marLeft w:val="0"/>
      <w:marRight w:val="0"/>
      <w:marTop w:val="0"/>
      <w:marBottom w:val="0"/>
      <w:divBdr>
        <w:top w:val="none" w:sz="0" w:space="0" w:color="auto"/>
        <w:left w:val="none" w:sz="0" w:space="0" w:color="auto"/>
        <w:bottom w:val="none" w:sz="0" w:space="0" w:color="auto"/>
        <w:right w:val="none" w:sz="0" w:space="0" w:color="auto"/>
      </w:divBdr>
    </w:div>
    <w:div w:id="192690562">
      <w:bodyDiv w:val="1"/>
      <w:marLeft w:val="0"/>
      <w:marRight w:val="0"/>
      <w:marTop w:val="0"/>
      <w:marBottom w:val="0"/>
      <w:divBdr>
        <w:top w:val="none" w:sz="0" w:space="0" w:color="auto"/>
        <w:left w:val="none" w:sz="0" w:space="0" w:color="auto"/>
        <w:bottom w:val="none" w:sz="0" w:space="0" w:color="auto"/>
        <w:right w:val="none" w:sz="0" w:space="0" w:color="auto"/>
      </w:divBdr>
    </w:div>
    <w:div w:id="196891170">
      <w:bodyDiv w:val="1"/>
      <w:marLeft w:val="0"/>
      <w:marRight w:val="0"/>
      <w:marTop w:val="0"/>
      <w:marBottom w:val="0"/>
      <w:divBdr>
        <w:top w:val="none" w:sz="0" w:space="0" w:color="auto"/>
        <w:left w:val="none" w:sz="0" w:space="0" w:color="auto"/>
        <w:bottom w:val="none" w:sz="0" w:space="0" w:color="auto"/>
        <w:right w:val="none" w:sz="0" w:space="0" w:color="auto"/>
      </w:divBdr>
    </w:div>
    <w:div w:id="203375124">
      <w:bodyDiv w:val="1"/>
      <w:marLeft w:val="0"/>
      <w:marRight w:val="0"/>
      <w:marTop w:val="0"/>
      <w:marBottom w:val="0"/>
      <w:divBdr>
        <w:top w:val="none" w:sz="0" w:space="0" w:color="auto"/>
        <w:left w:val="none" w:sz="0" w:space="0" w:color="auto"/>
        <w:bottom w:val="none" w:sz="0" w:space="0" w:color="auto"/>
        <w:right w:val="none" w:sz="0" w:space="0" w:color="auto"/>
      </w:divBdr>
    </w:div>
    <w:div w:id="209533804">
      <w:bodyDiv w:val="1"/>
      <w:marLeft w:val="0"/>
      <w:marRight w:val="0"/>
      <w:marTop w:val="0"/>
      <w:marBottom w:val="0"/>
      <w:divBdr>
        <w:top w:val="none" w:sz="0" w:space="0" w:color="auto"/>
        <w:left w:val="none" w:sz="0" w:space="0" w:color="auto"/>
        <w:bottom w:val="none" w:sz="0" w:space="0" w:color="auto"/>
        <w:right w:val="none" w:sz="0" w:space="0" w:color="auto"/>
      </w:divBdr>
    </w:div>
    <w:div w:id="213738432">
      <w:bodyDiv w:val="1"/>
      <w:marLeft w:val="0"/>
      <w:marRight w:val="0"/>
      <w:marTop w:val="0"/>
      <w:marBottom w:val="0"/>
      <w:divBdr>
        <w:top w:val="none" w:sz="0" w:space="0" w:color="auto"/>
        <w:left w:val="none" w:sz="0" w:space="0" w:color="auto"/>
        <w:bottom w:val="none" w:sz="0" w:space="0" w:color="auto"/>
        <w:right w:val="none" w:sz="0" w:space="0" w:color="auto"/>
      </w:divBdr>
    </w:div>
    <w:div w:id="215354855">
      <w:bodyDiv w:val="1"/>
      <w:marLeft w:val="0"/>
      <w:marRight w:val="0"/>
      <w:marTop w:val="0"/>
      <w:marBottom w:val="0"/>
      <w:divBdr>
        <w:top w:val="none" w:sz="0" w:space="0" w:color="auto"/>
        <w:left w:val="none" w:sz="0" w:space="0" w:color="auto"/>
        <w:bottom w:val="none" w:sz="0" w:space="0" w:color="auto"/>
        <w:right w:val="none" w:sz="0" w:space="0" w:color="auto"/>
      </w:divBdr>
    </w:div>
    <w:div w:id="219295834">
      <w:bodyDiv w:val="1"/>
      <w:marLeft w:val="0"/>
      <w:marRight w:val="0"/>
      <w:marTop w:val="0"/>
      <w:marBottom w:val="0"/>
      <w:divBdr>
        <w:top w:val="none" w:sz="0" w:space="0" w:color="auto"/>
        <w:left w:val="none" w:sz="0" w:space="0" w:color="auto"/>
        <w:bottom w:val="none" w:sz="0" w:space="0" w:color="auto"/>
        <w:right w:val="none" w:sz="0" w:space="0" w:color="auto"/>
      </w:divBdr>
    </w:div>
    <w:div w:id="229342341">
      <w:bodyDiv w:val="1"/>
      <w:marLeft w:val="0"/>
      <w:marRight w:val="0"/>
      <w:marTop w:val="0"/>
      <w:marBottom w:val="0"/>
      <w:divBdr>
        <w:top w:val="none" w:sz="0" w:space="0" w:color="auto"/>
        <w:left w:val="none" w:sz="0" w:space="0" w:color="auto"/>
        <w:bottom w:val="none" w:sz="0" w:space="0" w:color="auto"/>
        <w:right w:val="none" w:sz="0" w:space="0" w:color="auto"/>
      </w:divBdr>
    </w:div>
    <w:div w:id="241989811">
      <w:bodyDiv w:val="1"/>
      <w:marLeft w:val="0"/>
      <w:marRight w:val="0"/>
      <w:marTop w:val="0"/>
      <w:marBottom w:val="0"/>
      <w:divBdr>
        <w:top w:val="none" w:sz="0" w:space="0" w:color="auto"/>
        <w:left w:val="none" w:sz="0" w:space="0" w:color="auto"/>
        <w:bottom w:val="none" w:sz="0" w:space="0" w:color="auto"/>
        <w:right w:val="none" w:sz="0" w:space="0" w:color="auto"/>
      </w:divBdr>
    </w:div>
    <w:div w:id="252904935">
      <w:bodyDiv w:val="1"/>
      <w:marLeft w:val="0"/>
      <w:marRight w:val="0"/>
      <w:marTop w:val="0"/>
      <w:marBottom w:val="0"/>
      <w:divBdr>
        <w:top w:val="none" w:sz="0" w:space="0" w:color="auto"/>
        <w:left w:val="none" w:sz="0" w:space="0" w:color="auto"/>
        <w:bottom w:val="none" w:sz="0" w:space="0" w:color="auto"/>
        <w:right w:val="none" w:sz="0" w:space="0" w:color="auto"/>
      </w:divBdr>
    </w:div>
    <w:div w:id="260914432">
      <w:bodyDiv w:val="1"/>
      <w:marLeft w:val="0"/>
      <w:marRight w:val="0"/>
      <w:marTop w:val="0"/>
      <w:marBottom w:val="0"/>
      <w:divBdr>
        <w:top w:val="none" w:sz="0" w:space="0" w:color="auto"/>
        <w:left w:val="none" w:sz="0" w:space="0" w:color="auto"/>
        <w:bottom w:val="none" w:sz="0" w:space="0" w:color="auto"/>
        <w:right w:val="none" w:sz="0" w:space="0" w:color="auto"/>
      </w:divBdr>
    </w:div>
    <w:div w:id="263853539">
      <w:bodyDiv w:val="1"/>
      <w:marLeft w:val="0"/>
      <w:marRight w:val="0"/>
      <w:marTop w:val="0"/>
      <w:marBottom w:val="0"/>
      <w:divBdr>
        <w:top w:val="none" w:sz="0" w:space="0" w:color="auto"/>
        <w:left w:val="none" w:sz="0" w:space="0" w:color="auto"/>
        <w:bottom w:val="none" w:sz="0" w:space="0" w:color="auto"/>
        <w:right w:val="none" w:sz="0" w:space="0" w:color="auto"/>
      </w:divBdr>
    </w:div>
    <w:div w:id="264582517">
      <w:bodyDiv w:val="1"/>
      <w:marLeft w:val="0"/>
      <w:marRight w:val="0"/>
      <w:marTop w:val="0"/>
      <w:marBottom w:val="0"/>
      <w:divBdr>
        <w:top w:val="none" w:sz="0" w:space="0" w:color="auto"/>
        <w:left w:val="none" w:sz="0" w:space="0" w:color="auto"/>
        <w:bottom w:val="none" w:sz="0" w:space="0" w:color="auto"/>
        <w:right w:val="none" w:sz="0" w:space="0" w:color="auto"/>
      </w:divBdr>
    </w:div>
    <w:div w:id="286474860">
      <w:bodyDiv w:val="1"/>
      <w:marLeft w:val="0"/>
      <w:marRight w:val="0"/>
      <w:marTop w:val="0"/>
      <w:marBottom w:val="0"/>
      <w:divBdr>
        <w:top w:val="none" w:sz="0" w:space="0" w:color="auto"/>
        <w:left w:val="none" w:sz="0" w:space="0" w:color="auto"/>
        <w:bottom w:val="none" w:sz="0" w:space="0" w:color="auto"/>
        <w:right w:val="none" w:sz="0" w:space="0" w:color="auto"/>
      </w:divBdr>
    </w:div>
    <w:div w:id="288438816">
      <w:bodyDiv w:val="1"/>
      <w:marLeft w:val="0"/>
      <w:marRight w:val="0"/>
      <w:marTop w:val="0"/>
      <w:marBottom w:val="0"/>
      <w:divBdr>
        <w:top w:val="none" w:sz="0" w:space="0" w:color="auto"/>
        <w:left w:val="none" w:sz="0" w:space="0" w:color="auto"/>
        <w:bottom w:val="none" w:sz="0" w:space="0" w:color="auto"/>
        <w:right w:val="none" w:sz="0" w:space="0" w:color="auto"/>
      </w:divBdr>
    </w:div>
    <w:div w:id="298458643">
      <w:bodyDiv w:val="1"/>
      <w:marLeft w:val="0"/>
      <w:marRight w:val="0"/>
      <w:marTop w:val="0"/>
      <w:marBottom w:val="0"/>
      <w:divBdr>
        <w:top w:val="none" w:sz="0" w:space="0" w:color="auto"/>
        <w:left w:val="none" w:sz="0" w:space="0" w:color="auto"/>
        <w:bottom w:val="none" w:sz="0" w:space="0" w:color="auto"/>
        <w:right w:val="none" w:sz="0" w:space="0" w:color="auto"/>
      </w:divBdr>
    </w:div>
    <w:div w:id="301422965">
      <w:bodyDiv w:val="1"/>
      <w:marLeft w:val="0"/>
      <w:marRight w:val="0"/>
      <w:marTop w:val="0"/>
      <w:marBottom w:val="0"/>
      <w:divBdr>
        <w:top w:val="none" w:sz="0" w:space="0" w:color="auto"/>
        <w:left w:val="none" w:sz="0" w:space="0" w:color="auto"/>
        <w:bottom w:val="none" w:sz="0" w:space="0" w:color="auto"/>
        <w:right w:val="none" w:sz="0" w:space="0" w:color="auto"/>
      </w:divBdr>
    </w:div>
    <w:div w:id="314577561">
      <w:bodyDiv w:val="1"/>
      <w:marLeft w:val="0"/>
      <w:marRight w:val="0"/>
      <w:marTop w:val="0"/>
      <w:marBottom w:val="0"/>
      <w:divBdr>
        <w:top w:val="none" w:sz="0" w:space="0" w:color="auto"/>
        <w:left w:val="none" w:sz="0" w:space="0" w:color="auto"/>
        <w:bottom w:val="none" w:sz="0" w:space="0" w:color="auto"/>
        <w:right w:val="none" w:sz="0" w:space="0" w:color="auto"/>
      </w:divBdr>
    </w:div>
    <w:div w:id="316498889">
      <w:bodyDiv w:val="1"/>
      <w:marLeft w:val="0"/>
      <w:marRight w:val="0"/>
      <w:marTop w:val="0"/>
      <w:marBottom w:val="0"/>
      <w:divBdr>
        <w:top w:val="none" w:sz="0" w:space="0" w:color="auto"/>
        <w:left w:val="none" w:sz="0" w:space="0" w:color="auto"/>
        <w:bottom w:val="none" w:sz="0" w:space="0" w:color="auto"/>
        <w:right w:val="none" w:sz="0" w:space="0" w:color="auto"/>
      </w:divBdr>
    </w:div>
    <w:div w:id="317803684">
      <w:bodyDiv w:val="1"/>
      <w:marLeft w:val="0"/>
      <w:marRight w:val="0"/>
      <w:marTop w:val="0"/>
      <w:marBottom w:val="0"/>
      <w:divBdr>
        <w:top w:val="none" w:sz="0" w:space="0" w:color="auto"/>
        <w:left w:val="none" w:sz="0" w:space="0" w:color="auto"/>
        <w:bottom w:val="none" w:sz="0" w:space="0" w:color="auto"/>
        <w:right w:val="none" w:sz="0" w:space="0" w:color="auto"/>
      </w:divBdr>
    </w:div>
    <w:div w:id="328561666">
      <w:bodyDiv w:val="1"/>
      <w:marLeft w:val="0"/>
      <w:marRight w:val="0"/>
      <w:marTop w:val="0"/>
      <w:marBottom w:val="0"/>
      <w:divBdr>
        <w:top w:val="none" w:sz="0" w:space="0" w:color="auto"/>
        <w:left w:val="none" w:sz="0" w:space="0" w:color="auto"/>
        <w:bottom w:val="none" w:sz="0" w:space="0" w:color="auto"/>
        <w:right w:val="none" w:sz="0" w:space="0" w:color="auto"/>
      </w:divBdr>
    </w:div>
    <w:div w:id="334191911">
      <w:bodyDiv w:val="1"/>
      <w:marLeft w:val="0"/>
      <w:marRight w:val="0"/>
      <w:marTop w:val="0"/>
      <w:marBottom w:val="0"/>
      <w:divBdr>
        <w:top w:val="none" w:sz="0" w:space="0" w:color="auto"/>
        <w:left w:val="none" w:sz="0" w:space="0" w:color="auto"/>
        <w:bottom w:val="none" w:sz="0" w:space="0" w:color="auto"/>
        <w:right w:val="none" w:sz="0" w:space="0" w:color="auto"/>
      </w:divBdr>
    </w:div>
    <w:div w:id="365911523">
      <w:bodyDiv w:val="1"/>
      <w:marLeft w:val="0"/>
      <w:marRight w:val="0"/>
      <w:marTop w:val="0"/>
      <w:marBottom w:val="0"/>
      <w:divBdr>
        <w:top w:val="none" w:sz="0" w:space="0" w:color="auto"/>
        <w:left w:val="none" w:sz="0" w:space="0" w:color="auto"/>
        <w:bottom w:val="none" w:sz="0" w:space="0" w:color="auto"/>
        <w:right w:val="none" w:sz="0" w:space="0" w:color="auto"/>
      </w:divBdr>
    </w:div>
    <w:div w:id="367295247">
      <w:bodyDiv w:val="1"/>
      <w:marLeft w:val="0"/>
      <w:marRight w:val="0"/>
      <w:marTop w:val="0"/>
      <w:marBottom w:val="0"/>
      <w:divBdr>
        <w:top w:val="none" w:sz="0" w:space="0" w:color="auto"/>
        <w:left w:val="none" w:sz="0" w:space="0" w:color="auto"/>
        <w:bottom w:val="none" w:sz="0" w:space="0" w:color="auto"/>
        <w:right w:val="none" w:sz="0" w:space="0" w:color="auto"/>
      </w:divBdr>
    </w:div>
    <w:div w:id="369038703">
      <w:bodyDiv w:val="1"/>
      <w:marLeft w:val="0"/>
      <w:marRight w:val="0"/>
      <w:marTop w:val="0"/>
      <w:marBottom w:val="0"/>
      <w:divBdr>
        <w:top w:val="none" w:sz="0" w:space="0" w:color="auto"/>
        <w:left w:val="none" w:sz="0" w:space="0" w:color="auto"/>
        <w:bottom w:val="none" w:sz="0" w:space="0" w:color="auto"/>
        <w:right w:val="none" w:sz="0" w:space="0" w:color="auto"/>
      </w:divBdr>
    </w:div>
    <w:div w:id="374738064">
      <w:bodyDiv w:val="1"/>
      <w:marLeft w:val="0"/>
      <w:marRight w:val="0"/>
      <w:marTop w:val="0"/>
      <w:marBottom w:val="0"/>
      <w:divBdr>
        <w:top w:val="none" w:sz="0" w:space="0" w:color="auto"/>
        <w:left w:val="none" w:sz="0" w:space="0" w:color="auto"/>
        <w:bottom w:val="none" w:sz="0" w:space="0" w:color="auto"/>
        <w:right w:val="none" w:sz="0" w:space="0" w:color="auto"/>
      </w:divBdr>
    </w:div>
    <w:div w:id="379087386">
      <w:bodyDiv w:val="1"/>
      <w:marLeft w:val="0"/>
      <w:marRight w:val="0"/>
      <w:marTop w:val="0"/>
      <w:marBottom w:val="0"/>
      <w:divBdr>
        <w:top w:val="none" w:sz="0" w:space="0" w:color="auto"/>
        <w:left w:val="none" w:sz="0" w:space="0" w:color="auto"/>
        <w:bottom w:val="none" w:sz="0" w:space="0" w:color="auto"/>
        <w:right w:val="none" w:sz="0" w:space="0" w:color="auto"/>
      </w:divBdr>
    </w:div>
    <w:div w:id="384959302">
      <w:bodyDiv w:val="1"/>
      <w:marLeft w:val="0"/>
      <w:marRight w:val="0"/>
      <w:marTop w:val="0"/>
      <w:marBottom w:val="0"/>
      <w:divBdr>
        <w:top w:val="none" w:sz="0" w:space="0" w:color="auto"/>
        <w:left w:val="none" w:sz="0" w:space="0" w:color="auto"/>
        <w:bottom w:val="none" w:sz="0" w:space="0" w:color="auto"/>
        <w:right w:val="none" w:sz="0" w:space="0" w:color="auto"/>
      </w:divBdr>
    </w:div>
    <w:div w:id="387415474">
      <w:bodyDiv w:val="1"/>
      <w:marLeft w:val="0"/>
      <w:marRight w:val="0"/>
      <w:marTop w:val="0"/>
      <w:marBottom w:val="0"/>
      <w:divBdr>
        <w:top w:val="none" w:sz="0" w:space="0" w:color="auto"/>
        <w:left w:val="none" w:sz="0" w:space="0" w:color="auto"/>
        <w:bottom w:val="none" w:sz="0" w:space="0" w:color="auto"/>
        <w:right w:val="none" w:sz="0" w:space="0" w:color="auto"/>
      </w:divBdr>
    </w:div>
    <w:div w:id="412556524">
      <w:bodyDiv w:val="1"/>
      <w:marLeft w:val="0"/>
      <w:marRight w:val="0"/>
      <w:marTop w:val="0"/>
      <w:marBottom w:val="0"/>
      <w:divBdr>
        <w:top w:val="none" w:sz="0" w:space="0" w:color="auto"/>
        <w:left w:val="none" w:sz="0" w:space="0" w:color="auto"/>
        <w:bottom w:val="none" w:sz="0" w:space="0" w:color="auto"/>
        <w:right w:val="none" w:sz="0" w:space="0" w:color="auto"/>
      </w:divBdr>
    </w:div>
    <w:div w:id="428965010">
      <w:bodyDiv w:val="1"/>
      <w:marLeft w:val="0"/>
      <w:marRight w:val="0"/>
      <w:marTop w:val="0"/>
      <w:marBottom w:val="0"/>
      <w:divBdr>
        <w:top w:val="none" w:sz="0" w:space="0" w:color="auto"/>
        <w:left w:val="none" w:sz="0" w:space="0" w:color="auto"/>
        <w:bottom w:val="none" w:sz="0" w:space="0" w:color="auto"/>
        <w:right w:val="none" w:sz="0" w:space="0" w:color="auto"/>
      </w:divBdr>
    </w:div>
    <w:div w:id="431363326">
      <w:bodyDiv w:val="1"/>
      <w:marLeft w:val="0"/>
      <w:marRight w:val="0"/>
      <w:marTop w:val="0"/>
      <w:marBottom w:val="0"/>
      <w:divBdr>
        <w:top w:val="none" w:sz="0" w:space="0" w:color="auto"/>
        <w:left w:val="none" w:sz="0" w:space="0" w:color="auto"/>
        <w:bottom w:val="none" w:sz="0" w:space="0" w:color="auto"/>
        <w:right w:val="none" w:sz="0" w:space="0" w:color="auto"/>
      </w:divBdr>
      <w:divsChild>
        <w:div w:id="1137838245">
          <w:marLeft w:val="547"/>
          <w:marRight w:val="0"/>
          <w:marTop w:val="67"/>
          <w:marBottom w:val="0"/>
          <w:divBdr>
            <w:top w:val="none" w:sz="0" w:space="0" w:color="auto"/>
            <w:left w:val="none" w:sz="0" w:space="0" w:color="auto"/>
            <w:bottom w:val="none" w:sz="0" w:space="0" w:color="auto"/>
            <w:right w:val="none" w:sz="0" w:space="0" w:color="auto"/>
          </w:divBdr>
        </w:div>
      </w:divsChild>
    </w:div>
    <w:div w:id="444886435">
      <w:bodyDiv w:val="1"/>
      <w:marLeft w:val="0"/>
      <w:marRight w:val="0"/>
      <w:marTop w:val="0"/>
      <w:marBottom w:val="0"/>
      <w:divBdr>
        <w:top w:val="none" w:sz="0" w:space="0" w:color="auto"/>
        <w:left w:val="none" w:sz="0" w:space="0" w:color="auto"/>
        <w:bottom w:val="none" w:sz="0" w:space="0" w:color="auto"/>
        <w:right w:val="none" w:sz="0" w:space="0" w:color="auto"/>
      </w:divBdr>
    </w:div>
    <w:div w:id="452291739">
      <w:bodyDiv w:val="1"/>
      <w:marLeft w:val="0"/>
      <w:marRight w:val="0"/>
      <w:marTop w:val="0"/>
      <w:marBottom w:val="0"/>
      <w:divBdr>
        <w:top w:val="none" w:sz="0" w:space="0" w:color="auto"/>
        <w:left w:val="none" w:sz="0" w:space="0" w:color="auto"/>
        <w:bottom w:val="none" w:sz="0" w:space="0" w:color="auto"/>
        <w:right w:val="none" w:sz="0" w:space="0" w:color="auto"/>
      </w:divBdr>
    </w:div>
    <w:div w:id="456527707">
      <w:bodyDiv w:val="1"/>
      <w:marLeft w:val="0"/>
      <w:marRight w:val="0"/>
      <w:marTop w:val="0"/>
      <w:marBottom w:val="0"/>
      <w:divBdr>
        <w:top w:val="none" w:sz="0" w:space="0" w:color="auto"/>
        <w:left w:val="none" w:sz="0" w:space="0" w:color="auto"/>
        <w:bottom w:val="none" w:sz="0" w:space="0" w:color="auto"/>
        <w:right w:val="none" w:sz="0" w:space="0" w:color="auto"/>
      </w:divBdr>
    </w:div>
    <w:div w:id="465508420">
      <w:bodyDiv w:val="1"/>
      <w:marLeft w:val="0"/>
      <w:marRight w:val="0"/>
      <w:marTop w:val="0"/>
      <w:marBottom w:val="0"/>
      <w:divBdr>
        <w:top w:val="none" w:sz="0" w:space="0" w:color="auto"/>
        <w:left w:val="none" w:sz="0" w:space="0" w:color="auto"/>
        <w:bottom w:val="none" w:sz="0" w:space="0" w:color="auto"/>
        <w:right w:val="none" w:sz="0" w:space="0" w:color="auto"/>
      </w:divBdr>
    </w:div>
    <w:div w:id="470364485">
      <w:bodyDiv w:val="1"/>
      <w:marLeft w:val="0"/>
      <w:marRight w:val="0"/>
      <w:marTop w:val="0"/>
      <w:marBottom w:val="0"/>
      <w:divBdr>
        <w:top w:val="none" w:sz="0" w:space="0" w:color="auto"/>
        <w:left w:val="none" w:sz="0" w:space="0" w:color="auto"/>
        <w:bottom w:val="none" w:sz="0" w:space="0" w:color="auto"/>
        <w:right w:val="none" w:sz="0" w:space="0" w:color="auto"/>
      </w:divBdr>
    </w:div>
    <w:div w:id="470367630">
      <w:bodyDiv w:val="1"/>
      <w:marLeft w:val="0"/>
      <w:marRight w:val="0"/>
      <w:marTop w:val="0"/>
      <w:marBottom w:val="0"/>
      <w:divBdr>
        <w:top w:val="none" w:sz="0" w:space="0" w:color="auto"/>
        <w:left w:val="none" w:sz="0" w:space="0" w:color="auto"/>
        <w:bottom w:val="none" w:sz="0" w:space="0" w:color="auto"/>
        <w:right w:val="none" w:sz="0" w:space="0" w:color="auto"/>
      </w:divBdr>
    </w:div>
    <w:div w:id="472991297">
      <w:bodyDiv w:val="1"/>
      <w:marLeft w:val="0"/>
      <w:marRight w:val="0"/>
      <w:marTop w:val="0"/>
      <w:marBottom w:val="0"/>
      <w:divBdr>
        <w:top w:val="none" w:sz="0" w:space="0" w:color="auto"/>
        <w:left w:val="none" w:sz="0" w:space="0" w:color="auto"/>
        <w:bottom w:val="none" w:sz="0" w:space="0" w:color="auto"/>
        <w:right w:val="none" w:sz="0" w:space="0" w:color="auto"/>
      </w:divBdr>
    </w:div>
    <w:div w:id="474299781">
      <w:bodyDiv w:val="1"/>
      <w:marLeft w:val="0"/>
      <w:marRight w:val="0"/>
      <w:marTop w:val="0"/>
      <w:marBottom w:val="0"/>
      <w:divBdr>
        <w:top w:val="none" w:sz="0" w:space="0" w:color="auto"/>
        <w:left w:val="none" w:sz="0" w:space="0" w:color="auto"/>
        <w:bottom w:val="none" w:sz="0" w:space="0" w:color="auto"/>
        <w:right w:val="none" w:sz="0" w:space="0" w:color="auto"/>
      </w:divBdr>
    </w:div>
    <w:div w:id="480001506">
      <w:bodyDiv w:val="1"/>
      <w:marLeft w:val="0"/>
      <w:marRight w:val="0"/>
      <w:marTop w:val="0"/>
      <w:marBottom w:val="0"/>
      <w:divBdr>
        <w:top w:val="none" w:sz="0" w:space="0" w:color="auto"/>
        <w:left w:val="none" w:sz="0" w:space="0" w:color="auto"/>
        <w:bottom w:val="none" w:sz="0" w:space="0" w:color="auto"/>
        <w:right w:val="none" w:sz="0" w:space="0" w:color="auto"/>
      </w:divBdr>
    </w:div>
    <w:div w:id="480973249">
      <w:bodyDiv w:val="1"/>
      <w:marLeft w:val="0"/>
      <w:marRight w:val="0"/>
      <w:marTop w:val="0"/>
      <w:marBottom w:val="0"/>
      <w:divBdr>
        <w:top w:val="none" w:sz="0" w:space="0" w:color="auto"/>
        <w:left w:val="none" w:sz="0" w:space="0" w:color="auto"/>
        <w:bottom w:val="none" w:sz="0" w:space="0" w:color="auto"/>
        <w:right w:val="none" w:sz="0" w:space="0" w:color="auto"/>
      </w:divBdr>
    </w:div>
    <w:div w:id="487206259">
      <w:bodyDiv w:val="1"/>
      <w:marLeft w:val="0"/>
      <w:marRight w:val="0"/>
      <w:marTop w:val="0"/>
      <w:marBottom w:val="0"/>
      <w:divBdr>
        <w:top w:val="none" w:sz="0" w:space="0" w:color="auto"/>
        <w:left w:val="none" w:sz="0" w:space="0" w:color="auto"/>
        <w:bottom w:val="none" w:sz="0" w:space="0" w:color="auto"/>
        <w:right w:val="none" w:sz="0" w:space="0" w:color="auto"/>
      </w:divBdr>
    </w:div>
    <w:div w:id="495344979">
      <w:bodyDiv w:val="1"/>
      <w:marLeft w:val="0"/>
      <w:marRight w:val="0"/>
      <w:marTop w:val="0"/>
      <w:marBottom w:val="0"/>
      <w:divBdr>
        <w:top w:val="none" w:sz="0" w:space="0" w:color="auto"/>
        <w:left w:val="none" w:sz="0" w:space="0" w:color="auto"/>
        <w:bottom w:val="none" w:sz="0" w:space="0" w:color="auto"/>
        <w:right w:val="none" w:sz="0" w:space="0" w:color="auto"/>
      </w:divBdr>
    </w:div>
    <w:div w:id="498925914">
      <w:bodyDiv w:val="1"/>
      <w:marLeft w:val="0"/>
      <w:marRight w:val="0"/>
      <w:marTop w:val="0"/>
      <w:marBottom w:val="0"/>
      <w:divBdr>
        <w:top w:val="none" w:sz="0" w:space="0" w:color="auto"/>
        <w:left w:val="none" w:sz="0" w:space="0" w:color="auto"/>
        <w:bottom w:val="none" w:sz="0" w:space="0" w:color="auto"/>
        <w:right w:val="none" w:sz="0" w:space="0" w:color="auto"/>
      </w:divBdr>
    </w:div>
    <w:div w:id="509032982">
      <w:bodyDiv w:val="1"/>
      <w:marLeft w:val="0"/>
      <w:marRight w:val="0"/>
      <w:marTop w:val="0"/>
      <w:marBottom w:val="0"/>
      <w:divBdr>
        <w:top w:val="none" w:sz="0" w:space="0" w:color="auto"/>
        <w:left w:val="none" w:sz="0" w:space="0" w:color="auto"/>
        <w:bottom w:val="none" w:sz="0" w:space="0" w:color="auto"/>
        <w:right w:val="none" w:sz="0" w:space="0" w:color="auto"/>
      </w:divBdr>
    </w:div>
    <w:div w:id="534931651">
      <w:bodyDiv w:val="1"/>
      <w:marLeft w:val="0"/>
      <w:marRight w:val="0"/>
      <w:marTop w:val="0"/>
      <w:marBottom w:val="0"/>
      <w:divBdr>
        <w:top w:val="none" w:sz="0" w:space="0" w:color="auto"/>
        <w:left w:val="none" w:sz="0" w:space="0" w:color="auto"/>
        <w:bottom w:val="none" w:sz="0" w:space="0" w:color="auto"/>
        <w:right w:val="none" w:sz="0" w:space="0" w:color="auto"/>
      </w:divBdr>
    </w:div>
    <w:div w:id="535168001">
      <w:bodyDiv w:val="1"/>
      <w:marLeft w:val="0"/>
      <w:marRight w:val="0"/>
      <w:marTop w:val="0"/>
      <w:marBottom w:val="0"/>
      <w:divBdr>
        <w:top w:val="none" w:sz="0" w:space="0" w:color="auto"/>
        <w:left w:val="none" w:sz="0" w:space="0" w:color="auto"/>
        <w:bottom w:val="none" w:sz="0" w:space="0" w:color="auto"/>
        <w:right w:val="none" w:sz="0" w:space="0" w:color="auto"/>
      </w:divBdr>
    </w:div>
    <w:div w:id="537426866">
      <w:bodyDiv w:val="1"/>
      <w:marLeft w:val="0"/>
      <w:marRight w:val="0"/>
      <w:marTop w:val="0"/>
      <w:marBottom w:val="0"/>
      <w:divBdr>
        <w:top w:val="none" w:sz="0" w:space="0" w:color="auto"/>
        <w:left w:val="none" w:sz="0" w:space="0" w:color="auto"/>
        <w:bottom w:val="none" w:sz="0" w:space="0" w:color="auto"/>
        <w:right w:val="none" w:sz="0" w:space="0" w:color="auto"/>
      </w:divBdr>
    </w:div>
    <w:div w:id="540017460">
      <w:bodyDiv w:val="1"/>
      <w:marLeft w:val="0"/>
      <w:marRight w:val="0"/>
      <w:marTop w:val="0"/>
      <w:marBottom w:val="0"/>
      <w:divBdr>
        <w:top w:val="none" w:sz="0" w:space="0" w:color="auto"/>
        <w:left w:val="none" w:sz="0" w:space="0" w:color="auto"/>
        <w:bottom w:val="none" w:sz="0" w:space="0" w:color="auto"/>
        <w:right w:val="none" w:sz="0" w:space="0" w:color="auto"/>
      </w:divBdr>
    </w:div>
    <w:div w:id="561672682">
      <w:bodyDiv w:val="1"/>
      <w:marLeft w:val="0"/>
      <w:marRight w:val="0"/>
      <w:marTop w:val="0"/>
      <w:marBottom w:val="0"/>
      <w:divBdr>
        <w:top w:val="none" w:sz="0" w:space="0" w:color="auto"/>
        <w:left w:val="none" w:sz="0" w:space="0" w:color="auto"/>
        <w:bottom w:val="none" w:sz="0" w:space="0" w:color="auto"/>
        <w:right w:val="none" w:sz="0" w:space="0" w:color="auto"/>
      </w:divBdr>
    </w:div>
    <w:div w:id="587421575">
      <w:bodyDiv w:val="1"/>
      <w:marLeft w:val="0"/>
      <w:marRight w:val="0"/>
      <w:marTop w:val="0"/>
      <w:marBottom w:val="0"/>
      <w:divBdr>
        <w:top w:val="none" w:sz="0" w:space="0" w:color="auto"/>
        <w:left w:val="none" w:sz="0" w:space="0" w:color="auto"/>
        <w:bottom w:val="none" w:sz="0" w:space="0" w:color="auto"/>
        <w:right w:val="none" w:sz="0" w:space="0" w:color="auto"/>
      </w:divBdr>
    </w:div>
    <w:div w:id="588461638">
      <w:bodyDiv w:val="1"/>
      <w:marLeft w:val="0"/>
      <w:marRight w:val="0"/>
      <w:marTop w:val="0"/>
      <w:marBottom w:val="0"/>
      <w:divBdr>
        <w:top w:val="none" w:sz="0" w:space="0" w:color="auto"/>
        <w:left w:val="none" w:sz="0" w:space="0" w:color="auto"/>
        <w:bottom w:val="none" w:sz="0" w:space="0" w:color="auto"/>
        <w:right w:val="none" w:sz="0" w:space="0" w:color="auto"/>
      </w:divBdr>
    </w:div>
    <w:div w:id="598366456">
      <w:bodyDiv w:val="1"/>
      <w:marLeft w:val="0"/>
      <w:marRight w:val="0"/>
      <w:marTop w:val="0"/>
      <w:marBottom w:val="0"/>
      <w:divBdr>
        <w:top w:val="none" w:sz="0" w:space="0" w:color="auto"/>
        <w:left w:val="none" w:sz="0" w:space="0" w:color="auto"/>
        <w:bottom w:val="none" w:sz="0" w:space="0" w:color="auto"/>
        <w:right w:val="none" w:sz="0" w:space="0" w:color="auto"/>
      </w:divBdr>
    </w:div>
    <w:div w:id="612245852">
      <w:bodyDiv w:val="1"/>
      <w:marLeft w:val="0"/>
      <w:marRight w:val="0"/>
      <w:marTop w:val="0"/>
      <w:marBottom w:val="0"/>
      <w:divBdr>
        <w:top w:val="none" w:sz="0" w:space="0" w:color="auto"/>
        <w:left w:val="none" w:sz="0" w:space="0" w:color="auto"/>
        <w:bottom w:val="none" w:sz="0" w:space="0" w:color="auto"/>
        <w:right w:val="none" w:sz="0" w:space="0" w:color="auto"/>
      </w:divBdr>
    </w:div>
    <w:div w:id="621309520">
      <w:bodyDiv w:val="1"/>
      <w:marLeft w:val="0"/>
      <w:marRight w:val="0"/>
      <w:marTop w:val="0"/>
      <w:marBottom w:val="0"/>
      <w:divBdr>
        <w:top w:val="none" w:sz="0" w:space="0" w:color="auto"/>
        <w:left w:val="none" w:sz="0" w:space="0" w:color="auto"/>
        <w:bottom w:val="none" w:sz="0" w:space="0" w:color="auto"/>
        <w:right w:val="none" w:sz="0" w:space="0" w:color="auto"/>
      </w:divBdr>
    </w:div>
    <w:div w:id="625545983">
      <w:bodyDiv w:val="1"/>
      <w:marLeft w:val="0"/>
      <w:marRight w:val="0"/>
      <w:marTop w:val="0"/>
      <w:marBottom w:val="0"/>
      <w:divBdr>
        <w:top w:val="none" w:sz="0" w:space="0" w:color="auto"/>
        <w:left w:val="none" w:sz="0" w:space="0" w:color="auto"/>
        <w:bottom w:val="none" w:sz="0" w:space="0" w:color="auto"/>
        <w:right w:val="none" w:sz="0" w:space="0" w:color="auto"/>
      </w:divBdr>
    </w:div>
    <w:div w:id="632752436">
      <w:bodyDiv w:val="1"/>
      <w:marLeft w:val="0"/>
      <w:marRight w:val="0"/>
      <w:marTop w:val="0"/>
      <w:marBottom w:val="0"/>
      <w:divBdr>
        <w:top w:val="none" w:sz="0" w:space="0" w:color="auto"/>
        <w:left w:val="none" w:sz="0" w:space="0" w:color="auto"/>
        <w:bottom w:val="none" w:sz="0" w:space="0" w:color="auto"/>
        <w:right w:val="none" w:sz="0" w:space="0" w:color="auto"/>
      </w:divBdr>
    </w:div>
    <w:div w:id="633370392">
      <w:bodyDiv w:val="1"/>
      <w:marLeft w:val="0"/>
      <w:marRight w:val="0"/>
      <w:marTop w:val="0"/>
      <w:marBottom w:val="0"/>
      <w:divBdr>
        <w:top w:val="none" w:sz="0" w:space="0" w:color="auto"/>
        <w:left w:val="none" w:sz="0" w:space="0" w:color="auto"/>
        <w:bottom w:val="none" w:sz="0" w:space="0" w:color="auto"/>
        <w:right w:val="none" w:sz="0" w:space="0" w:color="auto"/>
      </w:divBdr>
    </w:div>
    <w:div w:id="639963857">
      <w:bodyDiv w:val="1"/>
      <w:marLeft w:val="0"/>
      <w:marRight w:val="0"/>
      <w:marTop w:val="0"/>
      <w:marBottom w:val="0"/>
      <w:divBdr>
        <w:top w:val="none" w:sz="0" w:space="0" w:color="auto"/>
        <w:left w:val="none" w:sz="0" w:space="0" w:color="auto"/>
        <w:bottom w:val="none" w:sz="0" w:space="0" w:color="auto"/>
        <w:right w:val="none" w:sz="0" w:space="0" w:color="auto"/>
      </w:divBdr>
    </w:div>
    <w:div w:id="653338300">
      <w:bodyDiv w:val="1"/>
      <w:marLeft w:val="0"/>
      <w:marRight w:val="0"/>
      <w:marTop w:val="0"/>
      <w:marBottom w:val="0"/>
      <w:divBdr>
        <w:top w:val="none" w:sz="0" w:space="0" w:color="auto"/>
        <w:left w:val="none" w:sz="0" w:space="0" w:color="auto"/>
        <w:bottom w:val="none" w:sz="0" w:space="0" w:color="auto"/>
        <w:right w:val="none" w:sz="0" w:space="0" w:color="auto"/>
      </w:divBdr>
      <w:divsChild>
        <w:div w:id="177427346">
          <w:marLeft w:val="547"/>
          <w:marRight w:val="0"/>
          <w:marTop w:val="77"/>
          <w:marBottom w:val="0"/>
          <w:divBdr>
            <w:top w:val="none" w:sz="0" w:space="0" w:color="auto"/>
            <w:left w:val="none" w:sz="0" w:space="0" w:color="auto"/>
            <w:bottom w:val="none" w:sz="0" w:space="0" w:color="auto"/>
            <w:right w:val="none" w:sz="0" w:space="0" w:color="auto"/>
          </w:divBdr>
        </w:div>
      </w:divsChild>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65791904">
      <w:bodyDiv w:val="1"/>
      <w:marLeft w:val="0"/>
      <w:marRight w:val="0"/>
      <w:marTop w:val="0"/>
      <w:marBottom w:val="0"/>
      <w:divBdr>
        <w:top w:val="none" w:sz="0" w:space="0" w:color="auto"/>
        <w:left w:val="none" w:sz="0" w:space="0" w:color="auto"/>
        <w:bottom w:val="none" w:sz="0" w:space="0" w:color="auto"/>
        <w:right w:val="none" w:sz="0" w:space="0" w:color="auto"/>
      </w:divBdr>
    </w:div>
    <w:div w:id="676007759">
      <w:bodyDiv w:val="1"/>
      <w:marLeft w:val="0"/>
      <w:marRight w:val="0"/>
      <w:marTop w:val="0"/>
      <w:marBottom w:val="0"/>
      <w:divBdr>
        <w:top w:val="none" w:sz="0" w:space="0" w:color="auto"/>
        <w:left w:val="none" w:sz="0" w:space="0" w:color="auto"/>
        <w:bottom w:val="none" w:sz="0" w:space="0" w:color="auto"/>
        <w:right w:val="none" w:sz="0" w:space="0" w:color="auto"/>
      </w:divBdr>
    </w:div>
    <w:div w:id="693726959">
      <w:bodyDiv w:val="1"/>
      <w:marLeft w:val="0"/>
      <w:marRight w:val="0"/>
      <w:marTop w:val="0"/>
      <w:marBottom w:val="0"/>
      <w:divBdr>
        <w:top w:val="none" w:sz="0" w:space="0" w:color="auto"/>
        <w:left w:val="none" w:sz="0" w:space="0" w:color="auto"/>
        <w:bottom w:val="none" w:sz="0" w:space="0" w:color="auto"/>
        <w:right w:val="none" w:sz="0" w:space="0" w:color="auto"/>
      </w:divBdr>
      <w:divsChild>
        <w:div w:id="70271613">
          <w:marLeft w:val="547"/>
          <w:marRight w:val="0"/>
          <w:marTop w:val="77"/>
          <w:marBottom w:val="0"/>
          <w:divBdr>
            <w:top w:val="none" w:sz="0" w:space="0" w:color="auto"/>
            <w:left w:val="none" w:sz="0" w:space="0" w:color="auto"/>
            <w:bottom w:val="none" w:sz="0" w:space="0" w:color="auto"/>
            <w:right w:val="none" w:sz="0" w:space="0" w:color="auto"/>
          </w:divBdr>
        </w:div>
        <w:div w:id="210115459">
          <w:marLeft w:val="547"/>
          <w:marRight w:val="0"/>
          <w:marTop w:val="77"/>
          <w:marBottom w:val="0"/>
          <w:divBdr>
            <w:top w:val="none" w:sz="0" w:space="0" w:color="auto"/>
            <w:left w:val="none" w:sz="0" w:space="0" w:color="auto"/>
            <w:bottom w:val="none" w:sz="0" w:space="0" w:color="auto"/>
            <w:right w:val="none" w:sz="0" w:space="0" w:color="auto"/>
          </w:divBdr>
        </w:div>
        <w:div w:id="1331830110">
          <w:marLeft w:val="547"/>
          <w:marRight w:val="0"/>
          <w:marTop w:val="77"/>
          <w:marBottom w:val="0"/>
          <w:divBdr>
            <w:top w:val="none" w:sz="0" w:space="0" w:color="auto"/>
            <w:left w:val="none" w:sz="0" w:space="0" w:color="auto"/>
            <w:bottom w:val="none" w:sz="0" w:space="0" w:color="auto"/>
            <w:right w:val="none" w:sz="0" w:space="0" w:color="auto"/>
          </w:divBdr>
        </w:div>
      </w:divsChild>
    </w:div>
    <w:div w:id="707877448">
      <w:bodyDiv w:val="1"/>
      <w:marLeft w:val="0"/>
      <w:marRight w:val="0"/>
      <w:marTop w:val="0"/>
      <w:marBottom w:val="0"/>
      <w:divBdr>
        <w:top w:val="none" w:sz="0" w:space="0" w:color="auto"/>
        <w:left w:val="none" w:sz="0" w:space="0" w:color="auto"/>
        <w:bottom w:val="none" w:sz="0" w:space="0" w:color="auto"/>
        <w:right w:val="none" w:sz="0" w:space="0" w:color="auto"/>
      </w:divBdr>
    </w:div>
    <w:div w:id="709383780">
      <w:bodyDiv w:val="1"/>
      <w:marLeft w:val="0"/>
      <w:marRight w:val="0"/>
      <w:marTop w:val="0"/>
      <w:marBottom w:val="0"/>
      <w:divBdr>
        <w:top w:val="none" w:sz="0" w:space="0" w:color="auto"/>
        <w:left w:val="none" w:sz="0" w:space="0" w:color="auto"/>
        <w:bottom w:val="none" w:sz="0" w:space="0" w:color="auto"/>
        <w:right w:val="none" w:sz="0" w:space="0" w:color="auto"/>
      </w:divBdr>
    </w:div>
    <w:div w:id="718670203">
      <w:bodyDiv w:val="1"/>
      <w:marLeft w:val="0"/>
      <w:marRight w:val="0"/>
      <w:marTop w:val="0"/>
      <w:marBottom w:val="0"/>
      <w:divBdr>
        <w:top w:val="none" w:sz="0" w:space="0" w:color="auto"/>
        <w:left w:val="none" w:sz="0" w:space="0" w:color="auto"/>
        <w:bottom w:val="none" w:sz="0" w:space="0" w:color="auto"/>
        <w:right w:val="none" w:sz="0" w:space="0" w:color="auto"/>
      </w:divBdr>
      <w:divsChild>
        <w:div w:id="185143738">
          <w:marLeft w:val="547"/>
          <w:marRight w:val="0"/>
          <w:marTop w:val="67"/>
          <w:marBottom w:val="0"/>
          <w:divBdr>
            <w:top w:val="none" w:sz="0" w:space="0" w:color="auto"/>
            <w:left w:val="none" w:sz="0" w:space="0" w:color="auto"/>
            <w:bottom w:val="none" w:sz="0" w:space="0" w:color="auto"/>
            <w:right w:val="none" w:sz="0" w:space="0" w:color="auto"/>
          </w:divBdr>
        </w:div>
        <w:div w:id="725879469">
          <w:marLeft w:val="547"/>
          <w:marRight w:val="0"/>
          <w:marTop w:val="67"/>
          <w:marBottom w:val="0"/>
          <w:divBdr>
            <w:top w:val="none" w:sz="0" w:space="0" w:color="auto"/>
            <w:left w:val="none" w:sz="0" w:space="0" w:color="auto"/>
            <w:bottom w:val="none" w:sz="0" w:space="0" w:color="auto"/>
            <w:right w:val="none" w:sz="0" w:space="0" w:color="auto"/>
          </w:divBdr>
        </w:div>
        <w:div w:id="915819039">
          <w:marLeft w:val="547"/>
          <w:marRight w:val="0"/>
          <w:marTop w:val="67"/>
          <w:marBottom w:val="0"/>
          <w:divBdr>
            <w:top w:val="none" w:sz="0" w:space="0" w:color="auto"/>
            <w:left w:val="none" w:sz="0" w:space="0" w:color="auto"/>
            <w:bottom w:val="none" w:sz="0" w:space="0" w:color="auto"/>
            <w:right w:val="none" w:sz="0" w:space="0" w:color="auto"/>
          </w:divBdr>
        </w:div>
      </w:divsChild>
    </w:div>
    <w:div w:id="723991258">
      <w:bodyDiv w:val="1"/>
      <w:marLeft w:val="0"/>
      <w:marRight w:val="0"/>
      <w:marTop w:val="0"/>
      <w:marBottom w:val="0"/>
      <w:divBdr>
        <w:top w:val="none" w:sz="0" w:space="0" w:color="auto"/>
        <w:left w:val="none" w:sz="0" w:space="0" w:color="auto"/>
        <w:bottom w:val="none" w:sz="0" w:space="0" w:color="auto"/>
        <w:right w:val="none" w:sz="0" w:space="0" w:color="auto"/>
      </w:divBdr>
    </w:div>
    <w:div w:id="735468677">
      <w:bodyDiv w:val="1"/>
      <w:marLeft w:val="0"/>
      <w:marRight w:val="0"/>
      <w:marTop w:val="0"/>
      <w:marBottom w:val="0"/>
      <w:divBdr>
        <w:top w:val="none" w:sz="0" w:space="0" w:color="auto"/>
        <w:left w:val="none" w:sz="0" w:space="0" w:color="auto"/>
        <w:bottom w:val="none" w:sz="0" w:space="0" w:color="auto"/>
        <w:right w:val="none" w:sz="0" w:space="0" w:color="auto"/>
      </w:divBdr>
    </w:div>
    <w:div w:id="736560419">
      <w:bodyDiv w:val="1"/>
      <w:marLeft w:val="0"/>
      <w:marRight w:val="0"/>
      <w:marTop w:val="0"/>
      <w:marBottom w:val="0"/>
      <w:divBdr>
        <w:top w:val="none" w:sz="0" w:space="0" w:color="auto"/>
        <w:left w:val="none" w:sz="0" w:space="0" w:color="auto"/>
        <w:bottom w:val="none" w:sz="0" w:space="0" w:color="auto"/>
        <w:right w:val="none" w:sz="0" w:space="0" w:color="auto"/>
      </w:divBdr>
    </w:div>
    <w:div w:id="741565993">
      <w:bodyDiv w:val="1"/>
      <w:marLeft w:val="0"/>
      <w:marRight w:val="0"/>
      <w:marTop w:val="0"/>
      <w:marBottom w:val="0"/>
      <w:divBdr>
        <w:top w:val="none" w:sz="0" w:space="0" w:color="auto"/>
        <w:left w:val="none" w:sz="0" w:space="0" w:color="auto"/>
        <w:bottom w:val="none" w:sz="0" w:space="0" w:color="auto"/>
        <w:right w:val="none" w:sz="0" w:space="0" w:color="auto"/>
      </w:divBdr>
    </w:div>
    <w:div w:id="746457852">
      <w:bodyDiv w:val="1"/>
      <w:marLeft w:val="0"/>
      <w:marRight w:val="0"/>
      <w:marTop w:val="0"/>
      <w:marBottom w:val="0"/>
      <w:divBdr>
        <w:top w:val="none" w:sz="0" w:space="0" w:color="auto"/>
        <w:left w:val="none" w:sz="0" w:space="0" w:color="auto"/>
        <w:bottom w:val="none" w:sz="0" w:space="0" w:color="auto"/>
        <w:right w:val="none" w:sz="0" w:space="0" w:color="auto"/>
      </w:divBdr>
    </w:div>
    <w:div w:id="751387633">
      <w:bodyDiv w:val="1"/>
      <w:marLeft w:val="0"/>
      <w:marRight w:val="0"/>
      <w:marTop w:val="0"/>
      <w:marBottom w:val="0"/>
      <w:divBdr>
        <w:top w:val="none" w:sz="0" w:space="0" w:color="auto"/>
        <w:left w:val="none" w:sz="0" w:space="0" w:color="auto"/>
        <w:bottom w:val="none" w:sz="0" w:space="0" w:color="auto"/>
        <w:right w:val="none" w:sz="0" w:space="0" w:color="auto"/>
      </w:divBdr>
    </w:div>
    <w:div w:id="761803171">
      <w:bodyDiv w:val="1"/>
      <w:marLeft w:val="0"/>
      <w:marRight w:val="0"/>
      <w:marTop w:val="0"/>
      <w:marBottom w:val="0"/>
      <w:divBdr>
        <w:top w:val="none" w:sz="0" w:space="0" w:color="auto"/>
        <w:left w:val="none" w:sz="0" w:space="0" w:color="auto"/>
        <w:bottom w:val="none" w:sz="0" w:space="0" w:color="auto"/>
        <w:right w:val="none" w:sz="0" w:space="0" w:color="auto"/>
      </w:divBdr>
    </w:div>
    <w:div w:id="763189701">
      <w:bodyDiv w:val="1"/>
      <w:marLeft w:val="0"/>
      <w:marRight w:val="0"/>
      <w:marTop w:val="0"/>
      <w:marBottom w:val="0"/>
      <w:divBdr>
        <w:top w:val="none" w:sz="0" w:space="0" w:color="auto"/>
        <w:left w:val="none" w:sz="0" w:space="0" w:color="auto"/>
        <w:bottom w:val="none" w:sz="0" w:space="0" w:color="auto"/>
        <w:right w:val="none" w:sz="0" w:space="0" w:color="auto"/>
      </w:divBdr>
    </w:div>
    <w:div w:id="764112722">
      <w:bodyDiv w:val="1"/>
      <w:marLeft w:val="0"/>
      <w:marRight w:val="0"/>
      <w:marTop w:val="0"/>
      <w:marBottom w:val="0"/>
      <w:divBdr>
        <w:top w:val="none" w:sz="0" w:space="0" w:color="auto"/>
        <w:left w:val="none" w:sz="0" w:space="0" w:color="auto"/>
        <w:bottom w:val="none" w:sz="0" w:space="0" w:color="auto"/>
        <w:right w:val="none" w:sz="0" w:space="0" w:color="auto"/>
      </w:divBdr>
    </w:div>
    <w:div w:id="772214383">
      <w:bodyDiv w:val="1"/>
      <w:marLeft w:val="0"/>
      <w:marRight w:val="0"/>
      <w:marTop w:val="0"/>
      <w:marBottom w:val="0"/>
      <w:divBdr>
        <w:top w:val="none" w:sz="0" w:space="0" w:color="auto"/>
        <w:left w:val="none" w:sz="0" w:space="0" w:color="auto"/>
        <w:bottom w:val="none" w:sz="0" w:space="0" w:color="auto"/>
        <w:right w:val="none" w:sz="0" w:space="0" w:color="auto"/>
      </w:divBdr>
    </w:div>
    <w:div w:id="777287672">
      <w:bodyDiv w:val="1"/>
      <w:marLeft w:val="0"/>
      <w:marRight w:val="0"/>
      <w:marTop w:val="0"/>
      <w:marBottom w:val="0"/>
      <w:divBdr>
        <w:top w:val="none" w:sz="0" w:space="0" w:color="auto"/>
        <w:left w:val="none" w:sz="0" w:space="0" w:color="auto"/>
        <w:bottom w:val="none" w:sz="0" w:space="0" w:color="auto"/>
        <w:right w:val="none" w:sz="0" w:space="0" w:color="auto"/>
      </w:divBdr>
    </w:div>
    <w:div w:id="781418342">
      <w:bodyDiv w:val="1"/>
      <w:marLeft w:val="0"/>
      <w:marRight w:val="0"/>
      <w:marTop w:val="0"/>
      <w:marBottom w:val="0"/>
      <w:divBdr>
        <w:top w:val="none" w:sz="0" w:space="0" w:color="auto"/>
        <w:left w:val="none" w:sz="0" w:space="0" w:color="auto"/>
        <w:bottom w:val="none" w:sz="0" w:space="0" w:color="auto"/>
        <w:right w:val="none" w:sz="0" w:space="0" w:color="auto"/>
      </w:divBdr>
    </w:div>
    <w:div w:id="790824527">
      <w:bodyDiv w:val="1"/>
      <w:marLeft w:val="0"/>
      <w:marRight w:val="0"/>
      <w:marTop w:val="0"/>
      <w:marBottom w:val="0"/>
      <w:divBdr>
        <w:top w:val="none" w:sz="0" w:space="0" w:color="auto"/>
        <w:left w:val="none" w:sz="0" w:space="0" w:color="auto"/>
        <w:bottom w:val="none" w:sz="0" w:space="0" w:color="auto"/>
        <w:right w:val="none" w:sz="0" w:space="0" w:color="auto"/>
      </w:divBdr>
    </w:div>
    <w:div w:id="796262824">
      <w:bodyDiv w:val="1"/>
      <w:marLeft w:val="0"/>
      <w:marRight w:val="0"/>
      <w:marTop w:val="0"/>
      <w:marBottom w:val="0"/>
      <w:divBdr>
        <w:top w:val="none" w:sz="0" w:space="0" w:color="auto"/>
        <w:left w:val="none" w:sz="0" w:space="0" w:color="auto"/>
        <w:bottom w:val="none" w:sz="0" w:space="0" w:color="auto"/>
        <w:right w:val="none" w:sz="0" w:space="0" w:color="auto"/>
      </w:divBdr>
    </w:div>
    <w:div w:id="829367088">
      <w:bodyDiv w:val="1"/>
      <w:marLeft w:val="0"/>
      <w:marRight w:val="0"/>
      <w:marTop w:val="0"/>
      <w:marBottom w:val="0"/>
      <w:divBdr>
        <w:top w:val="none" w:sz="0" w:space="0" w:color="auto"/>
        <w:left w:val="none" w:sz="0" w:space="0" w:color="auto"/>
        <w:bottom w:val="none" w:sz="0" w:space="0" w:color="auto"/>
        <w:right w:val="none" w:sz="0" w:space="0" w:color="auto"/>
      </w:divBdr>
    </w:div>
    <w:div w:id="836463639">
      <w:bodyDiv w:val="1"/>
      <w:marLeft w:val="0"/>
      <w:marRight w:val="0"/>
      <w:marTop w:val="0"/>
      <w:marBottom w:val="0"/>
      <w:divBdr>
        <w:top w:val="none" w:sz="0" w:space="0" w:color="auto"/>
        <w:left w:val="none" w:sz="0" w:space="0" w:color="auto"/>
        <w:bottom w:val="none" w:sz="0" w:space="0" w:color="auto"/>
        <w:right w:val="none" w:sz="0" w:space="0" w:color="auto"/>
      </w:divBdr>
    </w:div>
    <w:div w:id="840003203">
      <w:bodyDiv w:val="1"/>
      <w:marLeft w:val="0"/>
      <w:marRight w:val="0"/>
      <w:marTop w:val="0"/>
      <w:marBottom w:val="0"/>
      <w:divBdr>
        <w:top w:val="none" w:sz="0" w:space="0" w:color="auto"/>
        <w:left w:val="none" w:sz="0" w:space="0" w:color="auto"/>
        <w:bottom w:val="none" w:sz="0" w:space="0" w:color="auto"/>
        <w:right w:val="none" w:sz="0" w:space="0" w:color="auto"/>
      </w:divBdr>
    </w:div>
    <w:div w:id="844828182">
      <w:bodyDiv w:val="1"/>
      <w:marLeft w:val="0"/>
      <w:marRight w:val="0"/>
      <w:marTop w:val="0"/>
      <w:marBottom w:val="0"/>
      <w:divBdr>
        <w:top w:val="none" w:sz="0" w:space="0" w:color="auto"/>
        <w:left w:val="none" w:sz="0" w:space="0" w:color="auto"/>
        <w:bottom w:val="none" w:sz="0" w:space="0" w:color="auto"/>
        <w:right w:val="none" w:sz="0" w:space="0" w:color="auto"/>
      </w:divBdr>
    </w:div>
    <w:div w:id="847409233">
      <w:bodyDiv w:val="1"/>
      <w:marLeft w:val="0"/>
      <w:marRight w:val="0"/>
      <w:marTop w:val="0"/>
      <w:marBottom w:val="0"/>
      <w:divBdr>
        <w:top w:val="none" w:sz="0" w:space="0" w:color="auto"/>
        <w:left w:val="none" w:sz="0" w:space="0" w:color="auto"/>
        <w:bottom w:val="none" w:sz="0" w:space="0" w:color="auto"/>
        <w:right w:val="none" w:sz="0" w:space="0" w:color="auto"/>
      </w:divBdr>
    </w:div>
    <w:div w:id="853613130">
      <w:bodyDiv w:val="1"/>
      <w:marLeft w:val="0"/>
      <w:marRight w:val="0"/>
      <w:marTop w:val="0"/>
      <w:marBottom w:val="0"/>
      <w:divBdr>
        <w:top w:val="none" w:sz="0" w:space="0" w:color="auto"/>
        <w:left w:val="none" w:sz="0" w:space="0" w:color="auto"/>
        <w:bottom w:val="none" w:sz="0" w:space="0" w:color="auto"/>
        <w:right w:val="none" w:sz="0" w:space="0" w:color="auto"/>
      </w:divBdr>
    </w:div>
    <w:div w:id="854149592">
      <w:bodyDiv w:val="1"/>
      <w:marLeft w:val="0"/>
      <w:marRight w:val="0"/>
      <w:marTop w:val="0"/>
      <w:marBottom w:val="0"/>
      <w:divBdr>
        <w:top w:val="none" w:sz="0" w:space="0" w:color="auto"/>
        <w:left w:val="none" w:sz="0" w:space="0" w:color="auto"/>
        <w:bottom w:val="none" w:sz="0" w:space="0" w:color="auto"/>
        <w:right w:val="none" w:sz="0" w:space="0" w:color="auto"/>
      </w:divBdr>
    </w:div>
    <w:div w:id="861432942">
      <w:bodyDiv w:val="1"/>
      <w:marLeft w:val="0"/>
      <w:marRight w:val="0"/>
      <w:marTop w:val="0"/>
      <w:marBottom w:val="0"/>
      <w:divBdr>
        <w:top w:val="none" w:sz="0" w:space="0" w:color="auto"/>
        <w:left w:val="none" w:sz="0" w:space="0" w:color="auto"/>
        <w:bottom w:val="none" w:sz="0" w:space="0" w:color="auto"/>
        <w:right w:val="none" w:sz="0" w:space="0" w:color="auto"/>
      </w:divBdr>
      <w:divsChild>
        <w:div w:id="354884792">
          <w:marLeft w:val="547"/>
          <w:marRight w:val="0"/>
          <w:marTop w:val="67"/>
          <w:marBottom w:val="0"/>
          <w:divBdr>
            <w:top w:val="none" w:sz="0" w:space="0" w:color="auto"/>
            <w:left w:val="none" w:sz="0" w:space="0" w:color="auto"/>
            <w:bottom w:val="none" w:sz="0" w:space="0" w:color="auto"/>
            <w:right w:val="none" w:sz="0" w:space="0" w:color="auto"/>
          </w:divBdr>
        </w:div>
        <w:div w:id="422608435">
          <w:marLeft w:val="547"/>
          <w:marRight w:val="0"/>
          <w:marTop w:val="67"/>
          <w:marBottom w:val="0"/>
          <w:divBdr>
            <w:top w:val="none" w:sz="0" w:space="0" w:color="auto"/>
            <w:left w:val="none" w:sz="0" w:space="0" w:color="auto"/>
            <w:bottom w:val="none" w:sz="0" w:space="0" w:color="auto"/>
            <w:right w:val="none" w:sz="0" w:space="0" w:color="auto"/>
          </w:divBdr>
        </w:div>
        <w:div w:id="722825605">
          <w:marLeft w:val="547"/>
          <w:marRight w:val="0"/>
          <w:marTop w:val="67"/>
          <w:marBottom w:val="0"/>
          <w:divBdr>
            <w:top w:val="none" w:sz="0" w:space="0" w:color="auto"/>
            <w:left w:val="none" w:sz="0" w:space="0" w:color="auto"/>
            <w:bottom w:val="none" w:sz="0" w:space="0" w:color="auto"/>
            <w:right w:val="none" w:sz="0" w:space="0" w:color="auto"/>
          </w:divBdr>
        </w:div>
        <w:div w:id="1466856043">
          <w:marLeft w:val="547"/>
          <w:marRight w:val="0"/>
          <w:marTop w:val="67"/>
          <w:marBottom w:val="0"/>
          <w:divBdr>
            <w:top w:val="none" w:sz="0" w:space="0" w:color="auto"/>
            <w:left w:val="none" w:sz="0" w:space="0" w:color="auto"/>
            <w:bottom w:val="none" w:sz="0" w:space="0" w:color="auto"/>
            <w:right w:val="none" w:sz="0" w:space="0" w:color="auto"/>
          </w:divBdr>
        </w:div>
        <w:div w:id="1977952127">
          <w:marLeft w:val="547"/>
          <w:marRight w:val="0"/>
          <w:marTop w:val="67"/>
          <w:marBottom w:val="0"/>
          <w:divBdr>
            <w:top w:val="none" w:sz="0" w:space="0" w:color="auto"/>
            <w:left w:val="none" w:sz="0" w:space="0" w:color="auto"/>
            <w:bottom w:val="none" w:sz="0" w:space="0" w:color="auto"/>
            <w:right w:val="none" w:sz="0" w:space="0" w:color="auto"/>
          </w:divBdr>
        </w:div>
      </w:divsChild>
    </w:div>
    <w:div w:id="868375340">
      <w:bodyDiv w:val="1"/>
      <w:marLeft w:val="0"/>
      <w:marRight w:val="0"/>
      <w:marTop w:val="0"/>
      <w:marBottom w:val="0"/>
      <w:divBdr>
        <w:top w:val="none" w:sz="0" w:space="0" w:color="auto"/>
        <w:left w:val="none" w:sz="0" w:space="0" w:color="auto"/>
        <w:bottom w:val="none" w:sz="0" w:space="0" w:color="auto"/>
        <w:right w:val="none" w:sz="0" w:space="0" w:color="auto"/>
      </w:divBdr>
    </w:div>
    <w:div w:id="873465769">
      <w:bodyDiv w:val="1"/>
      <w:marLeft w:val="0"/>
      <w:marRight w:val="0"/>
      <w:marTop w:val="0"/>
      <w:marBottom w:val="0"/>
      <w:divBdr>
        <w:top w:val="none" w:sz="0" w:space="0" w:color="auto"/>
        <w:left w:val="none" w:sz="0" w:space="0" w:color="auto"/>
        <w:bottom w:val="none" w:sz="0" w:space="0" w:color="auto"/>
        <w:right w:val="none" w:sz="0" w:space="0" w:color="auto"/>
      </w:divBdr>
    </w:div>
    <w:div w:id="884757177">
      <w:bodyDiv w:val="1"/>
      <w:marLeft w:val="0"/>
      <w:marRight w:val="0"/>
      <w:marTop w:val="0"/>
      <w:marBottom w:val="0"/>
      <w:divBdr>
        <w:top w:val="none" w:sz="0" w:space="0" w:color="auto"/>
        <w:left w:val="none" w:sz="0" w:space="0" w:color="auto"/>
        <w:bottom w:val="none" w:sz="0" w:space="0" w:color="auto"/>
        <w:right w:val="none" w:sz="0" w:space="0" w:color="auto"/>
      </w:divBdr>
    </w:div>
    <w:div w:id="899362558">
      <w:bodyDiv w:val="1"/>
      <w:marLeft w:val="0"/>
      <w:marRight w:val="0"/>
      <w:marTop w:val="0"/>
      <w:marBottom w:val="0"/>
      <w:divBdr>
        <w:top w:val="none" w:sz="0" w:space="0" w:color="auto"/>
        <w:left w:val="none" w:sz="0" w:space="0" w:color="auto"/>
        <w:bottom w:val="none" w:sz="0" w:space="0" w:color="auto"/>
        <w:right w:val="none" w:sz="0" w:space="0" w:color="auto"/>
      </w:divBdr>
    </w:div>
    <w:div w:id="910430323">
      <w:bodyDiv w:val="1"/>
      <w:marLeft w:val="0"/>
      <w:marRight w:val="0"/>
      <w:marTop w:val="0"/>
      <w:marBottom w:val="0"/>
      <w:divBdr>
        <w:top w:val="none" w:sz="0" w:space="0" w:color="auto"/>
        <w:left w:val="none" w:sz="0" w:space="0" w:color="auto"/>
        <w:bottom w:val="none" w:sz="0" w:space="0" w:color="auto"/>
        <w:right w:val="none" w:sz="0" w:space="0" w:color="auto"/>
      </w:divBdr>
    </w:div>
    <w:div w:id="930355325">
      <w:bodyDiv w:val="1"/>
      <w:marLeft w:val="0"/>
      <w:marRight w:val="0"/>
      <w:marTop w:val="0"/>
      <w:marBottom w:val="0"/>
      <w:divBdr>
        <w:top w:val="none" w:sz="0" w:space="0" w:color="auto"/>
        <w:left w:val="none" w:sz="0" w:space="0" w:color="auto"/>
        <w:bottom w:val="none" w:sz="0" w:space="0" w:color="auto"/>
        <w:right w:val="none" w:sz="0" w:space="0" w:color="auto"/>
      </w:divBdr>
    </w:div>
    <w:div w:id="930893496">
      <w:bodyDiv w:val="1"/>
      <w:marLeft w:val="0"/>
      <w:marRight w:val="0"/>
      <w:marTop w:val="0"/>
      <w:marBottom w:val="0"/>
      <w:divBdr>
        <w:top w:val="none" w:sz="0" w:space="0" w:color="auto"/>
        <w:left w:val="none" w:sz="0" w:space="0" w:color="auto"/>
        <w:bottom w:val="none" w:sz="0" w:space="0" w:color="auto"/>
        <w:right w:val="none" w:sz="0" w:space="0" w:color="auto"/>
      </w:divBdr>
    </w:div>
    <w:div w:id="933317448">
      <w:bodyDiv w:val="1"/>
      <w:marLeft w:val="0"/>
      <w:marRight w:val="0"/>
      <w:marTop w:val="0"/>
      <w:marBottom w:val="0"/>
      <w:divBdr>
        <w:top w:val="none" w:sz="0" w:space="0" w:color="auto"/>
        <w:left w:val="none" w:sz="0" w:space="0" w:color="auto"/>
        <w:bottom w:val="none" w:sz="0" w:space="0" w:color="auto"/>
        <w:right w:val="none" w:sz="0" w:space="0" w:color="auto"/>
      </w:divBdr>
    </w:div>
    <w:div w:id="934509711">
      <w:bodyDiv w:val="1"/>
      <w:marLeft w:val="0"/>
      <w:marRight w:val="0"/>
      <w:marTop w:val="0"/>
      <w:marBottom w:val="0"/>
      <w:divBdr>
        <w:top w:val="none" w:sz="0" w:space="0" w:color="auto"/>
        <w:left w:val="none" w:sz="0" w:space="0" w:color="auto"/>
        <w:bottom w:val="none" w:sz="0" w:space="0" w:color="auto"/>
        <w:right w:val="none" w:sz="0" w:space="0" w:color="auto"/>
      </w:divBdr>
    </w:div>
    <w:div w:id="937375587">
      <w:bodyDiv w:val="1"/>
      <w:marLeft w:val="0"/>
      <w:marRight w:val="0"/>
      <w:marTop w:val="0"/>
      <w:marBottom w:val="0"/>
      <w:divBdr>
        <w:top w:val="none" w:sz="0" w:space="0" w:color="auto"/>
        <w:left w:val="none" w:sz="0" w:space="0" w:color="auto"/>
        <w:bottom w:val="none" w:sz="0" w:space="0" w:color="auto"/>
        <w:right w:val="none" w:sz="0" w:space="0" w:color="auto"/>
      </w:divBdr>
    </w:div>
    <w:div w:id="938415083">
      <w:bodyDiv w:val="1"/>
      <w:marLeft w:val="0"/>
      <w:marRight w:val="0"/>
      <w:marTop w:val="0"/>
      <w:marBottom w:val="0"/>
      <w:divBdr>
        <w:top w:val="none" w:sz="0" w:space="0" w:color="auto"/>
        <w:left w:val="none" w:sz="0" w:space="0" w:color="auto"/>
        <w:bottom w:val="none" w:sz="0" w:space="0" w:color="auto"/>
        <w:right w:val="none" w:sz="0" w:space="0" w:color="auto"/>
      </w:divBdr>
    </w:div>
    <w:div w:id="946692641">
      <w:bodyDiv w:val="1"/>
      <w:marLeft w:val="0"/>
      <w:marRight w:val="0"/>
      <w:marTop w:val="0"/>
      <w:marBottom w:val="0"/>
      <w:divBdr>
        <w:top w:val="none" w:sz="0" w:space="0" w:color="auto"/>
        <w:left w:val="none" w:sz="0" w:space="0" w:color="auto"/>
        <w:bottom w:val="none" w:sz="0" w:space="0" w:color="auto"/>
        <w:right w:val="none" w:sz="0" w:space="0" w:color="auto"/>
      </w:divBdr>
    </w:div>
    <w:div w:id="947154729">
      <w:bodyDiv w:val="1"/>
      <w:marLeft w:val="0"/>
      <w:marRight w:val="0"/>
      <w:marTop w:val="0"/>
      <w:marBottom w:val="0"/>
      <w:divBdr>
        <w:top w:val="none" w:sz="0" w:space="0" w:color="auto"/>
        <w:left w:val="none" w:sz="0" w:space="0" w:color="auto"/>
        <w:bottom w:val="none" w:sz="0" w:space="0" w:color="auto"/>
        <w:right w:val="none" w:sz="0" w:space="0" w:color="auto"/>
      </w:divBdr>
    </w:div>
    <w:div w:id="955138786">
      <w:bodyDiv w:val="1"/>
      <w:marLeft w:val="0"/>
      <w:marRight w:val="0"/>
      <w:marTop w:val="0"/>
      <w:marBottom w:val="0"/>
      <w:divBdr>
        <w:top w:val="none" w:sz="0" w:space="0" w:color="auto"/>
        <w:left w:val="none" w:sz="0" w:space="0" w:color="auto"/>
        <w:bottom w:val="none" w:sz="0" w:space="0" w:color="auto"/>
        <w:right w:val="none" w:sz="0" w:space="0" w:color="auto"/>
      </w:divBdr>
    </w:div>
    <w:div w:id="955330092">
      <w:bodyDiv w:val="1"/>
      <w:marLeft w:val="0"/>
      <w:marRight w:val="0"/>
      <w:marTop w:val="0"/>
      <w:marBottom w:val="0"/>
      <w:divBdr>
        <w:top w:val="none" w:sz="0" w:space="0" w:color="auto"/>
        <w:left w:val="none" w:sz="0" w:space="0" w:color="auto"/>
        <w:bottom w:val="none" w:sz="0" w:space="0" w:color="auto"/>
        <w:right w:val="none" w:sz="0" w:space="0" w:color="auto"/>
      </w:divBdr>
    </w:div>
    <w:div w:id="972295977">
      <w:bodyDiv w:val="1"/>
      <w:marLeft w:val="0"/>
      <w:marRight w:val="0"/>
      <w:marTop w:val="0"/>
      <w:marBottom w:val="0"/>
      <w:divBdr>
        <w:top w:val="none" w:sz="0" w:space="0" w:color="auto"/>
        <w:left w:val="none" w:sz="0" w:space="0" w:color="auto"/>
        <w:bottom w:val="none" w:sz="0" w:space="0" w:color="auto"/>
        <w:right w:val="none" w:sz="0" w:space="0" w:color="auto"/>
      </w:divBdr>
    </w:div>
    <w:div w:id="974139060">
      <w:bodyDiv w:val="1"/>
      <w:marLeft w:val="0"/>
      <w:marRight w:val="0"/>
      <w:marTop w:val="0"/>
      <w:marBottom w:val="0"/>
      <w:divBdr>
        <w:top w:val="none" w:sz="0" w:space="0" w:color="auto"/>
        <w:left w:val="none" w:sz="0" w:space="0" w:color="auto"/>
        <w:bottom w:val="none" w:sz="0" w:space="0" w:color="auto"/>
        <w:right w:val="none" w:sz="0" w:space="0" w:color="auto"/>
      </w:divBdr>
    </w:div>
    <w:div w:id="983588016">
      <w:bodyDiv w:val="1"/>
      <w:marLeft w:val="0"/>
      <w:marRight w:val="0"/>
      <w:marTop w:val="0"/>
      <w:marBottom w:val="0"/>
      <w:divBdr>
        <w:top w:val="none" w:sz="0" w:space="0" w:color="auto"/>
        <w:left w:val="none" w:sz="0" w:space="0" w:color="auto"/>
        <w:bottom w:val="none" w:sz="0" w:space="0" w:color="auto"/>
        <w:right w:val="none" w:sz="0" w:space="0" w:color="auto"/>
      </w:divBdr>
    </w:div>
    <w:div w:id="989402800">
      <w:bodyDiv w:val="1"/>
      <w:marLeft w:val="0"/>
      <w:marRight w:val="0"/>
      <w:marTop w:val="0"/>
      <w:marBottom w:val="0"/>
      <w:divBdr>
        <w:top w:val="none" w:sz="0" w:space="0" w:color="auto"/>
        <w:left w:val="none" w:sz="0" w:space="0" w:color="auto"/>
        <w:bottom w:val="none" w:sz="0" w:space="0" w:color="auto"/>
        <w:right w:val="none" w:sz="0" w:space="0" w:color="auto"/>
      </w:divBdr>
    </w:div>
    <w:div w:id="997340848">
      <w:bodyDiv w:val="1"/>
      <w:marLeft w:val="0"/>
      <w:marRight w:val="0"/>
      <w:marTop w:val="0"/>
      <w:marBottom w:val="0"/>
      <w:divBdr>
        <w:top w:val="none" w:sz="0" w:space="0" w:color="auto"/>
        <w:left w:val="none" w:sz="0" w:space="0" w:color="auto"/>
        <w:bottom w:val="none" w:sz="0" w:space="0" w:color="auto"/>
        <w:right w:val="none" w:sz="0" w:space="0" w:color="auto"/>
      </w:divBdr>
    </w:div>
    <w:div w:id="1004094411">
      <w:bodyDiv w:val="1"/>
      <w:marLeft w:val="0"/>
      <w:marRight w:val="0"/>
      <w:marTop w:val="0"/>
      <w:marBottom w:val="0"/>
      <w:divBdr>
        <w:top w:val="none" w:sz="0" w:space="0" w:color="auto"/>
        <w:left w:val="none" w:sz="0" w:space="0" w:color="auto"/>
        <w:bottom w:val="none" w:sz="0" w:space="0" w:color="auto"/>
        <w:right w:val="none" w:sz="0" w:space="0" w:color="auto"/>
      </w:divBdr>
    </w:div>
    <w:div w:id="1012032535">
      <w:bodyDiv w:val="1"/>
      <w:marLeft w:val="0"/>
      <w:marRight w:val="0"/>
      <w:marTop w:val="0"/>
      <w:marBottom w:val="0"/>
      <w:divBdr>
        <w:top w:val="none" w:sz="0" w:space="0" w:color="auto"/>
        <w:left w:val="none" w:sz="0" w:space="0" w:color="auto"/>
        <w:bottom w:val="none" w:sz="0" w:space="0" w:color="auto"/>
        <w:right w:val="none" w:sz="0" w:space="0" w:color="auto"/>
      </w:divBdr>
    </w:div>
    <w:div w:id="1020930511">
      <w:bodyDiv w:val="1"/>
      <w:marLeft w:val="0"/>
      <w:marRight w:val="0"/>
      <w:marTop w:val="0"/>
      <w:marBottom w:val="0"/>
      <w:divBdr>
        <w:top w:val="none" w:sz="0" w:space="0" w:color="auto"/>
        <w:left w:val="none" w:sz="0" w:space="0" w:color="auto"/>
        <w:bottom w:val="none" w:sz="0" w:space="0" w:color="auto"/>
        <w:right w:val="none" w:sz="0" w:space="0" w:color="auto"/>
      </w:divBdr>
    </w:div>
    <w:div w:id="1021276932">
      <w:bodyDiv w:val="1"/>
      <w:marLeft w:val="0"/>
      <w:marRight w:val="0"/>
      <w:marTop w:val="0"/>
      <w:marBottom w:val="0"/>
      <w:divBdr>
        <w:top w:val="none" w:sz="0" w:space="0" w:color="auto"/>
        <w:left w:val="none" w:sz="0" w:space="0" w:color="auto"/>
        <w:bottom w:val="none" w:sz="0" w:space="0" w:color="auto"/>
        <w:right w:val="none" w:sz="0" w:space="0" w:color="auto"/>
      </w:divBdr>
    </w:div>
    <w:div w:id="1037972565">
      <w:bodyDiv w:val="1"/>
      <w:marLeft w:val="0"/>
      <w:marRight w:val="0"/>
      <w:marTop w:val="0"/>
      <w:marBottom w:val="0"/>
      <w:divBdr>
        <w:top w:val="none" w:sz="0" w:space="0" w:color="auto"/>
        <w:left w:val="none" w:sz="0" w:space="0" w:color="auto"/>
        <w:bottom w:val="none" w:sz="0" w:space="0" w:color="auto"/>
        <w:right w:val="none" w:sz="0" w:space="0" w:color="auto"/>
      </w:divBdr>
    </w:div>
    <w:div w:id="1045370524">
      <w:bodyDiv w:val="1"/>
      <w:marLeft w:val="0"/>
      <w:marRight w:val="0"/>
      <w:marTop w:val="0"/>
      <w:marBottom w:val="0"/>
      <w:divBdr>
        <w:top w:val="none" w:sz="0" w:space="0" w:color="auto"/>
        <w:left w:val="none" w:sz="0" w:space="0" w:color="auto"/>
        <w:bottom w:val="none" w:sz="0" w:space="0" w:color="auto"/>
        <w:right w:val="none" w:sz="0" w:space="0" w:color="auto"/>
      </w:divBdr>
    </w:div>
    <w:div w:id="1056124536">
      <w:bodyDiv w:val="1"/>
      <w:marLeft w:val="0"/>
      <w:marRight w:val="0"/>
      <w:marTop w:val="0"/>
      <w:marBottom w:val="0"/>
      <w:divBdr>
        <w:top w:val="none" w:sz="0" w:space="0" w:color="auto"/>
        <w:left w:val="none" w:sz="0" w:space="0" w:color="auto"/>
        <w:bottom w:val="none" w:sz="0" w:space="0" w:color="auto"/>
        <w:right w:val="none" w:sz="0" w:space="0" w:color="auto"/>
      </w:divBdr>
    </w:div>
    <w:div w:id="1066295319">
      <w:bodyDiv w:val="1"/>
      <w:marLeft w:val="0"/>
      <w:marRight w:val="0"/>
      <w:marTop w:val="0"/>
      <w:marBottom w:val="0"/>
      <w:divBdr>
        <w:top w:val="none" w:sz="0" w:space="0" w:color="auto"/>
        <w:left w:val="none" w:sz="0" w:space="0" w:color="auto"/>
        <w:bottom w:val="none" w:sz="0" w:space="0" w:color="auto"/>
        <w:right w:val="none" w:sz="0" w:space="0" w:color="auto"/>
      </w:divBdr>
    </w:div>
    <w:div w:id="1069039329">
      <w:bodyDiv w:val="1"/>
      <w:marLeft w:val="0"/>
      <w:marRight w:val="0"/>
      <w:marTop w:val="0"/>
      <w:marBottom w:val="0"/>
      <w:divBdr>
        <w:top w:val="none" w:sz="0" w:space="0" w:color="auto"/>
        <w:left w:val="none" w:sz="0" w:space="0" w:color="auto"/>
        <w:bottom w:val="none" w:sz="0" w:space="0" w:color="auto"/>
        <w:right w:val="none" w:sz="0" w:space="0" w:color="auto"/>
      </w:divBdr>
    </w:div>
    <w:div w:id="1070425011">
      <w:bodyDiv w:val="1"/>
      <w:marLeft w:val="0"/>
      <w:marRight w:val="0"/>
      <w:marTop w:val="0"/>
      <w:marBottom w:val="0"/>
      <w:divBdr>
        <w:top w:val="none" w:sz="0" w:space="0" w:color="auto"/>
        <w:left w:val="none" w:sz="0" w:space="0" w:color="auto"/>
        <w:bottom w:val="none" w:sz="0" w:space="0" w:color="auto"/>
        <w:right w:val="none" w:sz="0" w:space="0" w:color="auto"/>
      </w:divBdr>
      <w:divsChild>
        <w:div w:id="2002809118">
          <w:marLeft w:val="547"/>
          <w:marRight w:val="0"/>
          <w:marTop w:val="77"/>
          <w:marBottom w:val="0"/>
          <w:divBdr>
            <w:top w:val="none" w:sz="0" w:space="0" w:color="auto"/>
            <w:left w:val="none" w:sz="0" w:space="0" w:color="auto"/>
            <w:bottom w:val="none" w:sz="0" w:space="0" w:color="auto"/>
            <w:right w:val="none" w:sz="0" w:space="0" w:color="auto"/>
          </w:divBdr>
        </w:div>
      </w:divsChild>
    </w:div>
    <w:div w:id="1081874280">
      <w:bodyDiv w:val="1"/>
      <w:marLeft w:val="0"/>
      <w:marRight w:val="0"/>
      <w:marTop w:val="0"/>
      <w:marBottom w:val="0"/>
      <w:divBdr>
        <w:top w:val="none" w:sz="0" w:space="0" w:color="auto"/>
        <w:left w:val="none" w:sz="0" w:space="0" w:color="auto"/>
        <w:bottom w:val="none" w:sz="0" w:space="0" w:color="auto"/>
        <w:right w:val="none" w:sz="0" w:space="0" w:color="auto"/>
      </w:divBdr>
    </w:div>
    <w:div w:id="1086195302">
      <w:bodyDiv w:val="1"/>
      <w:marLeft w:val="0"/>
      <w:marRight w:val="0"/>
      <w:marTop w:val="0"/>
      <w:marBottom w:val="0"/>
      <w:divBdr>
        <w:top w:val="none" w:sz="0" w:space="0" w:color="auto"/>
        <w:left w:val="none" w:sz="0" w:space="0" w:color="auto"/>
        <w:bottom w:val="none" w:sz="0" w:space="0" w:color="auto"/>
        <w:right w:val="none" w:sz="0" w:space="0" w:color="auto"/>
      </w:divBdr>
    </w:div>
    <w:div w:id="1090396981">
      <w:bodyDiv w:val="1"/>
      <w:marLeft w:val="0"/>
      <w:marRight w:val="0"/>
      <w:marTop w:val="0"/>
      <w:marBottom w:val="0"/>
      <w:divBdr>
        <w:top w:val="none" w:sz="0" w:space="0" w:color="auto"/>
        <w:left w:val="none" w:sz="0" w:space="0" w:color="auto"/>
        <w:bottom w:val="none" w:sz="0" w:space="0" w:color="auto"/>
        <w:right w:val="none" w:sz="0" w:space="0" w:color="auto"/>
      </w:divBdr>
    </w:div>
    <w:div w:id="1090850996">
      <w:bodyDiv w:val="1"/>
      <w:marLeft w:val="0"/>
      <w:marRight w:val="0"/>
      <w:marTop w:val="0"/>
      <w:marBottom w:val="0"/>
      <w:divBdr>
        <w:top w:val="none" w:sz="0" w:space="0" w:color="auto"/>
        <w:left w:val="none" w:sz="0" w:space="0" w:color="auto"/>
        <w:bottom w:val="none" w:sz="0" w:space="0" w:color="auto"/>
        <w:right w:val="none" w:sz="0" w:space="0" w:color="auto"/>
      </w:divBdr>
    </w:div>
    <w:div w:id="1093547428">
      <w:bodyDiv w:val="1"/>
      <w:marLeft w:val="0"/>
      <w:marRight w:val="0"/>
      <w:marTop w:val="0"/>
      <w:marBottom w:val="0"/>
      <w:divBdr>
        <w:top w:val="none" w:sz="0" w:space="0" w:color="auto"/>
        <w:left w:val="none" w:sz="0" w:space="0" w:color="auto"/>
        <w:bottom w:val="none" w:sz="0" w:space="0" w:color="auto"/>
        <w:right w:val="none" w:sz="0" w:space="0" w:color="auto"/>
      </w:divBdr>
    </w:div>
    <w:div w:id="1101335746">
      <w:bodyDiv w:val="1"/>
      <w:marLeft w:val="0"/>
      <w:marRight w:val="0"/>
      <w:marTop w:val="0"/>
      <w:marBottom w:val="0"/>
      <w:divBdr>
        <w:top w:val="none" w:sz="0" w:space="0" w:color="auto"/>
        <w:left w:val="none" w:sz="0" w:space="0" w:color="auto"/>
        <w:bottom w:val="none" w:sz="0" w:space="0" w:color="auto"/>
        <w:right w:val="none" w:sz="0" w:space="0" w:color="auto"/>
      </w:divBdr>
    </w:div>
    <w:div w:id="1106345161">
      <w:bodyDiv w:val="1"/>
      <w:marLeft w:val="0"/>
      <w:marRight w:val="0"/>
      <w:marTop w:val="0"/>
      <w:marBottom w:val="0"/>
      <w:divBdr>
        <w:top w:val="none" w:sz="0" w:space="0" w:color="auto"/>
        <w:left w:val="none" w:sz="0" w:space="0" w:color="auto"/>
        <w:bottom w:val="none" w:sz="0" w:space="0" w:color="auto"/>
        <w:right w:val="none" w:sz="0" w:space="0" w:color="auto"/>
      </w:divBdr>
      <w:divsChild>
        <w:div w:id="1342974490">
          <w:marLeft w:val="547"/>
          <w:marRight w:val="0"/>
          <w:marTop w:val="67"/>
          <w:marBottom w:val="0"/>
          <w:divBdr>
            <w:top w:val="none" w:sz="0" w:space="0" w:color="auto"/>
            <w:left w:val="none" w:sz="0" w:space="0" w:color="auto"/>
            <w:bottom w:val="none" w:sz="0" w:space="0" w:color="auto"/>
            <w:right w:val="none" w:sz="0" w:space="0" w:color="auto"/>
          </w:divBdr>
        </w:div>
      </w:divsChild>
    </w:div>
    <w:div w:id="1106652938">
      <w:bodyDiv w:val="1"/>
      <w:marLeft w:val="0"/>
      <w:marRight w:val="0"/>
      <w:marTop w:val="0"/>
      <w:marBottom w:val="0"/>
      <w:divBdr>
        <w:top w:val="none" w:sz="0" w:space="0" w:color="auto"/>
        <w:left w:val="none" w:sz="0" w:space="0" w:color="auto"/>
        <w:bottom w:val="none" w:sz="0" w:space="0" w:color="auto"/>
        <w:right w:val="none" w:sz="0" w:space="0" w:color="auto"/>
      </w:divBdr>
    </w:div>
    <w:div w:id="1113793505">
      <w:bodyDiv w:val="1"/>
      <w:marLeft w:val="0"/>
      <w:marRight w:val="0"/>
      <w:marTop w:val="0"/>
      <w:marBottom w:val="0"/>
      <w:divBdr>
        <w:top w:val="none" w:sz="0" w:space="0" w:color="auto"/>
        <w:left w:val="none" w:sz="0" w:space="0" w:color="auto"/>
        <w:bottom w:val="none" w:sz="0" w:space="0" w:color="auto"/>
        <w:right w:val="none" w:sz="0" w:space="0" w:color="auto"/>
      </w:divBdr>
    </w:div>
    <w:div w:id="1116025156">
      <w:bodyDiv w:val="1"/>
      <w:marLeft w:val="0"/>
      <w:marRight w:val="0"/>
      <w:marTop w:val="0"/>
      <w:marBottom w:val="0"/>
      <w:divBdr>
        <w:top w:val="none" w:sz="0" w:space="0" w:color="auto"/>
        <w:left w:val="none" w:sz="0" w:space="0" w:color="auto"/>
        <w:bottom w:val="none" w:sz="0" w:space="0" w:color="auto"/>
        <w:right w:val="none" w:sz="0" w:space="0" w:color="auto"/>
      </w:divBdr>
    </w:div>
    <w:div w:id="1119102698">
      <w:bodyDiv w:val="1"/>
      <w:marLeft w:val="0"/>
      <w:marRight w:val="0"/>
      <w:marTop w:val="0"/>
      <w:marBottom w:val="0"/>
      <w:divBdr>
        <w:top w:val="none" w:sz="0" w:space="0" w:color="auto"/>
        <w:left w:val="none" w:sz="0" w:space="0" w:color="auto"/>
        <w:bottom w:val="none" w:sz="0" w:space="0" w:color="auto"/>
        <w:right w:val="none" w:sz="0" w:space="0" w:color="auto"/>
      </w:divBdr>
    </w:div>
    <w:div w:id="1126200924">
      <w:bodyDiv w:val="1"/>
      <w:marLeft w:val="0"/>
      <w:marRight w:val="0"/>
      <w:marTop w:val="0"/>
      <w:marBottom w:val="0"/>
      <w:divBdr>
        <w:top w:val="none" w:sz="0" w:space="0" w:color="auto"/>
        <w:left w:val="none" w:sz="0" w:space="0" w:color="auto"/>
        <w:bottom w:val="none" w:sz="0" w:space="0" w:color="auto"/>
        <w:right w:val="none" w:sz="0" w:space="0" w:color="auto"/>
      </w:divBdr>
    </w:div>
    <w:div w:id="1130439864">
      <w:bodyDiv w:val="1"/>
      <w:marLeft w:val="0"/>
      <w:marRight w:val="0"/>
      <w:marTop w:val="0"/>
      <w:marBottom w:val="0"/>
      <w:divBdr>
        <w:top w:val="none" w:sz="0" w:space="0" w:color="auto"/>
        <w:left w:val="none" w:sz="0" w:space="0" w:color="auto"/>
        <w:bottom w:val="none" w:sz="0" w:space="0" w:color="auto"/>
        <w:right w:val="none" w:sz="0" w:space="0" w:color="auto"/>
      </w:divBdr>
    </w:div>
    <w:div w:id="1134757233">
      <w:bodyDiv w:val="1"/>
      <w:marLeft w:val="0"/>
      <w:marRight w:val="0"/>
      <w:marTop w:val="0"/>
      <w:marBottom w:val="0"/>
      <w:divBdr>
        <w:top w:val="none" w:sz="0" w:space="0" w:color="auto"/>
        <w:left w:val="none" w:sz="0" w:space="0" w:color="auto"/>
        <w:bottom w:val="none" w:sz="0" w:space="0" w:color="auto"/>
        <w:right w:val="none" w:sz="0" w:space="0" w:color="auto"/>
      </w:divBdr>
    </w:div>
    <w:div w:id="1137919987">
      <w:bodyDiv w:val="1"/>
      <w:marLeft w:val="0"/>
      <w:marRight w:val="0"/>
      <w:marTop w:val="0"/>
      <w:marBottom w:val="0"/>
      <w:divBdr>
        <w:top w:val="none" w:sz="0" w:space="0" w:color="auto"/>
        <w:left w:val="none" w:sz="0" w:space="0" w:color="auto"/>
        <w:bottom w:val="none" w:sz="0" w:space="0" w:color="auto"/>
        <w:right w:val="none" w:sz="0" w:space="0" w:color="auto"/>
      </w:divBdr>
    </w:div>
    <w:div w:id="1147623142">
      <w:bodyDiv w:val="1"/>
      <w:marLeft w:val="0"/>
      <w:marRight w:val="0"/>
      <w:marTop w:val="0"/>
      <w:marBottom w:val="0"/>
      <w:divBdr>
        <w:top w:val="none" w:sz="0" w:space="0" w:color="auto"/>
        <w:left w:val="none" w:sz="0" w:space="0" w:color="auto"/>
        <w:bottom w:val="none" w:sz="0" w:space="0" w:color="auto"/>
        <w:right w:val="none" w:sz="0" w:space="0" w:color="auto"/>
      </w:divBdr>
    </w:div>
    <w:div w:id="1166870349">
      <w:bodyDiv w:val="1"/>
      <w:marLeft w:val="0"/>
      <w:marRight w:val="0"/>
      <w:marTop w:val="0"/>
      <w:marBottom w:val="0"/>
      <w:divBdr>
        <w:top w:val="none" w:sz="0" w:space="0" w:color="auto"/>
        <w:left w:val="none" w:sz="0" w:space="0" w:color="auto"/>
        <w:bottom w:val="none" w:sz="0" w:space="0" w:color="auto"/>
        <w:right w:val="none" w:sz="0" w:space="0" w:color="auto"/>
      </w:divBdr>
    </w:div>
    <w:div w:id="1167095422">
      <w:bodyDiv w:val="1"/>
      <w:marLeft w:val="0"/>
      <w:marRight w:val="0"/>
      <w:marTop w:val="0"/>
      <w:marBottom w:val="0"/>
      <w:divBdr>
        <w:top w:val="none" w:sz="0" w:space="0" w:color="auto"/>
        <w:left w:val="none" w:sz="0" w:space="0" w:color="auto"/>
        <w:bottom w:val="none" w:sz="0" w:space="0" w:color="auto"/>
        <w:right w:val="none" w:sz="0" w:space="0" w:color="auto"/>
      </w:divBdr>
    </w:div>
    <w:div w:id="1167475176">
      <w:bodyDiv w:val="1"/>
      <w:marLeft w:val="0"/>
      <w:marRight w:val="0"/>
      <w:marTop w:val="0"/>
      <w:marBottom w:val="0"/>
      <w:divBdr>
        <w:top w:val="none" w:sz="0" w:space="0" w:color="auto"/>
        <w:left w:val="none" w:sz="0" w:space="0" w:color="auto"/>
        <w:bottom w:val="none" w:sz="0" w:space="0" w:color="auto"/>
        <w:right w:val="none" w:sz="0" w:space="0" w:color="auto"/>
      </w:divBdr>
    </w:div>
    <w:div w:id="1183275604">
      <w:bodyDiv w:val="1"/>
      <w:marLeft w:val="0"/>
      <w:marRight w:val="0"/>
      <w:marTop w:val="0"/>
      <w:marBottom w:val="0"/>
      <w:divBdr>
        <w:top w:val="none" w:sz="0" w:space="0" w:color="auto"/>
        <w:left w:val="none" w:sz="0" w:space="0" w:color="auto"/>
        <w:bottom w:val="none" w:sz="0" w:space="0" w:color="auto"/>
        <w:right w:val="none" w:sz="0" w:space="0" w:color="auto"/>
      </w:divBdr>
    </w:div>
    <w:div w:id="1192648451">
      <w:bodyDiv w:val="1"/>
      <w:marLeft w:val="0"/>
      <w:marRight w:val="0"/>
      <w:marTop w:val="0"/>
      <w:marBottom w:val="0"/>
      <w:divBdr>
        <w:top w:val="none" w:sz="0" w:space="0" w:color="auto"/>
        <w:left w:val="none" w:sz="0" w:space="0" w:color="auto"/>
        <w:bottom w:val="none" w:sz="0" w:space="0" w:color="auto"/>
        <w:right w:val="none" w:sz="0" w:space="0" w:color="auto"/>
      </w:divBdr>
    </w:div>
    <w:div w:id="1202280149">
      <w:bodyDiv w:val="1"/>
      <w:marLeft w:val="0"/>
      <w:marRight w:val="0"/>
      <w:marTop w:val="0"/>
      <w:marBottom w:val="0"/>
      <w:divBdr>
        <w:top w:val="none" w:sz="0" w:space="0" w:color="auto"/>
        <w:left w:val="none" w:sz="0" w:space="0" w:color="auto"/>
        <w:bottom w:val="none" w:sz="0" w:space="0" w:color="auto"/>
        <w:right w:val="none" w:sz="0" w:space="0" w:color="auto"/>
      </w:divBdr>
      <w:divsChild>
        <w:div w:id="656110548">
          <w:marLeft w:val="547"/>
          <w:marRight w:val="0"/>
          <w:marTop w:val="62"/>
          <w:marBottom w:val="0"/>
          <w:divBdr>
            <w:top w:val="none" w:sz="0" w:space="0" w:color="auto"/>
            <w:left w:val="none" w:sz="0" w:space="0" w:color="auto"/>
            <w:bottom w:val="none" w:sz="0" w:space="0" w:color="auto"/>
            <w:right w:val="none" w:sz="0" w:space="0" w:color="auto"/>
          </w:divBdr>
        </w:div>
      </w:divsChild>
    </w:div>
    <w:div w:id="1205555506">
      <w:bodyDiv w:val="1"/>
      <w:marLeft w:val="0"/>
      <w:marRight w:val="0"/>
      <w:marTop w:val="0"/>
      <w:marBottom w:val="0"/>
      <w:divBdr>
        <w:top w:val="none" w:sz="0" w:space="0" w:color="auto"/>
        <w:left w:val="none" w:sz="0" w:space="0" w:color="auto"/>
        <w:bottom w:val="none" w:sz="0" w:space="0" w:color="auto"/>
        <w:right w:val="none" w:sz="0" w:space="0" w:color="auto"/>
      </w:divBdr>
    </w:div>
    <w:div w:id="1210611064">
      <w:bodyDiv w:val="1"/>
      <w:marLeft w:val="0"/>
      <w:marRight w:val="0"/>
      <w:marTop w:val="0"/>
      <w:marBottom w:val="0"/>
      <w:divBdr>
        <w:top w:val="none" w:sz="0" w:space="0" w:color="auto"/>
        <w:left w:val="none" w:sz="0" w:space="0" w:color="auto"/>
        <w:bottom w:val="none" w:sz="0" w:space="0" w:color="auto"/>
        <w:right w:val="none" w:sz="0" w:space="0" w:color="auto"/>
      </w:divBdr>
    </w:div>
    <w:div w:id="1212689219">
      <w:bodyDiv w:val="1"/>
      <w:marLeft w:val="0"/>
      <w:marRight w:val="0"/>
      <w:marTop w:val="0"/>
      <w:marBottom w:val="0"/>
      <w:divBdr>
        <w:top w:val="none" w:sz="0" w:space="0" w:color="auto"/>
        <w:left w:val="none" w:sz="0" w:space="0" w:color="auto"/>
        <w:bottom w:val="none" w:sz="0" w:space="0" w:color="auto"/>
        <w:right w:val="none" w:sz="0" w:space="0" w:color="auto"/>
      </w:divBdr>
    </w:div>
    <w:div w:id="1213081718">
      <w:bodyDiv w:val="1"/>
      <w:marLeft w:val="0"/>
      <w:marRight w:val="0"/>
      <w:marTop w:val="0"/>
      <w:marBottom w:val="0"/>
      <w:divBdr>
        <w:top w:val="none" w:sz="0" w:space="0" w:color="auto"/>
        <w:left w:val="none" w:sz="0" w:space="0" w:color="auto"/>
        <w:bottom w:val="none" w:sz="0" w:space="0" w:color="auto"/>
        <w:right w:val="none" w:sz="0" w:space="0" w:color="auto"/>
      </w:divBdr>
    </w:div>
    <w:div w:id="1222063070">
      <w:bodyDiv w:val="1"/>
      <w:marLeft w:val="0"/>
      <w:marRight w:val="0"/>
      <w:marTop w:val="0"/>
      <w:marBottom w:val="0"/>
      <w:divBdr>
        <w:top w:val="none" w:sz="0" w:space="0" w:color="auto"/>
        <w:left w:val="none" w:sz="0" w:space="0" w:color="auto"/>
        <w:bottom w:val="none" w:sz="0" w:space="0" w:color="auto"/>
        <w:right w:val="none" w:sz="0" w:space="0" w:color="auto"/>
      </w:divBdr>
    </w:div>
    <w:div w:id="1240483070">
      <w:bodyDiv w:val="1"/>
      <w:marLeft w:val="0"/>
      <w:marRight w:val="0"/>
      <w:marTop w:val="0"/>
      <w:marBottom w:val="0"/>
      <w:divBdr>
        <w:top w:val="none" w:sz="0" w:space="0" w:color="auto"/>
        <w:left w:val="none" w:sz="0" w:space="0" w:color="auto"/>
        <w:bottom w:val="none" w:sz="0" w:space="0" w:color="auto"/>
        <w:right w:val="none" w:sz="0" w:space="0" w:color="auto"/>
      </w:divBdr>
    </w:div>
    <w:div w:id="1246262606">
      <w:bodyDiv w:val="1"/>
      <w:marLeft w:val="0"/>
      <w:marRight w:val="0"/>
      <w:marTop w:val="0"/>
      <w:marBottom w:val="0"/>
      <w:divBdr>
        <w:top w:val="none" w:sz="0" w:space="0" w:color="auto"/>
        <w:left w:val="none" w:sz="0" w:space="0" w:color="auto"/>
        <w:bottom w:val="none" w:sz="0" w:space="0" w:color="auto"/>
        <w:right w:val="none" w:sz="0" w:space="0" w:color="auto"/>
      </w:divBdr>
    </w:div>
    <w:div w:id="1247032202">
      <w:bodyDiv w:val="1"/>
      <w:marLeft w:val="0"/>
      <w:marRight w:val="0"/>
      <w:marTop w:val="0"/>
      <w:marBottom w:val="0"/>
      <w:divBdr>
        <w:top w:val="none" w:sz="0" w:space="0" w:color="auto"/>
        <w:left w:val="none" w:sz="0" w:space="0" w:color="auto"/>
        <w:bottom w:val="none" w:sz="0" w:space="0" w:color="auto"/>
        <w:right w:val="none" w:sz="0" w:space="0" w:color="auto"/>
      </w:divBdr>
    </w:div>
    <w:div w:id="1252930855">
      <w:bodyDiv w:val="1"/>
      <w:marLeft w:val="0"/>
      <w:marRight w:val="0"/>
      <w:marTop w:val="0"/>
      <w:marBottom w:val="0"/>
      <w:divBdr>
        <w:top w:val="none" w:sz="0" w:space="0" w:color="auto"/>
        <w:left w:val="none" w:sz="0" w:space="0" w:color="auto"/>
        <w:bottom w:val="none" w:sz="0" w:space="0" w:color="auto"/>
        <w:right w:val="none" w:sz="0" w:space="0" w:color="auto"/>
      </w:divBdr>
    </w:div>
    <w:div w:id="1257910086">
      <w:bodyDiv w:val="1"/>
      <w:marLeft w:val="0"/>
      <w:marRight w:val="0"/>
      <w:marTop w:val="0"/>
      <w:marBottom w:val="0"/>
      <w:divBdr>
        <w:top w:val="none" w:sz="0" w:space="0" w:color="auto"/>
        <w:left w:val="none" w:sz="0" w:space="0" w:color="auto"/>
        <w:bottom w:val="none" w:sz="0" w:space="0" w:color="auto"/>
        <w:right w:val="none" w:sz="0" w:space="0" w:color="auto"/>
      </w:divBdr>
    </w:div>
    <w:div w:id="1274630574">
      <w:bodyDiv w:val="1"/>
      <w:marLeft w:val="0"/>
      <w:marRight w:val="0"/>
      <w:marTop w:val="0"/>
      <w:marBottom w:val="0"/>
      <w:divBdr>
        <w:top w:val="none" w:sz="0" w:space="0" w:color="auto"/>
        <w:left w:val="none" w:sz="0" w:space="0" w:color="auto"/>
        <w:bottom w:val="none" w:sz="0" w:space="0" w:color="auto"/>
        <w:right w:val="none" w:sz="0" w:space="0" w:color="auto"/>
      </w:divBdr>
    </w:div>
    <w:div w:id="1280066107">
      <w:bodyDiv w:val="1"/>
      <w:marLeft w:val="0"/>
      <w:marRight w:val="0"/>
      <w:marTop w:val="0"/>
      <w:marBottom w:val="0"/>
      <w:divBdr>
        <w:top w:val="none" w:sz="0" w:space="0" w:color="auto"/>
        <w:left w:val="none" w:sz="0" w:space="0" w:color="auto"/>
        <w:bottom w:val="none" w:sz="0" w:space="0" w:color="auto"/>
        <w:right w:val="none" w:sz="0" w:space="0" w:color="auto"/>
      </w:divBdr>
    </w:div>
    <w:div w:id="1282373449">
      <w:bodyDiv w:val="1"/>
      <w:marLeft w:val="0"/>
      <w:marRight w:val="0"/>
      <w:marTop w:val="0"/>
      <w:marBottom w:val="0"/>
      <w:divBdr>
        <w:top w:val="none" w:sz="0" w:space="0" w:color="auto"/>
        <w:left w:val="none" w:sz="0" w:space="0" w:color="auto"/>
        <w:bottom w:val="none" w:sz="0" w:space="0" w:color="auto"/>
        <w:right w:val="none" w:sz="0" w:space="0" w:color="auto"/>
      </w:divBdr>
    </w:div>
    <w:div w:id="1289630135">
      <w:bodyDiv w:val="1"/>
      <w:marLeft w:val="0"/>
      <w:marRight w:val="0"/>
      <w:marTop w:val="0"/>
      <w:marBottom w:val="0"/>
      <w:divBdr>
        <w:top w:val="none" w:sz="0" w:space="0" w:color="auto"/>
        <w:left w:val="none" w:sz="0" w:space="0" w:color="auto"/>
        <w:bottom w:val="none" w:sz="0" w:space="0" w:color="auto"/>
        <w:right w:val="none" w:sz="0" w:space="0" w:color="auto"/>
      </w:divBdr>
    </w:div>
    <w:div w:id="1297106767">
      <w:bodyDiv w:val="1"/>
      <w:marLeft w:val="0"/>
      <w:marRight w:val="0"/>
      <w:marTop w:val="0"/>
      <w:marBottom w:val="0"/>
      <w:divBdr>
        <w:top w:val="none" w:sz="0" w:space="0" w:color="auto"/>
        <w:left w:val="none" w:sz="0" w:space="0" w:color="auto"/>
        <w:bottom w:val="none" w:sz="0" w:space="0" w:color="auto"/>
        <w:right w:val="none" w:sz="0" w:space="0" w:color="auto"/>
      </w:divBdr>
    </w:div>
    <w:div w:id="1308243044">
      <w:bodyDiv w:val="1"/>
      <w:marLeft w:val="0"/>
      <w:marRight w:val="0"/>
      <w:marTop w:val="0"/>
      <w:marBottom w:val="0"/>
      <w:divBdr>
        <w:top w:val="none" w:sz="0" w:space="0" w:color="auto"/>
        <w:left w:val="none" w:sz="0" w:space="0" w:color="auto"/>
        <w:bottom w:val="none" w:sz="0" w:space="0" w:color="auto"/>
        <w:right w:val="none" w:sz="0" w:space="0" w:color="auto"/>
      </w:divBdr>
    </w:div>
    <w:div w:id="1320429318">
      <w:bodyDiv w:val="1"/>
      <w:marLeft w:val="0"/>
      <w:marRight w:val="0"/>
      <w:marTop w:val="0"/>
      <w:marBottom w:val="0"/>
      <w:divBdr>
        <w:top w:val="none" w:sz="0" w:space="0" w:color="auto"/>
        <w:left w:val="none" w:sz="0" w:space="0" w:color="auto"/>
        <w:bottom w:val="none" w:sz="0" w:space="0" w:color="auto"/>
        <w:right w:val="none" w:sz="0" w:space="0" w:color="auto"/>
      </w:divBdr>
    </w:div>
    <w:div w:id="1329481890">
      <w:bodyDiv w:val="1"/>
      <w:marLeft w:val="0"/>
      <w:marRight w:val="0"/>
      <w:marTop w:val="0"/>
      <w:marBottom w:val="0"/>
      <w:divBdr>
        <w:top w:val="none" w:sz="0" w:space="0" w:color="auto"/>
        <w:left w:val="none" w:sz="0" w:space="0" w:color="auto"/>
        <w:bottom w:val="none" w:sz="0" w:space="0" w:color="auto"/>
        <w:right w:val="none" w:sz="0" w:space="0" w:color="auto"/>
      </w:divBdr>
    </w:div>
    <w:div w:id="1329939605">
      <w:bodyDiv w:val="1"/>
      <w:marLeft w:val="0"/>
      <w:marRight w:val="0"/>
      <w:marTop w:val="0"/>
      <w:marBottom w:val="0"/>
      <w:divBdr>
        <w:top w:val="none" w:sz="0" w:space="0" w:color="auto"/>
        <w:left w:val="none" w:sz="0" w:space="0" w:color="auto"/>
        <w:bottom w:val="none" w:sz="0" w:space="0" w:color="auto"/>
        <w:right w:val="none" w:sz="0" w:space="0" w:color="auto"/>
      </w:divBdr>
    </w:div>
    <w:div w:id="1334600641">
      <w:bodyDiv w:val="1"/>
      <w:marLeft w:val="0"/>
      <w:marRight w:val="0"/>
      <w:marTop w:val="0"/>
      <w:marBottom w:val="0"/>
      <w:divBdr>
        <w:top w:val="none" w:sz="0" w:space="0" w:color="auto"/>
        <w:left w:val="none" w:sz="0" w:space="0" w:color="auto"/>
        <w:bottom w:val="none" w:sz="0" w:space="0" w:color="auto"/>
        <w:right w:val="none" w:sz="0" w:space="0" w:color="auto"/>
      </w:divBdr>
    </w:div>
    <w:div w:id="1351024889">
      <w:bodyDiv w:val="1"/>
      <w:marLeft w:val="0"/>
      <w:marRight w:val="0"/>
      <w:marTop w:val="0"/>
      <w:marBottom w:val="0"/>
      <w:divBdr>
        <w:top w:val="none" w:sz="0" w:space="0" w:color="auto"/>
        <w:left w:val="none" w:sz="0" w:space="0" w:color="auto"/>
        <w:bottom w:val="none" w:sz="0" w:space="0" w:color="auto"/>
        <w:right w:val="none" w:sz="0" w:space="0" w:color="auto"/>
      </w:divBdr>
    </w:div>
    <w:div w:id="1353604481">
      <w:bodyDiv w:val="1"/>
      <w:marLeft w:val="0"/>
      <w:marRight w:val="0"/>
      <w:marTop w:val="0"/>
      <w:marBottom w:val="0"/>
      <w:divBdr>
        <w:top w:val="none" w:sz="0" w:space="0" w:color="auto"/>
        <w:left w:val="none" w:sz="0" w:space="0" w:color="auto"/>
        <w:bottom w:val="none" w:sz="0" w:space="0" w:color="auto"/>
        <w:right w:val="none" w:sz="0" w:space="0" w:color="auto"/>
      </w:divBdr>
    </w:div>
    <w:div w:id="1383990691">
      <w:bodyDiv w:val="1"/>
      <w:marLeft w:val="0"/>
      <w:marRight w:val="0"/>
      <w:marTop w:val="0"/>
      <w:marBottom w:val="0"/>
      <w:divBdr>
        <w:top w:val="none" w:sz="0" w:space="0" w:color="auto"/>
        <w:left w:val="none" w:sz="0" w:space="0" w:color="auto"/>
        <w:bottom w:val="none" w:sz="0" w:space="0" w:color="auto"/>
        <w:right w:val="none" w:sz="0" w:space="0" w:color="auto"/>
      </w:divBdr>
    </w:div>
    <w:div w:id="1411006389">
      <w:bodyDiv w:val="1"/>
      <w:marLeft w:val="0"/>
      <w:marRight w:val="0"/>
      <w:marTop w:val="0"/>
      <w:marBottom w:val="0"/>
      <w:divBdr>
        <w:top w:val="none" w:sz="0" w:space="0" w:color="auto"/>
        <w:left w:val="none" w:sz="0" w:space="0" w:color="auto"/>
        <w:bottom w:val="none" w:sz="0" w:space="0" w:color="auto"/>
        <w:right w:val="none" w:sz="0" w:space="0" w:color="auto"/>
      </w:divBdr>
    </w:div>
    <w:div w:id="1411997659">
      <w:bodyDiv w:val="1"/>
      <w:marLeft w:val="0"/>
      <w:marRight w:val="0"/>
      <w:marTop w:val="0"/>
      <w:marBottom w:val="0"/>
      <w:divBdr>
        <w:top w:val="none" w:sz="0" w:space="0" w:color="auto"/>
        <w:left w:val="none" w:sz="0" w:space="0" w:color="auto"/>
        <w:bottom w:val="none" w:sz="0" w:space="0" w:color="auto"/>
        <w:right w:val="none" w:sz="0" w:space="0" w:color="auto"/>
      </w:divBdr>
    </w:div>
    <w:div w:id="1412308725">
      <w:bodyDiv w:val="1"/>
      <w:marLeft w:val="0"/>
      <w:marRight w:val="0"/>
      <w:marTop w:val="0"/>
      <w:marBottom w:val="0"/>
      <w:divBdr>
        <w:top w:val="none" w:sz="0" w:space="0" w:color="auto"/>
        <w:left w:val="none" w:sz="0" w:space="0" w:color="auto"/>
        <w:bottom w:val="none" w:sz="0" w:space="0" w:color="auto"/>
        <w:right w:val="none" w:sz="0" w:space="0" w:color="auto"/>
      </w:divBdr>
    </w:div>
    <w:div w:id="1445003968">
      <w:bodyDiv w:val="1"/>
      <w:marLeft w:val="0"/>
      <w:marRight w:val="0"/>
      <w:marTop w:val="0"/>
      <w:marBottom w:val="0"/>
      <w:divBdr>
        <w:top w:val="none" w:sz="0" w:space="0" w:color="auto"/>
        <w:left w:val="none" w:sz="0" w:space="0" w:color="auto"/>
        <w:bottom w:val="none" w:sz="0" w:space="0" w:color="auto"/>
        <w:right w:val="none" w:sz="0" w:space="0" w:color="auto"/>
      </w:divBdr>
    </w:div>
    <w:div w:id="1447238701">
      <w:bodyDiv w:val="1"/>
      <w:marLeft w:val="0"/>
      <w:marRight w:val="0"/>
      <w:marTop w:val="0"/>
      <w:marBottom w:val="0"/>
      <w:divBdr>
        <w:top w:val="none" w:sz="0" w:space="0" w:color="auto"/>
        <w:left w:val="none" w:sz="0" w:space="0" w:color="auto"/>
        <w:bottom w:val="none" w:sz="0" w:space="0" w:color="auto"/>
        <w:right w:val="none" w:sz="0" w:space="0" w:color="auto"/>
      </w:divBdr>
    </w:div>
    <w:div w:id="1447387396">
      <w:bodyDiv w:val="1"/>
      <w:marLeft w:val="0"/>
      <w:marRight w:val="0"/>
      <w:marTop w:val="0"/>
      <w:marBottom w:val="0"/>
      <w:divBdr>
        <w:top w:val="none" w:sz="0" w:space="0" w:color="auto"/>
        <w:left w:val="none" w:sz="0" w:space="0" w:color="auto"/>
        <w:bottom w:val="none" w:sz="0" w:space="0" w:color="auto"/>
        <w:right w:val="none" w:sz="0" w:space="0" w:color="auto"/>
      </w:divBdr>
      <w:divsChild>
        <w:div w:id="1534731852">
          <w:marLeft w:val="547"/>
          <w:marRight w:val="0"/>
          <w:marTop w:val="77"/>
          <w:marBottom w:val="0"/>
          <w:divBdr>
            <w:top w:val="none" w:sz="0" w:space="0" w:color="auto"/>
            <w:left w:val="none" w:sz="0" w:space="0" w:color="auto"/>
            <w:bottom w:val="none" w:sz="0" w:space="0" w:color="auto"/>
            <w:right w:val="none" w:sz="0" w:space="0" w:color="auto"/>
          </w:divBdr>
        </w:div>
      </w:divsChild>
    </w:div>
    <w:div w:id="1454012279">
      <w:bodyDiv w:val="1"/>
      <w:marLeft w:val="0"/>
      <w:marRight w:val="0"/>
      <w:marTop w:val="0"/>
      <w:marBottom w:val="0"/>
      <w:divBdr>
        <w:top w:val="none" w:sz="0" w:space="0" w:color="auto"/>
        <w:left w:val="none" w:sz="0" w:space="0" w:color="auto"/>
        <w:bottom w:val="none" w:sz="0" w:space="0" w:color="auto"/>
        <w:right w:val="none" w:sz="0" w:space="0" w:color="auto"/>
      </w:divBdr>
    </w:div>
    <w:div w:id="1454254858">
      <w:bodyDiv w:val="1"/>
      <w:marLeft w:val="0"/>
      <w:marRight w:val="0"/>
      <w:marTop w:val="0"/>
      <w:marBottom w:val="0"/>
      <w:divBdr>
        <w:top w:val="none" w:sz="0" w:space="0" w:color="auto"/>
        <w:left w:val="none" w:sz="0" w:space="0" w:color="auto"/>
        <w:bottom w:val="none" w:sz="0" w:space="0" w:color="auto"/>
        <w:right w:val="none" w:sz="0" w:space="0" w:color="auto"/>
      </w:divBdr>
    </w:div>
    <w:div w:id="1459181444">
      <w:bodyDiv w:val="1"/>
      <w:marLeft w:val="0"/>
      <w:marRight w:val="0"/>
      <w:marTop w:val="0"/>
      <w:marBottom w:val="0"/>
      <w:divBdr>
        <w:top w:val="none" w:sz="0" w:space="0" w:color="auto"/>
        <w:left w:val="none" w:sz="0" w:space="0" w:color="auto"/>
        <w:bottom w:val="none" w:sz="0" w:space="0" w:color="auto"/>
        <w:right w:val="none" w:sz="0" w:space="0" w:color="auto"/>
      </w:divBdr>
    </w:div>
    <w:div w:id="1462730158">
      <w:bodyDiv w:val="1"/>
      <w:marLeft w:val="0"/>
      <w:marRight w:val="0"/>
      <w:marTop w:val="0"/>
      <w:marBottom w:val="0"/>
      <w:divBdr>
        <w:top w:val="none" w:sz="0" w:space="0" w:color="auto"/>
        <w:left w:val="none" w:sz="0" w:space="0" w:color="auto"/>
        <w:bottom w:val="none" w:sz="0" w:space="0" w:color="auto"/>
        <w:right w:val="none" w:sz="0" w:space="0" w:color="auto"/>
      </w:divBdr>
    </w:div>
    <w:div w:id="1472289485">
      <w:bodyDiv w:val="1"/>
      <w:marLeft w:val="0"/>
      <w:marRight w:val="0"/>
      <w:marTop w:val="0"/>
      <w:marBottom w:val="0"/>
      <w:divBdr>
        <w:top w:val="none" w:sz="0" w:space="0" w:color="auto"/>
        <w:left w:val="none" w:sz="0" w:space="0" w:color="auto"/>
        <w:bottom w:val="none" w:sz="0" w:space="0" w:color="auto"/>
        <w:right w:val="none" w:sz="0" w:space="0" w:color="auto"/>
      </w:divBdr>
    </w:div>
    <w:div w:id="1491411010">
      <w:bodyDiv w:val="1"/>
      <w:marLeft w:val="0"/>
      <w:marRight w:val="0"/>
      <w:marTop w:val="0"/>
      <w:marBottom w:val="0"/>
      <w:divBdr>
        <w:top w:val="none" w:sz="0" w:space="0" w:color="auto"/>
        <w:left w:val="none" w:sz="0" w:space="0" w:color="auto"/>
        <w:bottom w:val="none" w:sz="0" w:space="0" w:color="auto"/>
        <w:right w:val="none" w:sz="0" w:space="0" w:color="auto"/>
      </w:divBdr>
    </w:div>
    <w:div w:id="1493717549">
      <w:bodyDiv w:val="1"/>
      <w:marLeft w:val="0"/>
      <w:marRight w:val="0"/>
      <w:marTop w:val="0"/>
      <w:marBottom w:val="0"/>
      <w:divBdr>
        <w:top w:val="none" w:sz="0" w:space="0" w:color="auto"/>
        <w:left w:val="none" w:sz="0" w:space="0" w:color="auto"/>
        <w:bottom w:val="none" w:sz="0" w:space="0" w:color="auto"/>
        <w:right w:val="none" w:sz="0" w:space="0" w:color="auto"/>
      </w:divBdr>
    </w:div>
    <w:div w:id="1508134341">
      <w:bodyDiv w:val="1"/>
      <w:marLeft w:val="0"/>
      <w:marRight w:val="0"/>
      <w:marTop w:val="0"/>
      <w:marBottom w:val="0"/>
      <w:divBdr>
        <w:top w:val="none" w:sz="0" w:space="0" w:color="auto"/>
        <w:left w:val="none" w:sz="0" w:space="0" w:color="auto"/>
        <w:bottom w:val="none" w:sz="0" w:space="0" w:color="auto"/>
        <w:right w:val="none" w:sz="0" w:space="0" w:color="auto"/>
      </w:divBdr>
    </w:div>
    <w:div w:id="1513571577">
      <w:bodyDiv w:val="1"/>
      <w:marLeft w:val="0"/>
      <w:marRight w:val="0"/>
      <w:marTop w:val="0"/>
      <w:marBottom w:val="0"/>
      <w:divBdr>
        <w:top w:val="none" w:sz="0" w:space="0" w:color="auto"/>
        <w:left w:val="none" w:sz="0" w:space="0" w:color="auto"/>
        <w:bottom w:val="none" w:sz="0" w:space="0" w:color="auto"/>
        <w:right w:val="none" w:sz="0" w:space="0" w:color="auto"/>
      </w:divBdr>
    </w:div>
    <w:div w:id="1516379283">
      <w:bodyDiv w:val="1"/>
      <w:marLeft w:val="0"/>
      <w:marRight w:val="0"/>
      <w:marTop w:val="0"/>
      <w:marBottom w:val="0"/>
      <w:divBdr>
        <w:top w:val="none" w:sz="0" w:space="0" w:color="auto"/>
        <w:left w:val="none" w:sz="0" w:space="0" w:color="auto"/>
        <w:bottom w:val="none" w:sz="0" w:space="0" w:color="auto"/>
        <w:right w:val="none" w:sz="0" w:space="0" w:color="auto"/>
      </w:divBdr>
    </w:div>
    <w:div w:id="1518736802">
      <w:bodyDiv w:val="1"/>
      <w:marLeft w:val="0"/>
      <w:marRight w:val="0"/>
      <w:marTop w:val="0"/>
      <w:marBottom w:val="0"/>
      <w:divBdr>
        <w:top w:val="none" w:sz="0" w:space="0" w:color="auto"/>
        <w:left w:val="none" w:sz="0" w:space="0" w:color="auto"/>
        <w:bottom w:val="none" w:sz="0" w:space="0" w:color="auto"/>
        <w:right w:val="none" w:sz="0" w:space="0" w:color="auto"/>
      </w:divBdr>
    </w:div>
    <w:div w:id="1521971675">
      <w:bodyDiv w:val="1"/>
      <w:marLeft w:val="0"/>
      <w:marRight w:val="0"/>
      <w:marTop w:val="0"/>
      <w:marBottom w:val="0"/>
      <w:divBdr>
        <w:top w:val="none" w:sz="0" w:space="0" w:color="auto"/>
        <w:left w:val="none" w:sz="0" w:space="0" w:color="auto"/>
        <w:bottom w:val="none" w:sz="0" w:space="0" w:color="auto"/>
        <w:right w:val="none" w:sz="0" w:space="0" w:color="auto"/>
      </w:divBdr>
    </w:div>
    <w:div w:id="1522233398">
      <w:bodyDiv w:val="1"/>
      <w:marLeft w:val="0"/>
      <w:marRight w:val="0"/>
      <w:marTop w:val="0"/>
      <w:marBottom w:val="0"/>
      <w:divBdr>
        <w:top w:val="none" w:sz="0" w:space="0" w:color="auto"/>
        <w:left w:val="none" w:sz="0" w:space="0" w:color="auto"/>
        <w:bottom w:val="none" w:sz="0" w:space="0" w:color="auto"/>
        <w:right w:val="none" w:sz="0" w:space="0" w:color="auto"/>
      </w:divBdr>
    </w:div>
    <w:div w:id="1523203438">
      <w:bodyDiv w:val="1"/>
      <w:marLeft w:val="0"/>
      <w:marRight w:val="0"/>
      <w:marTop w:val="0"/>
      <w:marBottom w:val="0"/>
      <w:divBdr>
        <w:top w:val="none" w:sz="0" w:space="0" w:color="auto"/>
        <w:left w:val="none" w:sz="0" w:space="0" w:color="auto"/>
        <w:bottom w:val="none" w:sz="0" w:space="0" w:color="auto"/>
        <w:right w:val="none" w:sz="0" w:space="0" w:color="auto"/>
      </w:divBdr>
    </w:div>
    <w:div w:id="1537767772">
      <w:bodyDiv w:val="1"/>
      <w:marLeft w:val="0"/>
      <w:marRight w:val="0"/>
      <w:marTop w:val="0"/>
      <w:marBottom w:val="0"/>
      <w:divBdr>
        <w:top w:val="none" w:sz="0" w:space="0" w:color="auto"/>
        <w:left w:val="none" w:sz="0" w:space="0" w:color="auto"/>
        <w:bottom w:val="none" w:sz="0" w:space="0" w:color="auto"/>
        <w:right w:val="none" w:sz="0" w:space="0" w:color="auto"/>
      </w:divBdr>
    </w:div>
    <w:div w:id="1562445307">
      <w:bodyDiv w:val="1"/>
      <w:marLeft w:val="0"/>
      <w:marRight w:val="0"/>
      <w:marTop w:val="0"/>
      <w:marBottom w:val="0"/>
      <w:divBdr>
        <w:top w:val="none" w:sz="0" w:space="0" w:color="auto"/>
        <w:left w:val="none" w:sz="0" w:space="0" w:color="auto"/>
        <w:bottom w:val="none" w:sz="0" w:space="0" w:color="auto"/>
        <w:right w:val="none" w:sz="0" w:space="0" w:color="auto"/>
      </w:divBdr>
    </w:div>
    <w:div w:id="1562590992">
      <w:bodyDiv w:val="1"/>
      <w:marLeft w:val="0"/>
      <w:marRight w:val="0"/>
      <w:marTop w:val="0"/>
      <w:marBottom w:val="0"/>
      <w:divBdr>
        <w:top w:val="none" w:sz="0" w:space="0" w:color="auto"/>
        <w:left w:val="none" w:sz="0" w:space="0" w:color="auto"/>
        <w:bottom w:val="none" w:sz="0" w:space="0" w:color="auto"/>
        <w:right w:val="none" w:sz="0" w:space="0" w:color="auto"/>
      </w:divBdr>
    </w:div>
    <w:div w:id="1572694972">
      <w:bodyDiv w:val="1"/>
      <w:marLeft w:val="0"/>
      <w:marRight w:val="0"/>
      <w:marTop w:val="0"/>
      <w:marBottom w:val="0"/>
      <w:divBdr>
        <w:top w:val="none" w:sz="0" w:space="0" w:color="auto"/>
        <w:left w:val="none" w:sz="0" w:space="0" w:color="auto"/>
        <w:bottom w:val="none" w:sz="0" w:space="0" w:color="auto"/>
        <w:right w:val="none" w:sz="0" w:space="0" w:color="auto"/>
      </w:divBdr>
    </w:div>
    <w:div w:id="1572814307">
      <w:bodyDiv w:val="1"/>
      <w:marLeft w:val="0"/>
      <w:marRight w:val="0"/>
      <w:marTop w:val="0"/>
      <w:marBottom w:val="0"/>
      <w:divBdr>
        <w:top w:val="none" w:sz="0" w:space="0" w:color="auto"/>
        <w:left w:val="none" w:sz="0" w:space="0" w:color="auto"/>
        <w:bottom w:val="none" w:sz="0" w:space="0" w:color="auto"/>
        <w:right w:val="none" w:sz="0" w:space="0" w:color="auto"/>
      </w:divBdr>
      <w:divsChild>
        <w:div w:id="1219318973">
          <w:marLeft w:val="547"/>
          <w:marRight w:val="0"/>
          <w:marTop w:val="77"/>
          <w:marBottom w:val="0"/>
          <w:divBdr>
            <w:top w:val="none" w:sz="0" w:space="0" w:color="auto"/>
            <w:left w:val="none" w:sz="0" w:space="0" w:color="auto"/>
            <w:bottom w:val="none" w:sz="0" w:space="0" w:color="auto"/>
            <w:right w:val="none" w:sz="0" w:space="0" w:color="auto"/>
          </w:divBdr>
        </w:div>
        <w:div w:id="1902596978">
          <w:marLeft w:val="547"/>
          <w:marRight w:val="0"/>
          <w:marTop w:val="77"/>
          <w:marBottom w:val="0"/>
          <w:divBdr>
            <w:top w:val="none" w:sz="0" w:space="0" w:color="auto"/>
            <w:left w:val="none" w:sz="0" w:space="0" w:color="auto"/>
            <w:bottom w:val="none" w:sz="0" w:space="0" w:color="auto"/>
            <w:right w:val="none" w:sz="0" w:space="0" w:color="auto"/>
          </w:divBdr>
        </w:div>
      </w:divsChild>
    </w:div>
    <w:div w:id="1573929315">
      <w:bodyDiv w:val="1"/>
      <w:marLeft w:val="0"/>
      <w:marRight w:val="0"/>
      <w:marTop w:val="0"/>
      <w:marBottom w:val="0"/>
      <w:divBdr>
        <w:top w:val="none" w:sz="0" w:space="0" w:color="auto"/>
        <w:left w:val="none" w:sz="0" w:space="0" w:color="auto"/>
        <w:bottom w:val="none" w:sz="0" w:space="0" w:color="auto"/>
        <w:right w:val="none" w:sz="0" w:space="0" w:color="auto"/>
      </w:divBdr>
    </w:div>
    <w:div w:id="1585382408">
      <w:bodyDiv w:val="1"/>
      <w:marLeft w:val="0"/>
      <w:marRight w:val="0"/>
      <w:marTop w:val="0"/>
      <w:marBottom w:val="0"/>
      <w:divBdr>
        <w:top w:val="none" w:sz="0" w:space="0" w:color="auto"/>
        <w:left w:val="none" w:sz="0" w:space="0" w:color="auto"/>
        <w:bottom w:val="none" w:sz="0" w:space="0" w:color="auto"/>
        <w:right w:val="none" w:sz="0" w:space="0" w:color="auto"/>
      </w:divBdr>
    </w:div>
    <w:div w:id="1601791949">
      <w:bodyDiv w:val="1"/>
      <w:marLeft w:val="0"/>
      <w:marRight w:val="0"/>
      <w:marTop w:val="0"/>
      <w:marBottom w:val="0"/>
      <w:divBdr>
        <w:top w:val="none" w:sz="0" w:space="0" w:color="auto"/>
        <w:left w:val="none" w:sz="0" w:space="0" w:color="auto"/>
        <w:bottom w:val="none" w:sz="0" w:space="0" w:color="auto"/>
        <w:right w:val="none" w:sz="0" w:space="0" w:color="auto"/>
      </w:divBdr>
    </w:div>
    <w:div w:id="1623806904">
      <w:bodyDiv w:val="1"/>
      <w:marLeft w:val="0"/>
      <w:marRight w:val="0"/>
      <w:marTop w:val="0"/>
      <w:marBottom w:val="0"/>
      <w:divBdr>
        <w:top w:val="none" w:sz="0" w:space="0" w:color="auto"/>
        <w:left w:val="none" w:sz="0" w:space="0" w:color="auto"/>
        <w:bottom w:val="none" w:sz="0" w:space="0" w:color="auto"/>
        <w:right w:val="none" w:sz="0" w:space="0" w:color="auto"/>
      </w:divBdr>
    </w:div>
    <w:div w:id="1631783637">
      <w:bodyDiv w:val="1"/>
      <w:marLeft w:val="0"/>
      <w:marRight w:val="0"/>
      <w:marTop w:val="0"/>
      <w:marBottom w:val="0"/>
      <w:divBdr>
        <w:top w:val="none" w:sz="0" w:space="0" w:color="auto"/>
        <w:left w:val="none" w:sz="0" w:space="0" w:color="auto"/>
        <w:bottom w:val="none" w:sz="0" w:space="0" w:color="auto"/>
        <w:right w:val="none" w:sz="0" w:space="0" w:color="auto"/>
      </w:divBdr>
    </w:div>
    <w:div w:id="1632401687">
      <w:bodyDiv w:val="1"/>
      <w:marLeft w:val="0"/>
      <w:marRight w:val="0"/>
      <w:marTop w:val="0"/>
      <w:marBottom w:val="0"/>
      <w:divBdr>
        <w:top w:val="none" w:sz="0" w:space="0" w:color="auto"/>
        <w:left w:val="none" w:sz="0" w:space="0" w:color="auto"/>
        <w:bottom w:val="none" w:sz="0" w:space="0" w:color="auto"/>
        <w:right w:val="none" w:sz="0" w:space="0" w:color="auto"/>
      </w:divBdr>
    </w:div>
    <w:div w:id="1635677079">
      <w:bodyDiv w:val="1"/>
      <w:marLeft w:val="0"/>
      <w:marRight w:val="0"/>
      <w:marTop w:val="0"/>
      <w:marBottom w:val="0"/>
      <w:divBdr>
        <w:top w:val="none" w:sz="0" w:space="0" w:color="auto"/>
        <w:left w:val="none" w:sz="0" w:space="0" w:color="auto"/>
        <w:bottom w:val="none" w:sz="0" w:space="0" w:color="auto"/>
        <w:right w:val="none" w:sz="0" w:space="0" w:color="auto"/>
      </w:divBdr>
    </w:div>
    <w:div w:id="1661806024">
      <w:bodyDiv w:val="1"/>
      <w:marLeft w:val="0"/>
      <w:marRight w:val="0"/>
      <w:marTop w:val="0"/>
      <w:marBottom w:val="0"/>
      <w:divBdr>
        <w:top w:val="none" w:sz="0" w:space="0" w:color="auto"/>
        <w:left w:val="none" w:sz="0" w:space="0" w:color="auto"/>
        <w:bottom w:val="none" w:sz="0" w:space="0" w:color="auto"/>
        <w:right w:val="none" w:sz="0" w:space="0" w:color="auto"/>
      </w:divBdr>
    </w:div>
    <w:div w:id="1664889238">
      <w:bodyDiv w:val="1"/>
      <w:marLeft w:val="0"/>
      <w:marRight w:val="0"/>
      <w:marTop w:val="0"/>
      <w:marBottom w:val="0"/>
      <w:divBdr>
        <w:top w:val="none" w:sz="0" w:space="0" w:color="auto"/>
        <w:left w:val="none" w:sz="0" w:space="0" w:color="auto"/>
        <w:bottom w:val="none" w:sz="0" w:space="0" w:color="auto"/>
        <w:right w:val="none" w:sz="0" w:space="0" w:color="auto"/>
      </w:divBdr>
    </w:div>
    <w:div w:id="1683362639">
      <w:bodyDiv w:val="1"/>
      <w:marLeft w:val="0"/>
      <w:marRight w:val="0"/>
      <w:marTop w:val="0"/>
      <w:marBottom w:val="0"/>
      <w:divBdr>
        <w:top w:val="none" w:sz="0" w:space="0" w:color="auto"/>
        <w:left w:val="none" w:sz="0" w:space="0" w:color="auto"/>
        <w:bottom w:val="none" w:sz="0" w:space="0" w:color="auto"/>
        <w:right w:val="none" w:sz="0" w:space="0" w:color="auto"/>
      </w:divBdr>
    </w:div>
    <w:div w:id="1684622548">
      <w:bodyDiv w:val="1"/>
      <w:marLeft w:val="0"/>
      <w:marRight w:val="0"/>
      <w:marTop w:val="0"/>
      <w:marBottom w:val="0"/>
      <w:divBdr>
        <w:top w:val="none" w:sz="0" w:space="0" w:color="auto"/>
        <w:left w:val="none" w:sz="0" w:space="0" w:color="auto"/>
        <w:bottom w:val="none" w:sz="0" w:space="0" w:color="auto"/>
        <w:right w:val="none" w:sz="0" w:space="0" w:color="auto"/>
      </w:divBdr>
    </w:div>
    <w:div w:id="1695957110">
      <w:bodyDiv w:val="1"/>
      <w:marLeft w:val="0"/>
      <w:marRight w:val="0"/>
      <w:marTop w:val="0"/>
      <w:marBottom w:val="0"/>
      <w:divBdr>
        <w:top w:val="none" w:sz="0" w:space="0" w:color="auto"/>
        <w:left w:val="none" w:sz="0" w:space="0" w:color="auto"/>
        <w:bottom w:val="none" w:sz="0" w:space="0" w:color="auto"/>
        <w:right w:val="none" w:sz="0" w:space="0" w:color="auto"/>
      </w:divBdr>
    </w:div>
    <w:div w:id="1707412619">
      <w:bodyDiv w:val="1"/>
      <w:marLeft w:val="0"/>
      <w:marRight w:val="0"/>
      <w:marTop w:val="0"/>
      <w:marBottom w:val="0"/>
      <w:divBdr>
        <w:top w:val="none" w:sz="0" w:space="0" w:color="auto"/>
        <w:left w:val="none" w:sz="0" w:space="0" w:color="auto"/>
        <w:bottom w:val="none" w:sz="0" w:space="0" w:color="auto"/>
        <w:right w:val="none" w:sz="0" w:space="0" w:color="auto"/>
      </w:divBdr>
      <w:divsChild>
        <w:div w:id="549415356">
          <w:marLeft w:val="547"/>
          <w:marRight w:val="0"/>
          <w:marTop w:val="62"/>
          <w:marBottom w:val="0"/>
          <w:divBdr>
            <w:top w:val="none" w:sz="0" w:space="0" w:color="auto"/>
            <w:left w:val="none" w:sz="0" w:space="0" w:color="auto"/>
            <w:bottom w:val="none" w:sz="0" w:space="0" w:color="auto"/>
            <w:right w:val="none" w:sz="0" w:space="0" w:color="auto"/>
          </w:divBdr>
        </w:div>
      </w:divsChild>
    </w:div>
    <w:div w:id="1710181490">
      <w:bodyDiv w:val="1"/>
      <w:marLeft w:val="0"/>
      <w:marRight w:val="0"/>
      <w:marTop w:val="0"/>
      <w:marBottom w:val="0"/>
      <w:divBdr>
        <w:top w:val="none" w:sz="0" w:space="0" w:color="auto"/>
        <w:left w:val="none" w:sz="0" w:space="0" w:color="auto"/>
        <w:bottom w:val="none" w:sz="0" w:space="0" w:color="auto"/>
        <w:right w:val="none" w:sz="0" w:space="0" w:color="auto"/>
      </w:divBdr>
    </w:div>
    <w:div w:id="1727727636">
      <w:bodyDiv w:val="1"/>
      <w:marLeft w:val="0"/>
      <w:marRight w:val="0"/>
      <w:marTop w:val="0"/>
      <w:marBottom w:val="0"/>
      <w:divBdr>
        <w:top w:val="none" w:sz="0" w:space="0" w:color="auto"/>
        <w:left w:val="none" w:sz="0" w:space="0" w:color="auto"/>
        <w:bottom w:val="none" w:sz="0" w:space="0" w:color="auto"/>
        <w:right w:val="none" w:sz="0" w:space="0" w:color="auto"/>
      </w:divBdr>
    </w:div>
    <w:div w:id="1731223346">
      <w:bodyDiv w:val="1"/>
      <w:marLeft w:val="0"/>
      <w:marRight w:val="0"/>
      <w:marTop w:val="0"/>
      <w:marBottom w:val="0"/>
      <w:divBdr>
        <w:top w:val="none" w:sz="0" w:space="0" w:color="auto"/>
        <w:left w:val="none" w:sz="0" w:space="0" w:color="auto"/>
        <w:bottom w:val="none" w:sz="0" w:space="0" w:color="auto"/>
        <w:right w:val="none" w:sz="0" w:space="0" w:color="auto"/>
      </w:divBdr>
    </w:div>
    <w:div w:id="1738699639">
      <w:bodyDiv w:val="1"/>
      <w:marLeft w:val="0"/>
      <w:marRight w:val="0"/>
      <w:marTop w:val="0"/>
      <w:marBottom w:val="0"/>
      <w:divBdr>
        <w:top w:val="none" w:sz="0" w:space="0" w:color="auto"/>
        <w:left w:val="none" w:sz="0" w:space="0" w:color="auto"/>
        <w:bottom w:val="none" w:sz="0" w:space="0" w:color="auto"/>
        <w:right w:val="none" w:sz="0" w:space="0" w:color="auto"/>
      </w:divBdr>
      <w:divsChild>
        <w:div w:id="370619909">
          <w:marLeft w:val="547"/>
          <w:marRight w:val="0"/>
          <w:marTop w:val="67"/>
          <w:marBottom w:val="0"/>
          <w:divBdr>
            <w:top w:val="none" w:sz="0" w:space="0" w:color="auto"/>
            <w:left w:val="none" w:sz="0" w:space="0" w:color="auto"/>
            <w:bottom w:val="none" w:sz="0" w:space="0" w:color="auto"/>
            <w:right w:val="none" w:sz="0" w:space="0" w:color="auto"/>
          </w:divBdr>
        </w:div>
      </w:divsChild>
    </w:div>
    <w:div w:id="1749813667">
      <w:bodyDiv w:val="1"/>
      <w:marLeft w:val="0"/>
      <w:marRight w:val="0"/>
      <w:marTop w:val="0"/>
      <w:marBottom w:val="0"/>
      <w:divBdr>
        <w:top w:val="none" w:sz="0" w:space="0" w:color="auto"/>
        <w:left w:val="none" w:sz="0" w:space="0" w:color="auto"/>
        <w:bottom w:val="none" w:sz="0" w:space="0" w:color="auto"/>
        <w:right w:val="none" w:sz="0" w:space="0" w:color="auto"/>
      </w:divBdr>
    </w:div>
    <w:div w:id="1754282021">
      <w:bodyDiv w:val="1"/>
      <w:marLeft w:val="0"/>
      <w:marRight w:val="0"/>
      <w:marTop w:val="0"/>
      <w:marBottom w:val="0"/>
      <w:divBdr>
        <w:top w:val="none" w:sz="0" w:space="0" w:color="auto"/>
        <w:left w:val="none" w:sz="0" w:space="0" w:color="auto"/>
        <w:bottom w:val="none" w:sz="0" w:space="0" w:color="auto"/>
        <w:right w:val="none" w:sz="0" w:space="0" w:color="auto"/>
      </w:divBdr>
    </w:div>
    <w:div w:id="1754888912">
      <w:bodyDiv w:val="1"/>
      <w:marLeft w:val="0"/>
      <w:marRight w:val="0"/>
      <w:marTop w:val="0"/>
      <w:marBottom w:val="0"/>
      <w:divBdr>
        <w:top w:val="none" w:sz="0" w:space="0" w:color="auto"/>
        <w:left w:val="none" w:sz="0" w:space="0" w:color="auto"/>
        <w:bottom w:val="none" w:sz="0" w:space="0" w:color="auto"/>
        <w:right w:val="none" w:sz="0" w:space="0" w:color="auto"/>
      </w:divBdr>
    </w:div>
    <w:div w:id="1764105206">
      <w:bodyDiv w:val="1"/>
      <w:marLeft w:val="0"/>
      <w:marRight w:val="0"/>
      <w:marTop w:val="0"/>
      <w:marBottom w:val="0"/>
      <w:divBdr>
        <w:top w:val="none" w:sz="0" w:space="0" w:color="auto"/>
        <w:left w:val="none" w:sz="0" w:space="0" w:color="auto"/>
        <w:bottom w:val="none" w:sz="0" w:space="0" w:color="auto"/>
        <w:right w:val="none" w:sz="0" w:space="0" w:color="auto"/>
      </w:divBdr>
    </w:div>
    <w:div w:id="1772162335">
      <w:bodyDiv w:val="1"/>
      <w:marLeft w:val="0"/>
      <w:marRight w:val="0"/>
      <w:marTop w:val="0"/>
      <w:marBottom w:val="0"/>
      <w:divBdr>
        <w:top w:val="none" w:sz="0" w:space="0" w:color="auto"/>
        <w:left w:val="none" w:sz="0" w:space="0" w:color="auto"/>
        <w:bottom w:val="none" w:sz="0" w:space="0" w:color="auto"/>
        <w:right w:val="none" w:sz="0" w:space="0" w:color="auto"/>
      </w:divBdr>
    </w:div>
    <w:div w:id="1776170668">
      <w:bodyDiv w:val="1"/>
      <w:marLeft w:val="0"/>
      <w:marRight w:val="0"/>
      <w:marTop w:val="0"/>
      <w:marBottom w:val="0"/>
      <w:divBdr>
        <w:top w:val="none" w:sz="0" w:space="0" w:color="auto"/>
        <w:left w:val="none" w:sz="0" w:space="0" w:color="auto"/>
        <w:bottom w:val="none" w:sz="0" w:space="0" w:color="auto"/>
        <w:right w:val="none" w:sz="0" w:space="0" w:color="auto"/>
      </w:divBdr>
    </w:div>
    <w:div w:id="1780178729">
      <w:bodyDiv w:val="1"/>
      <w:marLeft w:val="0"/>
      <w:marRight w:val="0"/>
      <w:marTop w:val="0"/>
      <w:marBottom w:val="0"/>
      <w:divBdr>
        <w:top w:val="none" w:sz="0" w:space="0" w:color="auto"/>
        <w:left w:val="none" w:sz="0" w:space="0" w:color="auto"/>
        <w:bottom w:val="none" w:sz="0" w:space="0" w:color="auto"/>
        <w:right w:val="none" w:sz="0" w:space="0" w:color="auto"/>
      </w:divBdr>
    </w:div>
    <w:div w:id="1790661745">
      <w:bodyDiv w:val="1"/>
      <w:marLeft w:val="0"/>
      <w:marRight w:val="0"/>
      <w:marTop w:val="0"/>
      <w:marBottom w:val="0"/>
      <w:divBdr>
        <w:top w:val="none" w:sz="0" w:space="0" w:color="auto"/>
        <w:left w:val="none" w:sz="0" w:space="0" w:color="auto"/>
        <w:bottom w:val="none" w:sz="0" w:space="0" w:color="auto"/>
        <w:right w:val="none" w:sz="0" w:space="0" w:color="auto"/>
      </w:divBdr>
    </w:div>
    <w:div w:id="1793748821">
      <w:bodyDiv w:val="1"/>
      <w:marLeft w:val="0"/>
      <w:marRight w:val="0"/>
      <w:marTop w:val="0"/>
      <w:marBottom w:val="0"/>
      <w:divBdr>
        <w:top w:val="none" w:sz="0" w:space="0" w:color="auto"/>
        <w:left w:val="none" w:sz="0" w:space="0" w:color="auto"/>
        <w:bottom w:val="none" w:sz="0" w:space="0" w:color="auto"/>
        <w:right w:val="none" w:sz="0" w:space="0" w:color="auto"/>
      </w:divBdr>
    </w:div>
    <w:div w:id="1793787027">
      <w:bodyDiv w:val="1"/>
      <w:marLeft w:val="0"/>
      <w:marRight w:val="0"/>
      <w:marTop w:val="0"/>
      <w:marBottom w:val="0"/>
      <w:divBdr>
        <w:top w:val="none" w:sz="0" w:space="0" w:color="auto"/>
        <w:left w:val="none" w:sz="0" w:space="0" w:color="auto"/>
        <w:bottom w:val="none" w:sz="0" w:space="0" w:color="auto"/>
        <w:right w:val="none" w:sz="0" w:space="0" w:color="auto"/>
      </w:divBdr>
    </w:div>
    <w:div w:id="1795060106">
      <w:bodyDiv w:val="1"/>
      <w:marLeft w:val="0"/>
      <w:marRight w:val="0"/>
      <w:marTop w:val="0"/>
      <w:marBottom w:val="0"/>
      <w:divBdr>
        <w:top w:val="none" w:sz="0" w:space="0" w:color="auto"/>
        <w:left w:val="none" w:sz="0" w:space="0" w:color="auto"/>
        <w:bottom w:val="none" w:sz="0" w:space="0" w:color="auto"/>
        <w:right w:val="none" w:sz="0" w:space="0" w:color="auto"/>
      </w:divBdr>
    </w:div>
    <w:div w:id="1818494902">
      <w:bodyDiv w:val="1"/>
      <w:marLeft w:val="0"/>
      <w:marRight w:val="0"/>
      <w:marTop w:val="0"/>
      <w:marBottom w:val="0"/>
      <w:divBdr>
        <w:top w:val="none" w:sz="0" w:space="0" w:color="auto"/>
        <w:left w:val="none" w:sz="0" w:space="0" w:color="auto"/>
        <w:bottom w:val="none" w:sz="0" w:space="0" w:color="auto"/>
        <w:right w:val="none" w:sz="0" w:space="0" w:color="auto"/>
      </w:divBdr>
    </w:div>
    <w:div w:id="1819567939">
      <w:bodyDiv w:val="1"/>
      <w:marLeft w:val="0"/>
      <w:marRight w:val="0"/>
      <w:marTop w:val="0"/>
      <w:marBottom w:val="0"/>
      <w:divBdr>
        <w:top w:val="none" w:sz="0" w:space="0" w:color="auto"/>
        <w:left w:val="none" w:sz="0" w:space="0" w:color="auto"/>
        <w:bottom w:val="none" w:sz="0" w:space="0" w:color="auto"/>
        <w:right w:val="none" w:sz="0" w:space="0" w:color="auto"/>
      </w:divBdr>
    </w:div>
    <w:div w:id="1824395962">
      <w:bodyDiv w:val="1"/>
      <w:marLeft w:val="0"/>
      <w:marRight w:val="0"/>
      <w:marTop w:val="0"/>
      <w:marBottom w:val="0"/>
      <w:divBdr>
        <w:top w:val="none" w:sz="0" w:space="0" w:color="auto"/>
        <w:left w:val="none" w:sz="0" w:space="0" w:color="auto"/>
        <w:bottom w:val="none" w:sz="0" w:space="0" w:color="auto"/>
        <w:right w:val="none" w:sz="0" w:space="0" w:color="auto"/>
      </w:divBdr>
    </w:div>
    <w:div w:id="1831141993">
      <w:bodyDiv w:val="1"/>
      <w:marLeft w:val="0"/>
      <w:marRight w:val="0"/>
      <w:marTop w:val="0"/>
      <w:marBottom w:val="0"/>
      <w:divBdr>
        <w:top w:val="none" w:sz="0" w:space="0" w:color="auto"/>
        <w:left w:val="none" w:sz="0" w:space="0" w:color="auto"/>
        <w:bottom w:val="none" w:sz="0" w:space="0" w:color="auto"/>
        <w:right w:val="none" w:sz="0" w:space="0" w:color="auto"/>
      </w:divBdr>
      <w:divsChild>
        <w:div w:id="368268013">
          <w:marLeft w:val="547"/>
          <w:marRight w:val="0"/>
          <w:marTop w:val="77"/>
          <w:marBottom w:val="0"/>
          <w:divBdr>
            <w:top w:val="none" w:sz="0" w:space="0" w:color="auto"/>
            <w:left w:val="none" w:sz="0" w:space="0" w:color="auto"/>
            <w:bottom w:val="none" w:sz="0" w:space="0" w:color="auto"/>
            <w:right w:val="none" w:sz="0" w:space="0" w:color="auto"/>
          </w:divBdr>
        </w:div>
        <w:div w:id="770275520">
          <w:marLeft w:val="547"/>
          <w:marRight w:val="0"/>
          <w:marTop w:val="77"/>
          <w:marBottom w:val="0"/>
          <w:divBdr>
            <w:top w:val="none" w:sz="0" w:space="0" w:color="auto"/>
            <w:left w:val="none" w:sz="0" w:space="0" w:color="auto"/>
            <w:bottom w:val="none" w:sz="0" w:space="0" w:color="auto"/>
            <w:right w:val="none" w:sz="0" w:space="0" w:color="auto"/>
          </w:divBdr>
        </w:div>
        <w:div w:id="1515456097">
          <w:marLeft w:val="547"/>
          <w:marRight w:val="0"/>
          <w:marTop w:val="77"/>
          <w:marBottom w:val="0"/>
          <w:divBdr>
            <w:top w:val="none" w:sz="0" w:space="0" w:color="auto"/>
            <w:left w:val="none" w:sz="0" w:space="0" w:color="auto"/>
            <w:bottom w:val="none" w:sz="0" w:space="0" w:color="auto"/>
            <w:right w:val="none" w:sz="0" w:space="0" w:color="auto"/>
          </w:divBdr>
        </w:div>
      </w:divsChild>
    </w:div>
    <w:div w:id="1835104351">
      <w:bodyDiv w:val="1"/>
      <w:marLeft w:val="0"/>
      <w:marRight w:val="0"/>
      <w:marTop w:val="0"/>
      <w:marBottom w:val="0"/>
      <w:divBdr>
        <w:top w:val="none" w:sz="0" w:space="0" w:color="auto"/>
        <w:left w:val="none" w:sz="0" w:space="0" w:color="auto"/>
        <w:bottom w:val="none" w:sz="0" w:space="0" w:color="auto"/>
        <w:right w:val="none" w:sz="0" w:space="0" w:color="auto"/>
      </w:divBdr>
    </w:div>
    <w:div w:id="1859738905">
      <w:bodyDiv w:val="1"/>
      <w:marLeft w:val="0"/>
      <w:marRight w:val="0"/>
      <w:marTop w:val="0"/>
      <w:marBottom w:val="0"/>
      <w:divBdr>
        <w:top w:val="none" w:sz="0" w:space="0" w:color="auto"/>
        <w:left w:val="none" w:sz="0" w:space="0" w:color="auto"/>
        <w:bottom w:val="none" w:sz="0" w:space="0" w:color="auto"/>
        <w:right w:val="none" w:sz="0" w:space="0" w:color="auto"/>
      </w:divBdr>
    </w:div>
    <w:div w:id="1860393829">
      <w:bodyDiv w:val="1"/>
      <w:marLeft w:val="0"/>
      <w:marRight w:val="0"/>
      <w:marTop w:val="0"/>
      <w:marBottom w:val="0"/>
      <w:divBdr>
        <w:top w:val="none" w:sz="0" w:space="0" w:color="auto"/>
        <w:left w:val="none" w:sz="0" w:space="0" w:color="auto"/>
        <w:bottom w:val="none" w:sz="0" w:space="0" w:color="auto"/>
        <w:right w:val="none" w:sz="0" w:space="0" w:color="auto"/>
      </w:divBdr>
    </w:div>
    <w:div w:id="1867257884">
      <w:bodyDiv w:val="1"/>
      <w:marLeft w:val="0"/>
      <w:marRight w:val="0"/>
      <w:marTop w:val="0"/>
      <w:marBottom w:val="0"/>
      <w:divBdr>
        <w:top w:val="none" w:sz="0" w:space="0" w:color="auto"/>
        <w:left w:val="none" w:sz="0" w:space="0" w:color="auto"/>
        <w:bottom w:val="none" w:sz="0" w:space="0" w:color="auto"/>
        <w:right w:val="none" w:sz="0" w:space="0" w:color="auto"/>
      </w:divBdr>
    </w:div>
    <w:div w:id="1878351760">
      <w:bodyDiv w:val="1"/>
      <w:marLeft w:val="0"/>
      <w:marRight w:val="0"/>
      <w:marTop w:val="0"/>
      <w:marBottom w:val="0"/>
      <w:divBdr>
        <w:top w:val="none" w:sz="0" w:space="0" w:color="auto"/>
        <w:left w:val="none" w:sz="0" w:space="0" w:color="auto"/>
        <w:bottom w:val="none" w:sz="0" w:space="0" w:color="auto"/>
        <w:right w:val="none" w:sz="0" w:space="0" w:color="auto"/>
      </w:divBdr>
    </w:div>
    <w:div w:id="1879200333">
      <w:bodyDiv w:val="1"/>
      <w:marLeft w:val="0"/>
      <w:marRight w:val="0"/>
      <w:marTop w:val="0"/>
      <w:marBottom w:val="0"/>
      <w:divBdr>
        <w:top w:val="none" w:sz="0" w:space="0" w:color="auto"/>
        <w:left w:val="none" w:sz="0" w:space="0" w:color="auto"/>
        <w:bottom w:val="none" w:sz="0" w:space="0" w:color="auto"/>
        <w:right w:val="none" w:sz="0" w:space="0" w:color="auto"/>
      </w:divBdr>
    </w:div>
    <w:div w:id="1893467045">
      <w:bodyDiv w:val="1"/>
      <w:marLeft w:val="0"/>
      <w:marRight w:val="0"/>
      <w:marTop w:val="0"/>
      <w:marBottom w:val="0"/>
      <w:divBdr>
        <w:top w:val="none" w:sz="0" w:space="0" w:color="auto"/>
        <w:left w:val="none" w:sz="0" w:space="0" w:color="auto"/>
        <w:bottom w:val="none" w:sz="0" w:space="0" w:color="auto"/>
        <w:right w:val="none" w:sz="0" w:space="0" w:color="auto"/>
      </w:divBdr>
    </w:div>
    <w:div w:id="1893614808">
      <w:bodyDiv w:val="1"/>
      <w:marLeft w:val="0"/>
      <w:marRight w:val="0"/>
      <w:marTop w:val="0"/>
      <w:marBottom w:val="0"/>
      <w:divBdr>
        <w:top w:val="none" w:sz="0" w:space="0" w:color="auto"/>
        <w:left w:val="none" w:sz="0" w:space="0" w:color="auto"/>
        <w:bottom w:val="none" w:sz="0" w:space="0" w:color="auto"/>
        <w:right w:val="none" w:sz="0" w:space="0" w:color="auto"/>
      </w:divBdr>
    </w:div>
    <w:div w:id="1893809929">
      <w:bodyDiv w:val="1"/>
      <w:marLeft w:val="0"/>
      <w:marRight w:val="0"/>
      <w:marTop w:val="0"/>
      <w:marBottom w:val="0"/>
      <w:divBdr>
        <w:top w:val="none" w:sz="0" w:space="0" w:color="auto"/>
        <w:left w:val="none" w:sz="0" w:space="0" w:color="auto"/>
        <w:bottom w:val="none" w:sz="0" w:space="0" w:color="auto"/>
        <w:right w:val="none" w:sz="0" w:space="0" w:color="auto"/>
      </w:divBdr>
    </w:div>
    <w:div w:id="1902793023">
      <w:bodyDiv w:val="1"/>
      <w:marLeft w:val="0"/>
      <w:marRight w:val="0"/>
      <w:marTop w:val="0"/>
      <w:marBottom w:val="0"/>
      <w:divBdr>
        <w:top w:val="none" w:sz="0" w:space="0" w:color="auto"/>
        <w:left w:val="none" w:sz="0" w:space="0" w:color="auto"/>
        <w:bottom w:val="none" w:sz="0" w:space="0" w:color="auto"/>
        <w:right w:val="none" w:sz="0" w:space="0" w:color="auto"/>
      </w:divBdr>
    </w:div>
    <w:div w:id="1911887267">
      <w:bodyDiv w:val="1"/>
      <w:marLeft w:val="0"/>
      <w:marRight w:val="0"/>
      <w:marTop w:val="0"/>
      <w:marBottom w:val="0"/>
      <w:divBdr>
        <w:top w:val="none" w:sz="0" w:space="0" w:color="auto"/>
        <w:left w:val="none" w:sz="0" w:space="0" w:color="auto"/>
        <w:bottom w:val="none" w:sz="0" w:space="0" w:color="auto"/>
        <w:right w:val="none" w:sz="0" w:space="0" w:color="auto"/>
      </w:divBdr>
    </w:div>
    <w:div w:id="1913617318">
      <w:bodyDiv w:val="1"/>
      <w:marLeft w:val="0"/>
      <w:marRight w:val="0"/>
      <w:marTop w:val="0"/>
      <w:marBottom w:val="0"/>
      <w:divBdr>
        <w:top w:val="none" w:sz="0" w:space="0" w:color="auto"/>
        <w:left w:val="none" w:sz="0" w:space="0" w:color="auto"/>
        <w:bottom w:val="none" w:sz="0" w:space="0" w:color="auto"/>
        <w:right w:val="none" w:sz="0" w:space="0" w:color="auto"/>
      </w:divBdr>
    </w:div>
    <w:div w:id="1935357572">
      <w:bodyDiv w:val="1"/>
      <w:marLeft w:val="0"/>
      <w:marRight w:val="0"/>
      <w:marTop w:val="0"/>
      <w:marBottom w:val="0"/>
      <w:divBdr>
        <w:top w:val="none" w:sz="0" w:space="0" w:color="auto"/>
        <w:left w:val="none" w:sz="0" w:space="0" w:color="auto"/>
        <w:bottom w:val="none" w:sz="0" w:space="0" w:color="auto"/>
        <w:right w:val="none" w:sz="0" w:space="0" w:color="auto"/>
      </w:divBdr>
    </w:div>
    <w:div w:id="1943025059">
      <w:bodyDiv w:val="1"/>
      <w:marLeft w:val="0"/>
      <w:marRight w:val="0"/>
      <w:marTop w:val="0"/>
      <w:marBottom w:val="0"/>
      <w:divBdr>
        <w:top w:val="none" w:sz="0" w:space="0" w:color="auto"/>
        <w:left w:val="none" w:sz="0" w:space="0" w:color="auto"/>
        <w:bottom w:val="none" w:sz="0" w:space="0" w:color="auto"/>
        <w:right w:val="none" w:sz="0" w:space="0" w:color="auto"/>
      </w:divBdr>
    </w:div>
    <w:div w:id="1946228351">
      <w:bodyDiv w:val="1"/>
      <w:marLeft w:val="0"/>
      <w:marRight w:val="0"/>
      <w:marTop w:val="0"/>
      <w:marBottom w:val="0"/>
      <w:divBdr>
        <w:top w:val="none" w:sz="0" w:space="0" w:color="auto"/>
        <w:left w:val="none" w:sz="0" w:space="0" w:color="auto"/>
        <w:bottom w:val="none" w:sz="0" w:space="0" w:color="auto"/>
        <w:right w:val="none" w:sz="0" w:space="0" w:color="auto"/>
      </w:divBdr>
    </w:div>
    <w:div w:id="1948196043">
      <w:bodyDiv w:val="1"/>
      <w:marLeft w:val="0"/>
      <w:marRight w:val="0"/>
      <w:marTop w:val="0"/>
      <w:marBottom w:val="0"/>
      <w:divBdr>
        <w:top w:val="none" w:sz="0" w:space="0" w:color="auto"/>
        <w:left w:val="none" w:sz="0" w:space="0" w:color="auto"/>
        <w:bottom w:val="none" w:sz="0" w:space="0" w:color="auto"/>
        <w:right w:val="none" w:sz="0" w:space="0" w:color="auto"/>
      </w:divBdr>
    </w:div>
    <w:div w:id="1950501021">
      <w:bodyDiv w:val="1"/>
      <w:marLeft w:val="0"/>
      <w:marRight w:val="0"/>
      <w:marTop w:val="0"/>
      <w:marBottom w:val="0"/>
      <w:divBdr>
        <w:top w:val="none" w:sz="0" w:space="0" w:color="auto"/>
        <w:left w:val="none" w:sz="0" w:space="0" w:color="auto"/>
        <w:bottom w:val="none" w:sz="0" w:space="0" w:color="auto"/>
        <w:right w:val="none" w:sz="0" w:space="0" w:color="auto"/>
      </w:divBdr>
    </w:div>
    <w:div w:id="1952738978">
      <w:bodyDiv w:val="1"/>
      <w:marLeft w:val="0"/>
      <w:marRight w:val="0"/>
      <w:marTop w:val="0"/>
      <w:marBottom w:val="0"/>
      <w:divBdr>
        <w:top w:val="none" w:sz="0" w:space="0" w:color="auto"/>
        <w:left w:val="none" w:sz="0" w:space="0" w:color="auto"/>
        <w:bottom w:val="none" w:sz="0" w:space="0" w:color="auto"/>
        <w:right w:val="none" w:sz="0" w:space="0" w:color="auto"/>
      </w:divBdr>
    </w:div>
    <w:div w:id="1988238598">
      <w:bodyDiv w:val="1"/>
      <w:marLeft w:val="0"/>
      <w:marRight w:val="0"/>
      <w:marTop w:val="0"/>
      <w:marBottom w:val="0"/>
      <w:divBdr>
        <w:top w:val="none" w:sz="0" w:space="0" w:color="auto"/>
        <w:left w:val="none" w:sz="0" w:space="0" w:color="auto"/>
        <w:bottom w:val="none" w:sz="0" w:space="0" w:color="auto"/>
        <w:right w:val="none" w:sz="0" w:space="0" w:color="auto"/>
      </w:divBdr>
    </w:div>
    <w:div w:id="1993168989">
      <w:bodyDiv w:val="1"/>
      <w:marLeft w:val="0"/>
      <w:marRight w:val="0"/>
      <w:marTop w:val="0"/>
      <w:marBottom w:val="0"/>
      <w:divBdr>
        <w:top w:val="none" w:sz="0" w:space="0" w:color="auto"/>
        <w:left w:val="none" w:sz="0" w:space="0" w:color="auto"/>
        <w:bottom w:val="none" w:sz="0" w:space="0" w:color="auto"/>
        <w:right w:val="none" w:sz="0" w:space="0" w:color="auto"/>
      </w:divBdr>
    </w:div>
    <w:div w:id="2008970628">
      <w:bodyDiv w:val="1"/>
      <w:marLeft w:val="0"/>
      <w:marRight w:val="0"/>
      <w:marTop w:val="0"/>
      <w:marBottom w:val="0"/>
      <w:divBdr>
        <w:top w:val="none" w:sz="0" w:space="0" w:color="auto"/>
        <w:left w:val="none" w:sz="0" w:space="0" w:color="auto"/>
        <w:bottom w:val="none" w:sz="0" w:space="0" w:color="auto"/>
        <w:right w:val="none" w:sz="0" w:space="0" w:color="auto"/>
      </w:divBdr>
    </w:div>
    <w:div w:id="2012095765">
      <w:bodyDiv w:val="1"/>
      <w:marLeft w:val="0"/>
      <w:marRight w:val="0"/>
      <w:marTop w:val="0"/>
      <w:marBottom w:val="0"/>
      <w:divBdr>
        <w:top w:val="none" w:sz="0" w:space="0" w:color="auto"/>
        <w:left w:val="none" w:sz="0" w:space="0" w:color="auto"/>
        <w:bottom w:val="none" w:sz="0" w:space="0" w:color="auto"/>
        <w:right w:val="none" w:sz="0" w:space="0" w:color="auto"/>
      </w:divBdr>
    </w:div>
    <w:div w:id="2013530433">
      <w:bodyDiv w:val="1"/>
      <w:marLeft w:val="0"/>
      <w:marRight w:val="0"/>
      <w:marTop w:val="0"/>
      <w:marBottom w:val="0"/>
      <w:divBdr>
        <w:top w:val="none" w:sz="0" w:space="0" w:color="auto"/>
        <w:left w:val="none" w:sz="0" w:space="0" w:color="auto"/>
        <w:bottom w:val="none" w:sz="0" w:space="0" w:color="auto"/>
        <w:right w:val="none" w:sz="0" w:space="0" w:color="auto"/>
      </w:divBdr>
    </w:div>
    <w:div w:id="2023429489">
      <w:bodyDiv w:val="1"/>
      <w:marLeft w:val="0"/>
      <w:marRight w:val="0"/>
      <w:marTop w:val="0"/>
      <w:marBottom w:val="0"/>
      <w:divBdr>
        <w:top w:val="none" w:sz="0" w:space="0" w:color="auto"/>
        <w:left w:val="none" w:sz="0" w:space="0" w:color="auto"/>
        <w:bottom w:val="none" w:sz="0" w:space="0" w:color="auto"/>
        <w:right w:val="none" w:sz="0" w:space="0" w:color="auto"/>
      </w:divBdr>
    </w:div>
    <w:div w:id="2024894343">
      <w:bodyDiv w:val="1"/>
      <w:marLeft w:val="0"/>
      <w:marRight w:val="0"/>
      <w:marTop w:val="0"/>
      <w:marBottom w:val="0"/>
      <w:divBdr>
        <w:top w:val="none" w:sz="0" w:space="0" w:color="auto"/>
        <w:left w:val="none" w:sz="0" w:space="0" w:color="auto"/>
        <w:bottom w:val="none" w:sz="0" w:space="0" w:color="auto"/>
        <w:right w:val="none" w:sz="0" w:space="0" w:color="auto"/>
      </w:divBdr>
    </w:div>
    <w:div w:id="2026515911">
      <w:bodyDiv w:val="1"/>
      <w:marLeft w:val="0"/>
      <w:marRight w:val="0"/>
      <w:marTop w:val="0"/>
      <w:marBottom w:val="0"/>
      <w:divBdr>
        <w:top w:val="none" w:sz="0" w:space="0" w:color="auto"/>
        <w:left w:val="none" w:sz="0" w:space="0" w:color="auto"/>
        <w:bottom w:val="none" w:sz="0" w:space="0" w:color="auto"/>
        <w:right w:val="none" w:sz="0" w:space="0" w:color="auto"/>
      </w:divBdr>
    </w:div>
    <w:div w:id="2027126244">
      <w:bodyDiv w:val="1"/>
      <w:marLeft w:val="0"/>
      <w:marRight w:val="0"/>
      <w:marTop w:val="0"/>
      <w:marBottom w:val="0"/>
      <w:divBdr>
        <w:top w:val="none" w:sz="0" w:space="0" w:color="auto"/>
        <w:left w:val="none" w:sz="0" w:space="0" w:color="auto"/>
        <w:bottom w:val="none" w:sz="0" w:space="0" w:color="auto"/>
        <w:right w:val="none" w:sz="0" w:space="0" w:color="auto"/>
      </w:divBdr>
    </w:div>
    <w:div w:id="2028480097">
      <w:bodyDiv w:val="1"/>
      <w:marLeft w:val="0"/>
      <w:marRight w:val="0"/>
      <w:marTop w:val="0"/>
      <w:marBottom w:val="0"/>
      <w:divBdr>
        <w:top w:val="none" w:sz="0" w:space="0" w:color="auto"/>
        <w:left w:val="none" w:sz="0" w:space="0" w:color="auto"/>
        <w:bottom w:val="none" w:sz="0" w:space="0" w:color="auto"/>
        <w:right w:val="none" w:sz="0" w:space="0" w:color="auto"/>
      </w:divBdr>
    </w:div>
    <w:div w:id="2032149548">
      <w:bodyDiv w:val="1"/>
      <w:marLeft w:val="0"/>
      <w:marRight w:val="0"/>
      <w:marTop w:val="0"/>
      <w:marBottom w:val="0"/>
      <w:divBdr>
        <w:top w:val="none" w:sz="0" w:space="0" w:color="auto"/>
        <w:left w:val="none" w:sz="0" w:space="0" w:color="auto"/>
        <w:bottom w:val="none" w:sz="0" w:space="0" w:color="auto"/>
        <w:right w:val="none" w:sz="0" w:space="0" w:color="auto"/>
      </w:divBdr>
    </w:div>
    <w:div w:id="2040426398">
      <w:bodyDiv w:val="1"/>
      <w:marLeft w:val="0"/>
      <w:marRight w:val="0"/>
      <w:marTop w:val="0"/>
      <w:marBottom w:val="0"/>
      <w:divBdr>
        <w:top w:val="none" w:sz="0" w:space="0" w:color="auto"/>
        <w:left w:val="none" w:sz="0" w:space="0" w:color="auto"/>
        <w:bottom w:val="none" w:sz="0" w:space="0" w:color="auto"/>
        <w:right w:val="none" w:sz="0" w:space="0" w:color="auto"/>
      </w:divBdr>
    </w:div>
    <w:div w:id="2050296930">
      <w:bodyDiv w:val="1"/>
      <w:marLeft w:val="0"/>
      <w:marRight w:val="0"/>
      <w:marTop w:val="0"/>
      <w:marBottom w:val="0"/>
      <w:divBdr>
        <w:top w:val="none" w:sz="0" w:space="0" w:color="auto"/>
        <w:left w:val="none" w:sz="0" w:space="0" w:color="auto"/>
        <w:bottom w:val="none" w:sz="0" w:space="0" w:color="auto"/>
        <w:right w:val="none" w:sz="0" w:space="0" w:color="auto"/>
      </w:divBdr>
    </w:div>
    <w:div w:id="2053576385">
      <w:bodyDiv w:val="1"/>
      <w:marLeft w:val="0"/>
      <w:marRight w:val="0"/>
      <w:marTop w:val="0"/>
      <w:marBottom w:val="0"/>
      <w:divBdr>
        <w:top w:val="none" w:sz="0" w:space="0" w:color="auto"/>
        <w:left w:val="none" w:sz="0" w:space="0" w:color="auto"/>
        <w:bottom w:val="none" w:sz="0" w:space="0" w:color="auto"/>
        <w:right w:val="none" w:sz="0" w:space="0" w:color="auto"/>
      </w:divBdr>
    </w:div>
    <w:div w:id="2060861886">
      <w:bodyDiv w:val="1"/>
      <w:marLeft w:val="0"/>
      <w:marRight w:val="0"/>
      <w:marTop w:val="0"/>
      <w:marBottom w:val="0"/>
      <w:divBdr>
        <w:top w:val="none" w:sz="0" w:space="0" w:color="auto"/>
        <w:left w:val="none" w:sz="0" w:space="0" w:color="auto"/>
        <w:bottom w:val="none" w:sz="0" w:space="0" w:color="auto"/>
        <w:right w:val="none" w:sz="0" w:space="0" w:color="auto"/>
      </w:divBdr>
    </w:div>
    <w:div w:id="2061513188">
      <w:bodyDiv w:val="1"/>
      <w:marLeft w:val="0"/>
      <w:marRight w:val="0"/>
      <w:marTop w:val="0"/>
      <w:marBottom w:val="0"/>
      <w:divBdr>
        <w:top w:val="none" w:sz="0" w:space="0" w:color="auto"/>
        <w:left w:val="none" w:sz="0" w:space="0" w:color="auto"/>
        <w:bottom w:val="none" w:sz="0" w:space="0" w:color="auto"/>
        <w:right w:val="none" w:sz="0" w:space="0" w:color="auto"/>
      </w:divBdr>
    </w:div>
    <w:div w:id="2068069660">
      <w:bodyDiv w:val="1"/>
      <w:marLeft w:val="0"/>
      <w:marRight w:val="0"/>
      <w:marTop w:val="0"/>
      <w:marBottom w:val="0"/>
      <w:divBdr>
        <w:top w:val="none" w:sz="0" w:space="0" w:color="auto"/>
        <w:left w:val="none" w:sz="0" w:space="0" w:color="auto"/>
        <w:bottom w:val="none" w:sz="0" w:space="0" w:color="auto"/>
        <w:right w:val="none" w:sz="0" w:space="0" w:color="auto"/>
      </w:divBdr>
    </w:div>
    <w:div w:id="2078017200">
      <w:bodyDiv w:val="1"/>
      <w:marLeft w:val="0"/>
      <w:marRight w:val="0"/>
      <w:marTop w:val="0"/>
      <w:marBottom w:val="0"/>
      <w:divBdr>
        <w:top w:val="none" w:sz="0" w:space="0" w:color="auto"/>
        <w:left w:val="none" w:sz="0" w:space="0" w:color="auto"/>
        <w:bottom w:val="none" w:sz="0" w:space="0" w:color="auto"/>
        <w:right w:val="none" w:sz="0" w:space="0" w:color="auto"/>
      </w:divBdr>
    </w:div>
    <w:div w:id="2080901703">
      <w:bodyDiv w:val="1"/>
      <w:marLeft w:val="0"/>
      <w:marRight w:val="0"/>
      <w:marTop w:val="0"/>
      <w:marBottom w:val="0"/>
      <w:divBdr>
        <w:top w:val="none" w:sz="0" w:space="0" w:color="auto"/>
        <w:left w:val="none" w:sz="0" w:space="0" w:color="auto"/>
        <w:bottom w:val="none" w:sz="0" w:space="0" w:color="auto"/>
        <w:right w:val="none" w:sz="0" w:space="0" w:color="auto"/>
      </w:divBdr>
    </w:div>
    <w:div w:id="2086952532">
      <w:bodyDiv w:val="1"/>
      <w:marLeft w:val="0"/>
      <w:marRight w:val="0"/>
      <w:marTop w:val="0"/>
      <w:marBottom w:val="0"/>
      <w:divBdr>
        <w:top w:val="none" w:sz="0" w:space="0" w:color="auto"/>
        <w:left w:val="none" w:sz="0" w:space="0" w:color="auto"/>
        <w:bottom w:val="none" w:sz="0" w:space="0" w:color="auto"/>
        <w:right w:val="none" w:sz="0" w:space="0" w:color="auto"/>
      </w:divBdr>
    </w:div>
    <w:div w:id="2092191468">
      <w:bodyDiv w:val="1"/>
      <w:marLeft w:val="0"/>
      <w:marRight w:val="0"/>
      <w:marTop w:val="0"/>
      <w:marBottom w:val="0"/>
      <w:divBdr>
        <w:top w:val="none" w:sz="0" w:space="0" w:color="auto"/>
        <w:left w:val="none" w:sz="0" w:space="0" w:color="auto"/>
        <w:bottom w:val="none" w:sz="0" w:space="0" w:color="auto"/>
        <w:right w:val="none" w:sz="0" w:space="0" w:color="auto"/>
      </w:divBdr>
    </w:div>
    <w:div w:id="2092508971">
      <w:bodyDiv w:val="1"/>
      <w:marLeft w:val="0"/>
      <w:marRight w:val="0"/>
      <w:marTop w:val="0"/>
      <w:marBottom w:val="0"/>
      <w:divBdr>
        <w:top w:val="none" w:sz="0" w:space="0" w:color="auto"/>
        <w:left w:val="none" w:sz="0" w:space="0" w:color="auto"/>
        <w:bottom w:val="none" w:sz="0" w:space="0" w:color="auto"/>
        <w:right w:val="none" w:sz="0" w:space="0" w:color="auto"/>
      </w:divBdr>
    </w:div>
    <w:div w:id="2097553027">
      <w:bodyDiv w:val="1"/>
      <w:marLeft w:val="0"/>
      <w:marRight w:val="0"/>
      <w:marTop w:val="0"/>
      <w:marBottom w:val="0"/>
      <w:divBdr>
        <w:top w:val="none" w:sz="0" w:space="0" w:color="auto"/>
        <w:left w:val="none" w:sz="0" w:space="0" w:color="auto"/>
        <w:bottom w:val="none" w:sz="0" w:space="0" w:color="auto"/>
        <w:right w:val="none" w:sz="0" w:space="0" w:color="auto"/>
      </w:divBdr>
    </w:div>
    <w:div w:id="2099983442">
      <w:bodyDiv w:val="1"/>
      <w:marLeft w:val="0"/>
      <w:marRight w:val="0"/>
      <w:marTop w:val="0"/>
      <w:marBottom w:val="0"/>
      <w:divBdr>
        <w:top w:val="none" w:sz="0" w:space="0" w:color="auto"/>
        <w:left w:val="none" w:sz="0" w:space="0" w:color="auto"/>
        <w:bottom w:val="none" w:sz="0" w:space="0" w:color="auto"/>
        <w:right w:val="none" w:sz="0" w:space="0" w:color="auto"/>
      </w:divBdr>
    </w:div>
    <w:div w:id="2105566628">
      <w:bodyDiv w:val="1"/>
      <w:marLeft w:val="0"/>
      <w:marRight w:val="0"/>
      <w:marTop w:val="0"/>
      <w:marBottom w:val="0"/>
      <w:divBdr>
        <w:top w:val="none" w:sz="0" w:space="0" w:color="auto"/>
        <w:left w:val="none" w:sz="0" w:space="0" w:color="auto"/>
        <w:bottom w:val="none" w:sz="0" w:space="0" w:color="auto"/>
        <w:right w:val="none" w:sz="0" w:space="0" w:color="auto"/>
      </w:divBdr>
    </w:div>
    <w:div w:id="2107604740">
      <w:bodyDiv w:val="1"/>
      <w:marLeft w:val="0"/>
      <w:marRight w:val="0"/>
      <w:marTop w:val="0"/>
      <w:marBottom w:val="0"/>
      <w:divBdr>
        <w:top w:val="none" w:sz="0" w:space="0" w:color="auto"/>
        <w:left w:val="none" w:sz="0" w:space="0" w:color="auto"/>
        <w:bottom w:val="none" w:sz="0" w:space="0" w:color="auto"/>
        <w:right w:val="none" w:sz="0" w:space="0" w:color="auto"/>
      </w:divBdr>
    </w:div>
    <w:div w:id="2110925177">
      <w:bodyDiv w:val="1"/>
      <w:marLeft w:val="0"/>
      <w:marRight w:val="0"/>
      <w:marTop w:val="0"/>
      <w:marBottom w:val="0"/>
      <w:divBdr>
        <w:top w:val="none" w:sz="0" w:space="0" w:color="auto"/>
        <w:left w:val="none" w:sz="0" w:space="0" w:color="auto"/>
        <w:bottom w:val="none" w:sz="0" w:space="0" w:color="auto"/>
        <w:right w:val="none" w:sz="0" w:space="0" w:color="auto"/>
      </w:divBdr>
    </w:div>
    <w:div w:id="2113285048">
      <w:bodyDiv w:val="1"/>
      <w:marLeft w:val="0"/>
      <w:marRight w:val="0"/>
      <w:marTop w:val="0"/>
      <w:marBottom w:val="0"/>
      <w:divBdr>
        <w:top w:val="none" w:sz="0" w:space="0" w:color="auto"/>
        <w:left w:val="none" w:sz="0" w:space="0" w:color="auto"/>
        <w:bottom w:val="none" w:sz="0" w:space="0" w:color="auto"/>
        <w:right w:val="none" w:sz="0" w:space="0" w:color="auto"/>
      </w:divBdr>
      <w:divsChild>
        <w:div w:id="153497887">
          <w:marLeft w:val="547"/>
          <w:marRight w:val="0"/>
          <w:marTop w:val="77"/>
          <w:marBottom w:val="0"/>
          <w:divBdr>
            <w:top w:val="none" w:sz="0" w:space="0" w:color="auto"/>
            <w:left w:val="none" w:sz="0" w:space="0" w:color="auto"/>
            <w:bottom w:val="none" w:sz="0" w:space="0" w:color="auto"/>
            <w:right w:val="none" w:sz="0" w:space="0" w:color="auto"/>
          </w:divBdr>
        </w:div>
      </w:divsChild>
    </w:div>
    <w:div w:id="2121025298">
      <w:bodyDiv w:val="1"/>
      <w:marLeft w:val="0"/>
      <w:marRight w:val="0"/>
      <w:marTop w:val="0"/>
      <w:marBottom w:val="0"/>
      <w:divBdr>
        <w:top w:val="none" w:sz="0" w:space="0" w:color="auto"/>
        <w:left w:val="none" w:sz="0" w:space="0" w:color="auto"/>
        <w:bottom w:val="none" w:sz="0" w:space="0" w:color="auto"/>
        <w:right w:val="none" w:sz="0" w:space="0" w:color="auto"/>
      </w:divBdr>
    </w:div>
    <w:div w:id="2122262611">
      <w:bodyDiv w:val="1"/>
      <w:marLeft w:val="0"/>
      <w:marRight w:val="0"/>
      <w:marTop w:val="0"/>
      <w:marBottom w:val="0"/>
      <w:divBdr>
        <w:top w:val="none" w:sz="0" w:space="0" w:color="auto"/>
        <w:left w:val="none" w:sz="0" w:space="0" w:color="auto"/>
        <w:bottom w:val="none" w:sz="0" w:space="0" w:color="auto"/>
        <w:right w:val="none" w:sz="0" w:space="0" w:color="auto"/>
      </w:divBdr>
    </w:div>
    <w:div w:id="2126775765">
      <w:bodyDiv w:val="1"/>
      <w:marLeft w:val="0"/>
      <w:marRight w:val="0"/>
      <w:marTop w:val="0"/>
      <w:marBottom w:val="0"/>
      <w:divBdr>
        <w:top w:val="none" w:sz="0" w:space="0" w:color="auto"/>
        <w:left w:val="none" w:sz="0" w:space="0" w:color="auto"/>
        <w:bottom w:val="none" w:sz="0" w:space="0" w:color="auto"/>
        <w:right w:val="none" w:sz="0" w:space="0" w:color="auto"/>
      </w:divBdr>
    </w:div>
    <w:div w:id="21473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nddhavale\Application%20Data\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A0FB-50A6-4409-A454-1FCC14AF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84</TotalTime>
  <Pages>376</Pages>
  <Words>102573</Words>
  <Characters>584670</Characters>
  <Application>Microsoft Office Word</Application>
  <DocSecurity>0</DocSecurity>
  <Lines>4872</Lines>
  <Paragraphs>1371</Paragraphs>
  <ScaleCrop>false</ScaleCrop>
  <HeadingPairs>
    <vt:vector size="2" baseType="variant">
      <vt:variant>
        <vt:lpstr>Title</vt:lpstr>
      </vt:variant>
      <vt:variant>
        <vt:i4>1</vt:i4>
      </vt:variant>
    </vt:vector>
  </HeadingPairs>
  <TitlesOfParts>
    <vt:vector size="1" baseType="lpstr">
      <vt:lpstr>NPCL Tariff Order - Ver 7.0</vt:lpstr>
    </vt:vector>
  </TitlesOfParts>
  <Company>Feedback Ventures Pvt Ltd</Company>
  <LinksUpToDate>false</LinksUpToDate>
  <CharactersWithSpaces>685872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NPCL Tariff Order - Ver 7.0</dc:title>
  <dc:creator>Abinash Agrawal</dc:creator>
  <cp:lastModifiedBy>Subrat</cp:lastModifiedBy>
  <cp:revision>24</cp:revision>
  <cp:lastPrinted>2016-07-29T21:26:00Z</cp:lastPrinted>
  <dcterms:created xsi:type="dcterms:W3CDTF">2016-07-28T01:56:00Z</dcterms:created>
  <dcterms:modified xsi:type="dcterms:W3CDTF">2016-08-01T07:30:00Z</dcterms:modified>
</cp:coreProperties>
</file>